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559A" w:rsidRPr="00CA5A1E" w:rsidRDefault="0080559A" w:rsidP="00097C50">
      <w:pPr>
        <w:spacing w:before="120" w:after="120"/>
        <w:jc w:val="center"/>
        <w:rPr>
          <w:rFonts w:ascii="Times New Roman" w:hAnsi="Times New Roman"/>
          <w:b/>
        </w:rPr>
      </w:pPr>
      <w:r w:rsidRPr="00CA5A1E">
        <w:rPr>
          <w:rFonts w:ascii="Times New Roman" w:hAnsi="Times New Roman"/>
          <w:b/>
        </w:rPr>
        <w:t xml:space="preserve">Articles 19 and 20 </w:t>
      </w:r>
      <w:r>
        <w:rPr>
          <w:rFonts w:ascii="Times New Roman" w:hAnsi="Times New Roman"/>
          <w:b/>
        </w:rPr>
        <w:t>of the Nagoya Protocol on Access and Benefit-sharing –</w:t>
      </w:r>
      <w:r w:rsidRPr="00CA5A1E">
        <w:rPr>
          <w:rFonts w:ascii="Times New Roman" w:hAnsi="Times New Roman"/>
          <w:b/>
        </w:rPr>
        <w:t xml:space="preserve"> </w:t>
      </w:r>
      <w:r>
        <w:rPr>
          <w:rFonts w:ascii="Times New Roman" w:hAnsi="Times New Roman"/>
          <w:b/>
        </w:rPr>
        <w:t xml:space="preserve">Survey of </w:t>
      </w:r>
      <w:r w:rsidRPr="00CA5A1E">
        <w:rPr>
          <w:rFonts w:ascii="Times New Roman" w:hAnsi="Times New Roman"/>
          <w:b/>
        </w:rPr>
        <w:t>Model Contractual Clauses, Codes of Conduct, Guide</w:t>
      </w:r>
      <w:r>
        <w:rPr>
          <w:rFonts w:ascii="Times New Roman" w:hAnsi="Times New Roman"/>
          <w:b/>
        </w:rPr>
        <w:t>lines, Best Practices and Standards</w:t>
      </w:r>
    </w:p>
    <w:p w:rsidR="0080559A" w:rsidRDefault="0080559A" w:rsidP="00097C50">
      <w:pPr>
        <w:spacing w:before="120" w:after="120"/>
        <w:rPr>
          <w:rFonts w:ascii="Times New Roman" w:hAnsi="Times New Roman"/>
        </w:rPr>
      </w:pPr>
    </w:p>
    <w:p w:rsidR="0080559A" w:rsidRDefault="0080559A" w:rsidP="00097C50">
      <w:pPr>
        <w:spacing w:before="120" w:after="120"/>
        <w:jc w:val="center"/>
        <w:rPr>
          <w:rFonts w:ascii="Times New Roman" w:hAnsi="Times New Roman"/>
        </w:rPr>
      </w:pPr>
      <w:r>
        <w:rPr>
          <w:rFonts w:ascii="Times New Roman" w:hAnsi="Times New Roman"/>
        </w:rPr>
        <w:t xml:space="preserve">Catherine Monagle, United Nations University – Institute of Advanced Studies </w:t>
      </w:r>
    </w:p>
    <w:p w:rsidR="0080559A" w:rsidRDefault="0080559A" w:rsidP="00097C50">
      <w:pPr>
        <w:spacing w:before="120" w:after="120"/>
        <w:rPr>
          <w:rFonts w:ascii="Times New Roman" w:hAnsi="Times New Roman"/>
        </w:rPr>
      </w:pPr>
    </w:p>
    <w:p w:rsidR="0080559A" w:rsidRDefault="0080559A" w:rsidP="00097C50">
      <w:pPr>
        <w:spacing w:before="120" w:after="120"/>
        <w:rPr>
          <w:rFonts w:ascii="Times New Roman" w:hAnsi="Times New Roman"/>
        </w:rPr>
      </w:pPr>
    </w:p>
    <w:p w:rsidR="00F01971" w:rsidRPr="00F01971" w:rsidRDefault="00F01971" w:rsidP="00F01971">
      <w:pPr>
        <w:spacing w:before="120" w:after="120"/>
        <w:jc w:val="center"/>
        <w:rPr>
          <w:rFonts w:ascii="Times New Roman" w:hAnsi="Times New Roman"/>
        </w:rPr>
      </w:pPr>
      <w:r w:rsidRPr="00F01971">
        <w:rPr>
          <w:rFonts w:ascii="Times New Roman" w:hAnsi="Times New Roman"/>
        </w:rPr>
        <w:t>Prepared for the Informal Meeting for the Implementation of Articles 19 and 20 of the Nagoya Protocol</w:t>
      </w:r>
    </w:p>
    <w:p w:rsidR="00F01971" w:rsidRPr="00F01971" w:rsidRDefault="00F01971" w:rsidP="00F01971">
      <w:pPr>
        <w:spacing w:before="120" w:after="120"/>
        <w:jc w:val="center"/>
        <w:rPr>
          <w:rFonts w:ascii="Times New Roman" w:hAnsi="Times New Roman"/>
        </w:rPr>
      </w:pPr>
      <w:r w:rsidRPr="00F01971">
        <w:rPr>
          <w:rFonts w:ascii="Times New Roman" w:hAnsi="Times New Roman"/>
        </w:rPr>
        <w:t>25 - 26 March 2013</w:t>
      </w:r>
    </w:p>
    <w:p w:rsidR="0080559A" w:rsidRDefault="00F01971" w:rsidP="00F01971">
      <w:pPr>
        <w:spacing w:before="120" w:after="120"/>
        <w:jc w:val="center"/>
        <w:rPr>
          <w:rFonts w:ascii="Times New Roman" w:hAnsi="Times New Roman"/>
        </w:rPr>
      </w:pPr>
      <w:r w:rsidRPr="00F01971">
        <w:rPr>
          <w:rFonts w:ascii="Times New Roman" w:hAnsi="Times New Roman"/>
        </w:rPr>
        <w:t>Keio Plaza Hotel Tokyo</w:t>
      </w:r>
    </w:p>
    <w:p w:rsidR="0080559A" w:rsidRDefault="0080559A" w:rsidP="00097C50">
      <w:pPr>
        <w:spacing w:before="120" w:after="120"/>
        <w:rPr>
          <w:rFonts w:ascii="Times New Roman" w:hAnsi="Times New Roman"/>
        </w:rPr>
      </w:pPr>
    </w:p>
    <w:p w:rsidR="0080559A" w:rsidRDefault="0080559A" w:rsidP="00097C50">
      <w:pPr>
        <w:spacing w:before="120" w:after="120"/>
        <w:rPr>
          <w:rFonts w:ascii="Times New Roman" w:hAnsi="Times New Roman"/>
        </w:rPr>
      </w:pPr>
      <w:bookmarkStart w:id="0" w:name="_GoBack"/>
      <w:bookmarkEnd w:id="0"/>
    </w:p>
    <w:p w:rsidR="0080559A" w:rsidRDefault="0080559A" w:rsidP="00097C50">
      <w:pPr>
        <w:spacing w:before="120" w:after="120"/>
        <w:rPr>
          <w:rFonts w:ascii="Times New Roman" w:hAnsi="Times New Roman"/>
        </w:rPr>
      </w:pPr>
    </w:p>
    <w:p w:rsidR="0080559A" w:rsidRDefault="0080559A" w:rsidP="00097C50">
      <w:pPr>
        <w:spacing w:before="120" w:after="120"/>
        <w:rPr>
          <w:rFonts w:ascii="Times New Roman" w:hAnsi="Times New Roman"/>
        </w:rPr>
      </w:pPr>
    </w:p>
    <w:p w:rsidR="0080559A" w:rsidRDefault="0080559A" w:rsidP="00097C50">
      <w:pPr>
        <w:spacing w:before="120" w:after="120"/>
        <w:rPr>
          <w:rFonts w:ascii="Times New Roman" w:hAnsi="Times New Roman"/>
        </w:rPr>
      </w:pPr>
    </w:p>
    <w:p w:rsidR="0080559A" w:rsidRDefault="0080559A" w:rsidP="00097C50">
      <w:pPr>
        <w:spacing w:before="120" w:after="120"/>
        <w:rPr>
          <w:rFonts w:ascii="Times New Roman" w:hAnsi="Times New Roman"/>
        </w:rPr>
      </w:pPr>
    </w:p>
    <w:p w:rsidR="0080559A" w:rsidRDefault="0080559A" w:rsidP="00097C50">
      <w:pPr>
        <w:spacing w:before="120" w:after="120"/>
        <w:rPr>
          <w:rFonts w:ascii="Times New Roman" w:hAnsi="Times New Roman"/>
        </w:rPr>
      </w:pPr>
    </w:p>
    <w:p w:rsidR="0080559A" w:rsidRDefault="0080559A" w:rsidP="00097C50">
      <w:pPr>
        <w:spacing w:before="120" w:after="120"/>
        <w:rPr>
          <w:rFonts w:ascii="Times New Roman" w:hAnsi="Times New Roman"/>
        </w:rPr>
      </w:pPr>
    </w:p>
    <w:p w:rsidR="0080559A" w:rsidRDefault="0080559A" w:rsidP="00097C50">
      <w:pPr>
        <w:spacing w:before="120" w:after="120"/>
        <w:rPr>
          <w:rFonts w:ascii="Times New Roman" w:hAnsi="Times New Roman"/>
        </w:rPr>
      </w:pPr>
    </w:p>
    <w:p w:rsidR="0080559A" w:rsidRDefault="0080559A" w:rsidP="00097C50">
      <w:pPr>
        <w:spacing w:before="120" w:after="120"/>
        <w:rPr>
          <w:rFonts w:ascii="Times New Roman" w:hAnsi="Times New Roman"/>
        </w:rPr>
      </w:pPr>
    </w:p>
    <w:p w:rsidR="0080559A" w:rsidRDefault="0080559A" w:rsidP="00097C50">
      <w:pPr>
        <w:spacing w:before="120" w:after="120"/>
        <w:rPr>
          <w:rFonts w:ascii="Times New Roman" w:hAnsi="Times New Roman"/>
        </w:rPr>
      </w:pPr>
    </w:p>
    <w:p w:rsidR="0080559A" w:rsidRDefault="0080559A" w:rsidP="00097C50">
      <w:pPr>
        <w:spacing w:before="120" w:after="120"/>
        <w:rPr>
          <w:rFonts w:ascii="Times New Roman" w:hAnsi="Times New Roman"/>
        </w:rPr>
      </w:pPr>
    </w:p>
    <w:p w:rsidR="0080559A" w:rsidRDefault="0080559A" w:rsidP="00097C50">
      <w:pPr>
        <w:spacing w:before="120" w:after="120"/>
        <w:rPr>
          <w:rFonts w:ascii="Times New Roman" w:hAnsi="Times New Roman"/>
        </w:rPr>
      </w:pPr>
    </w:p>
    <w:p w:rsidR="0080559A" w:rsidRDefault="0080559A" w:rsidP="00097C50">
      <w:pPr>
        <w:spacing w:before="120" w:after="120"/>
        <w:rPr>
          <w:rFonts w:ascii="Times New Roman" w:hAnsi="Times New Roman"/>
        </w:rPr>
      </w:pPr>
    </w:p>
    <w:p w:rsidR="0080559A" w:rsidRDefault="0080559A" w:rsidP="00097C50">
      <w:pPr>
        <w:spacing w:before="120" w:after="120"/>
        <w:rPr>
          <w:rFonts w:ascii="Times New Roman" w:hAnsi="Times New Roman"/>
        </w:rPr>
      </w:pPr>
    </w:p>
    <w:p w:rsidR="0080559A" w:rsidRDefault="0080559A" w:rsidP="00097C50">
      <w:pPr>
        <w:spacing w:before="120" w:after="120"/>
        <w:rPr>
          <w:rFonts w:ascii="Times New Roman" w:hAnsi="Times New Roman"/>
        </w:rPr>
      </w:pPr>
    </w:p>
    <w:p w:rsidR="0080559A" w:rsidRDefault="0080559A" w:rsidP="00097C50">
      <w:pPr>
        <w:spacing w:before="120" w:after="120"/>
        <w:rPr>
          <w:rFonts w:ascii="Times New Roman" w:hAnsi="Times New Roman"/>
        </w:rPr>
      </w:pPr>
    </w:p>
    <w:p w:rsidR="0080559A" w:rsidRDefault="0080559A" w:rsidP="00097C50">
      <w:pPr>
        <w:spacing w:before="120" w:after="120"/>
        <w:rPr>
          <w:rFonts w:ascii="Times New Roman" w:hAnsi="Times New Roman"/>
        </w:rPr>
      </w:pPr>
    </w:p>
    <w:p w:rsidR="0080559A" w:rsidRDefault="0080559A" w:rsidP="00097C50">
      <w:pPr>
        <w:spacing w:before="120" w:after="120"/>
        <w:rPr>
          <w:rFonts w:ascii="Times New Roman" w:hAnsi="Times New Roman"/>
        </w:rPr>
      </w:pPr>
    </w:p>
    <w:p w:rsidR="0080559A" w:rsidRDefault="0080559A" w:rsidP="00097C50">
      <w:pPr>
        <w:spacing w:before="120" w:after="120"/>
        <w:jc w:val="center"/>
        <w:rPr>
          <w:rFonts w:ascii="Times New Roman" w:hAnsi="Times New Roman"/>
        </w:rPr>
        <w:sectPr w:rsidR="0080559A" w:rsidSect="00855ABE">
          <w:footerReference w:type="even" r:id="rId8"/>
          <w:footerReference w:type="default" r:id="rId9"/>
          <w:headerReference w:type="first" r:id="rId10"/>
          <w:pgSz w:w="12240" w:h="15840"/>
          <w:pgMar w:top="1440" w:right="1440" w:bottom="1440" w:left="1440" w:header="720" w:footer="720" w:gutter="0"/>
          <w:pgNumType w:start="1"/>
          <w:cols w:space="720"/>
          <w:docGrid w:linePitch="360"/>
        </w:sectPr>
      </w:pPr>
    </w:p>
    <w:p w:rsidR="0080559A" w:rsidRDefault="0080559A" w:rsidP="00097C50">
      <w:pPr>
        <w:spacing w:before="120" w:after="120"/>
        <w:rPr>
          <w:rFonts w:ascii="Times New Roman" w:hAnsi="Times New Roman"/>
          <w:bCs/>
        </w:rPr>
      </w:pPr>
    </w:p>
    <w:p w:rsidR="0080559A" w:rsidRDefault="0080559A" w:rsidP="00097C50">
      <w:pPr>
        <w:spacing w:before="120" w:after="120"/>
        <w:rPr>
          <w:rFonts w:ascii="Times New Roman" w:hAnsi="Times New Roman"/>
          <w:bCs/>
        </w:rPr>
      </w:pPr>
    </w:p>
    <w:p w:rsidR="0080559A" w:rsidRDefault="0080559A" w:rsidP="00097C50">
      <w:pPr>
        <w:spacing w:before="120" w:after="120"/>
        <w:rPr>
          <w:rFonts w:ascii="Times New Roman" w:hAnsi="Times New Roman"/>
          <w:bCs/>
        </w:rPr>
      </w:pPr>
    </w:p>
    <w:p w:rsidR="0080559A" w:rsidRDefault="0080559A" w:rsidP="00097C50">
      <w:pPr>
        <w:spacing w:before="120" w:after="120"/>
        <w:rPr>
          <w:rFonts w:ascii="Times New Roman" w:hAnsi="Times New Roman"/>
          <w:bCs/>
        </w:rPr>
      </w:pPr>
    </w:p>
    <w:p w:rsidR="0080559A" w:rsidRDefault="0080559A" w:rsidP="00097C50">
      <w:pPr>
        <w:spacing w:before="120" w:after="120"/>
        <w:rPr>
          <w:rFonts w:ascii="Times New Roman" w:hAnsi="Times New Roman"/>
          <w:bCs/>
        </w:rPr>
      </w:pPr>
    </w:p>
    <w:p w:rsidR="0080559A" w:rsidRDefault="0080559A" w:rsidP="00097C50">
      <w:pPr>
        <w:spacing w:before="120" w:after="120"/>
        <w:rPr>
          <w:rFonts w:ascii="Times New Roman" w:hAnsi="Times New Roman"/>
          <w:bCs/>
        </w:rPr>
      </w:pPr>
    </w:p>
    <w:p w:rsidR="0080559A" w:rsidRDefault="0080559A" w:rsidP="00097C50">
      <w:pPr>
        <w:spacing w:before="120" w:after="120"/>
        <w:rPr>
          <w:rFonts w:ascii="Times New Roman" w:hAnsi="Times New Roman"/>
          <w:bCs/>
        </w:rPr>
      </w:pPr>
    </w:p>
    <w:p w:rsidR="0080559A" w:rsidRDefault="0080559A" w:rsidP="00097C50">
      <w:pPr>
        <w:spacing w:before="120" w:after="120"/>
        <w:rPr>
          <w:rFonts w:ascii="Times New Roman" w:hAnsi="Times New Roman"/>
          <w:bCs/>
        </w:rPr>
      </w:pPr>
    </w:p>
    <w:p w:rsidR="0080559A" w:rsidRDefault="0080559A" w:rsidP="00097C50">
      <w:pPr>
        <w:spacing w:before="120" w:after="120"/>
        <w:rPr>
          <w:rFonts w:ascii="Times New Roman" w:hAnsi="Times New Roman"/>
          <w:bCs/>
        </w:rPr>
      </w:pPr>
    </w:p>
    <w:p w:rsidR="0080559A" w:rsidRDefault="0080559A" w:rsidP="00097C50">
      <w:pPr>
        <w:spacing w:before="120" w:after="120"/>
        <w:rPr>
          <w:rFonts w:ascii="Times New Roman" w:hAnsi="Times New Roman"/>
          <w:bCs/>
        </w:rPr>
      </w:pPr>
    </w:p>
    <w:p w:rsidR="0080559A" w:rsidRDefault="0080559A" w:rsidP="00097C50">
      <w:pPr>
        <w:spacing w:before="120" w:after="120"/>
        <w:rPr>
          <w:rFonts w:ascii="Times New Roman" w:hAnsi="Times New Roman"/>
          <w:bCs/>
        </w:rPr>
      </w:pPr>
    </w:p>
    <w:p w:rsidR="0080559A" w:rsidRDefault="0080559A" w:rsidP="00C048DA">
      <w:pPr>
        <w:spacing w:before="120" w:after="120"/>
        <w:rPr>
          <w:rFonts w:ascii="Times New Roman" w:hAnsi="Times New Roman"/>
          <w:bCs/>
        </w:rPr>
      </w:pPr>
    </w:p>
    <w:p w:rsidR="00F01971" w:rsidRDefault="00F01971" w:rsidP="00F01971">
      <w:pPr>
        <w:spacing w:before="120" w:after="120"/>
        <w:jc w:val="both"/>
        <w:rPr>
          <w:rFonts w:ascii="Times New Roman" w:hAnsi="Times New Roman"/>
        </w:rPr>
      </w:pPr>
    </w:p>
    <w:p w:rsidR="00F01971" w:rsidRDefault="00F01971" w:rsidP="00F01971">
      <w:pPr>
        <w:spacing w:before="120" w:after="120"/>
        <w:jc w:val="both"/>
        <w:rPr>
          <w:rFonts w:ascii="Times New Roman" w:hAnsi="Times New Roman"/>
        </w:rPr>
      </w:pPr>
    </w:p>
    <w:p w:rsidR="00F01971" w:rsidRDefault="00F01971" w:rsidP="00F01971">
      <w:pPr>
        <w:spacing w:before="120" w:after="120"/>
        <w:jc w:val="both"/>
        <w:rPr>
          <w:rFonts w:ascii="Times New Roman" w:hAnsi="Times New Roman"/>
        </w:rPr>
      </w:pPr>
    </w:p>
    <w:p w:rsidR="00F01971" w:rsidRDefault="00F01971" w:rsidP="00F01971">
      <w:pPr>
        <w:spacing w:before="120" w:after="120"/>
        <w:jc w:val="both"/>
        <w:rPr>
          <w:rFonts w:ascii="Times New Roman" w:hAnsi="Times New Roman"/>
        </w:rPr>
      </w:pPr>
    </w:p>
    <w:p w:rsidR="00F01971" w:rsidRDefault="00F01971" w:rsidP="00F01971">
      <w:pPr>
        <w:spacing w:before="120" w:after="120"/>
        <w:jc w:val="both"/>
        <w:rPr>
          <w:rFonts w:ascii="Times New Roman" w:hAnsi="Times New Roman"/>
        </w:rPr>
      </w:pPr>
    </w:p>
    <w:p w:rsidR="00F01971" w:rsidRDefault="00F01971" w:rsidP="00F01971">
      <w:pPr>
        <w:spacing w:before="120" w:after="120"/>
        <w:jc w:val="both"/>
        <w:rPr>
          <w:rFonts w:ascii="Times New Roman" w:hAnsi="Times New Roman"/>
        </w:rPr>
      </w:pPr>
    </w:p>
    <w:p w:rsidR="00F01971" w:rsidRDefault="00F01971" w:rsidP="00F01971">
      <w:pPr>
        <w:spacing w:before="120" w:after="120"/>
        <w:jc w:val="both"/>
        <w:rPr>
          <w:rFonts w:ascii="Times New Roman" w:hAnsi="Times New Roman"/>
        </w:rPr>
      </w:pPr>
    </w:p>
    <w:p w:rsidR="00F01971" w:rsidRDefault="00F01971" w:rsidP="00F01971">
      <w:pPr>
        <w:spacing w:before="120" w:after="120"/>
        <w:jc w:val="both"/>
        <w:rPr>
          <w:rFonts w:ascii="Times New Roman" w:hAnsi="Times New Roman"/>
        </w:rPr>
      </w:pPr>
    </w:p>
    <w:p w:rsidR="00F01971" w:rsidRDefault="00F01971" w:rsidP="00F01971">
      <w:pPr>
        <w:spacing w:before="120" w:after="120"/>
        <w:jc w:val="both"/>
        <w:rPr>
          <w:rFonts w:ascii="Times New Roman" w:hAnsi="Times New Roman"/>
        </w:rPr>
      </w:pPr>
    </w:p>
    <w:p w:rsidR="00F01971" w:rsidRDefault="00F01971" w:rsidP="00F01971">
      <w:pPr>
        <w:spacing w:before="120" w:after="120"/>
        <w:jc w:val="both"/>
        <w:rPr>
          <w:rFonts w:ascii="Times New Roman" w:hAnsi="Times New Roman"/>
        </w:rPr>
      </w:pPr>
    </w:p>
    <w:p w:rsidR="00F01971" w:rsidRDefault="00F01971" w:rsidP="00F01971">
      <w:pPr>
        <w:spacing w:before="120" w:after="120"/>
        <w:jc w:val="both"/>
        <w:rPr>
          <w:rFonts w:ascii="Times New Roman" w:hAnsi="Times New Roman"/>
        </w:rPr>
      </w:pPr>
    </w:p>
    <w:p w:rsidR="00F01971" w:rsidRPr="000C132B" w:rsidRDefault="00F01971" w:rsidP="00F01971">
      <w:pPr>
        <w:spacing w:before="120" w:after="120"/>
        <w:jc w:val="both"/>
        <w:rPr>
          <w:rFonts w:ascii="Times New Roman" w:hAnsi="Times New Roman"/>
        </w:rPr>
        <w:sectPr w:rsidR="00F01971" w:rsidRPr="000C132B" w:rsidSect="004613E2">
          <w:pgSz w:w="12240" w:h="15840"/>
          <w:pgMar w:top="1440" w:right="1440" w:bottom="1440" w:left="1440" w:header="720" w:footer="720" w:gutter="0"/>
          <w:cols w:space="720"/>
          <w:docGrid w:linePitch="360"/>
        </w:sectPr>
      </w:pPr>
    </w:p>
    <w:p w:rsidR="0080559A" w:rsidRDefault="0080559A" w:rsidP="00097C50">
      <w:pPr>
        <w:spacing w:before="120" w:after="120"/>
        <w:rPr>
          <w:rFonts w:ascii="Times New Roman" w:hAnsi="Times New Roman"/>
        </w:rPr>
      </w:pPr>
      <w:r>
        <w:rPr>
          <w:rFonts w:ascii="Times New Roman" w:hAnsi="Times New Roman"/>
          <w:b/>
        </w:rPr>
        <w:lastRenderedPageBreak/>
        <w:t>Part I.</w:t>
      </w:r>
      <w:r>
        <w:rPr>
          <w:rFonts w:ascii="Times New Roman" w:hAnsi="Times New Roman"/>
          <w:b/>
        </w:rPr>
        <w:tab/>
      </w:r>
      <w:r>
        <w:rPr>
          <w:rFonts w:ascii="Times New Roman" w:hAnsi="Times New Roman"/>
          <w:b/>
        </w:rPr>
        <w:tab/>
        <w:t xml:space="preserve">Background      </w:t>
      </w:r>
      <w:r>
        <w:rPr>
          <w:rFonts w:ascii="Times New Roman" w:hAnsi="Times New Roman"/>
        </w:rPr>
        <w:tab/>
      </w:r>
      <w:r>
        <w:rPr>
          <w:rFonts w:ascii="Times New Roman" w:hAnsi="Times New Roman"/>
        </w:rPr>
        <w:tab/>
      </w:r>
    </w:p>
    <w:p w:rsidR="0080559A" w:rsidRPr="0089341A" w:rsidRDefault="0080559A" w:rsidP="00097C50">
      <w:pPr>
        <w:shd w:val="clear" w:color="auto" w:fill="FFFFFF"/>
        <w:spacing w:before="120" w:after="120"/>
        <w:jc w:val="both"/>
        <w:rPr>
          <w:rFonts w:ascii="Times New Roman" w:hAnsi="Times New Roman"/>
          <w:i/>
        </w:rPr>
      </w:pPr>
      <w:r>
        <w:rPr>
          <w:rFonts w:ascii="Times New Roman" w:hAnsi="Times New Roman"/>
          <w:i/>
        </w:rPr>
        <w:t>About the S</w:t>
      </w:r>
      <w:r w:rsidR="00952B17">
        <w:rPr>
          <w:rFonts w:ascii="Times New Roman" w:hAnsi="Times New Roman"/>
          <w:i/>
        </w:rPr>
        <w:t>tudy</w:t>
      </w:r>
      <w:r w:rsidRPr="0089341A">
        <w:rPr>
          <w:rFonts w:ascii="Times New Roman" w:hAnsi="Times New Roman"/>
          <w:i/>
        </w:rPr>
        <w:t xml:space="preserve"> </w:t>
      </w:r>
    </w:p>
    <w:p w:rsidR="0080559A" w:rsidRPr="008C434B" w:rsidRDefault="0080559A" w:rsidP="00097C50">
      <w:pPr>
        <w:shd w:val="clear" w:color="auto" w:fill="FFFFFF"/>
        <w:spacing w:before="120" w:after="120"/>
        <w:jc w:val="both"/>
        <w:rPr>
          <w:rFonts w:ascii="Times New Roman" w:hAnsi="Times New Roman"/>
        </w:rPr>
      </w:pPr>
      <w:r w:rsidRPr="003F68E0">
        <w:rPr>
          <w:rFonts w:ascii="Times New Roman" w:hAnsi="Times New Roman"/>
        </w:rPr>
        <w:t xml:space="preserve">In accordance with decision XI/1 of the Conference of the Parties, the third meeting of the </w:t>
      </w:r>
      <w:r>
        <w:rPr>
          <w:rFonts w:ascii="Times New Roman" w:hAnsi="Times New Roman"/>
        </w:rPr>
        <w:t xml:space="preserve">Open-ended Ad Hoc </w:t>
      </w:r>
      <w:r w:rsidRPr="003F68E0">
        <w:rPr>
          <w:rFonts w:ascii="Times New Roman" w:hAnsi="Times New Roman"/>
        </w:rPr>
        <w:t>Intergovernmental Committee for the Na</w:t>
      </w:r>
      <w:r>
        <w:rPr>
          <w:rFonts w:ascii="Times New Roman" w:hAnsi="Times New Roman"/>
        </w:rPr>
        <w:t xml:space="preserve">goya Protocol </w:t>
      </w:r>
      <w:r w:rsidRPr="008C434B">
        <w:rPr>
          <w:rFonts w:ascii="Times New Roman" w:hAnsi="Times New Roman"/>
          <w:iCs/>
        </w:rPr>
        <w:t>on Access to Genetic Resources and the Fair and Equita</w:t>
      </w:r>
      <w:r>
        <w:rPr>
          <w:rFonts w:ascii="Times New Roman" w:hAnsi="Times New Roman"/>
          <w:iCs/>
        </w:rPr>
        <w:t xml:space="preserve">ble Sharing of Benefits Arising </w:t>
      </w:r>
      <w:r w:rsidRPr="008C434B">
        <w:rPr>
          <w:rFonts w:ascii="Times New Roman" w:hAnsi="Times New Roman"/>
          <w:iCs/>
        </w:rPr>
        <w:t xml:space="preserve">from their Utilization </w:t>
      </w:r>
      <w:r>
        <w:rPr>
          <w:rFonts w:ascii="Times New Roman" w:hAnsi="Times New Roman"/>
        </w:rPr>
        <w:t xml:space="preserve">(ICNP-3) will </w:t>
      </w:r>
      <w:r w:rsidRPr="003F68E0">
        <w:rPr>
          <w:rFonts w:ascii="Times New Roman" w:hAnsi="Times New Roman"/>
        </w:rPr>
        <w:t xml:space="preserve">exchange views on the development, updating and use of </w:t>
      </w:r>
      <w:proofErr w:type="spellStart"/>
      <w:r w:rsidRPr="003F68E0">
        <w:rPr>
          <w:rFonts w:ascii="Times New Roman" w:hAnsi="Times New Roman"/>
        </w:rPr>
        <w:t>sectoral</w:t>
      </w:r>
      <w:proofErr w:type="spellEnd"/>
      <w:r w:rsidRPr="003F68E0">
        <w:rPr>
          <w:rFonts w:ascii="Times New Roman" w:hAnsi="Times New Roman"/>
        </w:rPr>
        <w:t xml:space="preserve"> and cross-</w:t>
      </w:r>
      <w:proofErr w:type="spellStart"/>
      <w:r w:rsidRPr="003F68E0">
        <w:rPr>
          <w:rFonts w:ascii="Times New Roman" w:hAnsi="Times New Roman"/>
        </w:rPr>
        <w:t>sectoral</w:t>
      </w:r>
      <w:proofErr w:type="spellEnd"/>
      <w:r w:rsidRPr="003F68E0">
        <w:rPr>
          <w:rFonts w:ascii="Times New Roman" w:hAnsi="Times New Roman"/>
        </w:rPr>
        <w:t xml:space="preserve"> model contractual clauses, voluntary codes of conduct, guidelines and b</w:t>
      </w:r>
      <w:r>
        <w:rPr>
          <w:rFonts w:ascii="Times New Roman" w:hAnsi="Times New Roman"/>
        </w:rPr>
        <w:t>est practices and/or standards, pursuant to Articles 19 and 20 of the Protocol</w:t>
      </w:r>
      <w:r>
        <w:rPr>
          <w:rStyle w:val="af"/>
          <w:rFonts w:ascii="Times New Roman" w:hAnsi="Times New Roman"/>
        </w:rPr>
        <w:footnoteReference w:id="1"/>
      </w:r>
      <w:r>
        <w:rPr>
          <w:rFonts w:ascii="Times New Roman" w:hAnsi="Times New Roman"/>
        </w:rPr>
        <w:t xml:space="preserve">. </w:t>
      </w:r>
    </w:p>
    <w:p w:rsidR="0080559A" w:rsidRDefault="0080559A" w:rsidP="00097C50">
      <w:pPr>
        <w:spacing w:before="120" w:after="120"/>
        <w:jc w:val="both"/>
        <w:rPr>
          <w:rFonts w:ascii="Times New Roman" w:hAnsi="Times New Roman"/>
        </w:rPr>
      </w:pPr>
      <w:r>
        <w:rPr>
          <w:rFonts w:ascii="Times New Roman" w:hAnsi="Times New Roman"/>
        </w:rPr>
        <w:t>In order to support this exchange of views, t</w:t>
      </w:r>
      <w:r w:rsidRPr="003F68E0">
        <w:rPr>
          <w:rFonts w:ascii="Times New Roman" w:hAnsi="Times New Roman"/>
        </w:rPr>
        <w:t xml:space="preserve">he Ministry of Foreign Affairs of the </w:t>
      </w:r>
      <w:r>
        <w:rPr>
          <w:rFonts w:ascii="Times New Roman" w:hAnsi="Times New Roman"/>
        </w:rPr>
        <w:t>g</w:t>
      </w:r>
      <w:r w:rsidRPr="003F68E0">
        <w:rPr>
          <w:rFonts w:ascii="Times New Roman" w:hAnsi="Times New Roman"/>
        </w:rPr>
        <w:t>overnment of Japan</w:t>
      </w:r>
      <w:r>
        <w:rPr>
          <w:rFonts w:ascii="Times New Roman" w:hAnsi="Times New Roman"/>
        </w:rPr>
        <w:t>,</w:t>
      </w:r>
      <w:r w:rsidRPr="003F68E0">
        <w:rPr>
          <w:rFonts w:ascii="Times New Roman" w:hAnsi="Times New Roman"/>
        </w:rPr>
        <w:t xml:space="preserve"> in collaboration with the Secretariat of the Convention on Biological Diversity</w:t>
      </w:r>
      <w:r>
        <w:rPr>
          <w:rFonts w:ascii="Times New Roman" w:hAnsi="Times New Roman"/>
        </w:rPr>
        <w:t xml:space="preserve"> (SCBD)</w:t>
      </w:r>
      <w:r w:rsidRPr="003F68E0">
        <w:rPr>
          <w:rFonts w:ascii="Times New Roman" w:hAnsi="Times New Roman"/>
        </w:rPr>
        <w:t xml:space="preserve"> and the United Nations University Institute of Advanced Studies</w:t>
      </w:r>
      <w:r>
        <w:rPr>
          <w:rFonts w:ascii="Times New Roman" w:hAnsi="Times New Roman"/>
        </w:rPr>
        <w:t xml:space="preserve"> (UNU-IAS)</w:t>
      </w:r>
      <w:r w:rsidRPr="003F68E0">
        <w:rPr>
          <w:rFonts w:ascii="Times New Roman" w:hAnsi="Times New Roman"/>
        </w:rPr>
        <w:t xml:space="preserve"> </w:t>
      </w:r>
      <w:r>
        <w:rPr>
          <w:rFonts w:ascii="Times New Roman" w:hAnsi="Times New Roman"/>
        </w:rPr>
        <w:t>convene</w:t>
      </w:r>
      <w:r w:rsidR="00AE50F9">
        <w:rPr>
          <w:rFonts w:ascii="Times New Roman" w:hAnsi="Times New Roman"/>
        </w:rPr>
        <w:t>d</w:t>
      </w:r>
      <w:r w:rsidRPr="003F68E0">
        <w:rPr>
          <w:rFonts w:ascii="Times New Roman" w:hAnsi="Times New Roman"/>
        </w:rPr>
        <w:t xml:space="preserve"> an informal meeting to </w:t>
      </w:r>
      <w:r>
        <w:rPr>
          <w:rFonts w:ascii="Times New Roman" w:hAnsi="Times New Roman"/>
        </w:rPr>
        <w:t>enable experts from developed and developing countries,</w:t>
      </w:r>
      <w:r w:rsidRPr="003F68E0">
        <w:rPr>
          <w:rFonts w:ascii="Times New Roman" w:hAnsi="Times New Roman"/>
        </w:rPr>
        <w:t xml:space="preserve"> as well as stakeholders representing different groups</w:t>
      </w:r>
      <w:r>
        <w:rPr>
          <w:rFonts w:ascii="Times New Roman" w:hAnsi="Times New Roman"/>
        </w:rPr>
        <w:t xml:space="preserve"> of users of genetic resources, to discuss their views of and experiences with such tools in advance of ICNP-3. </w:t>
      </w:r>
      <w:r w:rsidRPr="00DB7B82">
        <w:rPr>
          <w:rFonts w:ascii="Times New Roman" w:hAnsi="Times New Roman"/>
        </w:rPr>
        <w:t>It is intended that the outcomes of this informal meeting will be conveyed to the ICNP-3.</w:t>
      </w:r>
      <w:r>
        <w:rPr>
          <w:rFonts w:ascii="Times New Roman" w:hAnsi="Times New Roman"/>
        </w:rPr>
        <w:t xml:space="preserve"> </w:t>
      </w:r>
    </w:p>
    <w:p w:rsidR="0080559A" w:rsidRPr="003F739E" w:rsidRDefault="0080559A" w:rsidP="00097C50">
      <w:pPr>
        <w:spacing w:before="120" w:after="120"/>
        <w:jc w:val="both"/>
        <w:rPr>
          <w:rFonts w:ascii="Times New Roman" w:hAnsi="Times New Roman"/>
        </w:rPr>
      </w:pPr>
      <w:r>
        <w:rPr>
          <w:rFonts w:ascii="Times New Roman" w:hAnsi="Times New Roman"/>
        </w:rPr>
        <w:t xml:space="preserve">This study </w:t>
      </w:r>
      <w:r w:rsidR="00344CCC">
        <w:rPr>
          <w:rFonts w:ascii="Times New Roman" w:hAnsi="Times New Roman"/>
        </w:rPr>
        <w:t>was</w:t>
      </w:r>
      <w:r>
        <w:rPr>
          <w:rFonts w:ascii="Times New Roman" w:hAnsi="Times New Roman"/>
        </w:rPr>
        <w:t xml:space="preserve"> developed to inform and support these discussions. Specifically, the</w:t>
      </w:r>
      <w:r w:rsidRPr="00A64180">
        <w:rPr>
          <w:rFonts w:ascii="Times New Roman" w:hAnsi="Times New Roman"/>
        </w:rPr>
        <w:t xml:space="preserve"> study </w:t>
      </w:r>
      <w:r>
        <w:rPr>
          <w:rFonts w:ascii="Times New Roman" w:hAnsi="Times New Roman"/>
        </w:rPr>
        <w:t xml:space="preserve">provides an overview of: </w:t>
      </w:r>
      <w:r w:rsidRPr="00A64180">
        <w:rPr>
          <w:rFonts w:ascii="Times New Roman" w:hAnsi="Times New Roman"/>
        </w:rPr>
        <w:t xml:space="preserve"> </w:t>
      </w:r>
    </w:p>
    <w:p w:rsidR="0080559A" w:rsidRPr="009A4AAA" w:rsidRDefault="0080559A" w:rsidP="00855ABE">
      <w:pPr>
        <w:pStyle w:val="a3"/>
        <w:numPr>
          <w:ilvl w:val="0"/>
          <w:numId w:val="1"/>
        </w:numPr>
        <w:spacing w:before="120" w:after="120"/>
        <w:rPr>
          <w:rFonts w:ascii="Times New Roman" w:hAnsi="Times New Roman"/>
        </w:rPr>
      </w:pPr>
      <w:r>
        <w:rPr>
          <w:rFonts w:ascii="Times New Roman" w:hAnsi="Times New Roman"/>
        </w:rPr>
        <w:t xml:space="preserve">Model contractual clauses </w:t>
      </w:r>
      <w:r w:rsidRPr="00A64180">
        <w:rPr>
          <w:rFonts w:ascii="Times New Roman" w:hAnsi="Times New Roman"/>
        </w:rPr>
        <w:t xml:space="preserve">developed by governments or by particular user groups to support the </w:t>
      </w:r>
      <w:r>
        <w:rPr>
          <w:rFonts w:ascii="Times New Roman" w:hAnsi="Times New Roman"/>
        </w:rPr>
        <w:t xml:space="preserve">negotiation and development </w:t>
      </w:r>
      <w:r w:rsidRPr="00A64180">
        <w:rPr>
          <w:rFonts w:ascii="Times New Roman" w:hAnsi="Times New Roman"/>
        </w:rPr>
        <w:t xml:space="preserve">of </w:t>
      </w:r>
      <w:r w:rsidRPr="00874205">
        <w:rPr>
          <w:rFonts w:ascii="Times New Roman" w:hAnsi="Times New Roman"/>
        </w:rPr>
        <w:t>access and benefit-sharing (ABS) agreements</w:t>
      </w:r>
      <w:r w:rsidRPr="00A64180">
        <w:rPr>
          <w:rFonts w:ascii="Times New Roman" w:hAnsi="Times New Roman"/>
        </w:rPr>
        <w:t>.</w:t>
      </w:r>
    </w:p>
    <w:p w:rsidR="0080559A" w:rsidRPr="005D54B0" w:rsidRDefault="0080559A" w:rsidP="001F53BF">
      <w:pPr>
        <w:pStyle w:val="a3"/>
        <w:numPr>
          <w:ilvl w:val="0"/>
          <w:numId w:val="1"/>
        </w:numPr>
        <w:spacing w:before="120" w:after="120"/>
        <w:rPr>
          <w:rFonts w:ascii="Times New Roman" w:hAnsi="Times New Roman"/>
        </w:rPr>
      </w:pPr>
      <w:r>
        <w:rPr>
          <w:rFonts w:ascii="Times New Roman" w:hAnsi="Times New Roman"/>
        </w:rPr>
        <w:t>C</w:t>
      </w:r>
      <w:r w:rsidRPr="00A64180">
        <w:rPr>
          <w:rFonts w:ascii="Times New Roman" w:hAnsi="Times New Roman"/>
        </w:rPr>
        <w:t>odes of conduct, guidelines</w:t>
      </w:r>
      <w:r w:rsidR="00BE1CF9">
        <w:rPr>
          <w:rFonts w:ascii="Times New Roman" w:hAnsi="Times New Roman"/>
        </w:rPr>
        <w:t>,</w:t>
      </w:r>
      <w:r w:rsidRPr="00A64180">
        <w:rPr>
          <w:rFonts w:ascii="Times New Roman" w:hAnsi="Times New Roman"/>
        </w:rPr>
        <w:t xml:space="preserve"> and best practices and standards developed to assist with the implementation of the </w:t>
      </w:r>
      <w:r w:rsidR="00874205">
        <w:rPr>
          <w:rFonts w:ascii="Times New Roman" w:hAnsi="Times New Roman"/>
        </w:rPr>
        <w:t>ABS</w:t>
      </w:r>
      <w:r w:rsidRPr="00A64180">
        <w:rPr>
          <w:rFonts w:ascii="Times New Roman" w:hAnsi="Times New Roman"/>
        </w:rPr>
        <w:t xml:space="preserve"> provisions of the Convention</w:t>
      </w:r>
      <w:r w:rsidR="00874205">
        <w:rPr>
          <w:rFonts w:ascii="Times New Roman" w:hAnsi="Times New Roman"/>
        </w:rPr>
        <w:t xml:space="preserve"> on Biological Diversity (CBD)</w:t>
      </w:r>
      <w:r w:rsidRPr="00A64180">
        <w:rPr>
          <w:rFonts w:ascii="Times New Roman" w:hAnsi="Times New Roman"/>
        </w:rPr>
        <w:t xml:space="preserve"> </w:t>
      </w:r>
      <w:r>
        <w:rPr>
          <w:rFonts w:ascii="Times New Roman" w:hAnsi="Times New Roman"/>
        </w:rPr>
        <w:t xml:space="preserve">and/or </w:t>
      </w:r>
      <w:r w:rsidRPr="00A64180">
        <w:rPr>
          <w:rFonts w:ascii="Times New Roman" w:hAnsi="Times New Roman"/>
        </w:rPr>
        <w:t xml:space="preserve">the Nagoya Protocol.  </w:t>
      </w:r>
    </w:p>
    <w:p w:rsidR="0080559A" w:rsidRDefault="0080559A" w:rsidP="00097C50">
      <w:pPr>
        <w:shd w:val="clear" w:color="auto" w:fill="FFFFFF"/>
        <w:spacing w:before="120" w:after="120"/>
        <w:jc w:val="both"/>
        <w:rPr>
          <w:rFonts w:ascii="Times New Roman" w:hAnsi="Times New Roman"/>
          <w:i/>
        </w:rPr>
      </w:pPr>
      <w:r w:rsidRPr="001E5AB2">
        <w:rPr>
          <w:rFonts w:ascii="Times New Roman" w:hAnsi="Times New Roman"/>
        </w:rPr>
        <w:t xml:space="preserve">In each case the study reflects on common features and differences among these tools, considering parameters </w:t>
      </w:r>
      <w:r>
        <w:rPr>
          <w:rFonts w:ascii="Times New Roman" w:hAnsi="Times New Roman"/>
        </w:rPr>
        <w:t xml:space="preserve">such as the relevant sector, </w:t>
      </w:r>
      <w:r w:rsidRPr="001E5AB2">
        <w:rPr>
          <w:rFonts w:ascii="Times New Roman" w:hAnsi="Times New Roman"/>
        </w:rPr>
        <w:t xml:space="preserve">authoring organization, whether the tool was developed prior to or after the adoption of the Nagoya Protocol, scope, purpose and any distinctive features in light of the particular needs of the sector for which they were developed. </w:t>
      </w:r>
      <w:r>
        <w:rPr>
          <w:rFonts w:ascii="Times New Roman" w:hAnsi="Times New Roman"/>
        </w:rPr>
        <w:t>The</w:t>
      </w:r>
      <w:r w:rsidRPr="001E5AB2">
        <w:rPr>
          <w:rFonts w:ascii="Times New Roman" w:hAnsi="Times New Roman"/>
        </w:rPr>
        <w:t xml:space="preserve"> discussion is supported by examination of </w:t>
      </w:r>
      <w:r>
        <w:rPr>
          <w:rFonts w:ascii="Times New Roman" w:hAnsi="Times New Roman"/>
        </w:rPr>
        <w:t>a</w:t>
      </w:r>
      <w:r w:rsidRPr="001E5AB2">
        <w:rPr>
          <w:rFonts w:ascii="Times New Roman" w:hAnsi="Times New Roman"/>
        </w:rPr>
        <w:t xml:space="preserve"> </w:t>
      </w:r>
      <w:r>
        <w:rPr>
          <w:rFonts w:ascii="Times New Roman" w:hAnsi="Times New Roman"/>
        </w:rPr>
        <w:t xml:space="preserve">selection of Article 19 and 20 tools, </w:t>
      </w:r>
      <w:r w:rsidRPr="001E5AB2">
        <w:rPr>
          <w:rFonts w:ascii="Times New Roman" w:hAnsi="Times New Roman"/>
        </w:rPr>
        <w:t>chosen to represent a cross section o</w:t>
      </w:r>
      <w:r>
        <w:rPr>
          <w:rFonts w:ascii="Times New Roman" w:hAnsi="Times New Roman"/>
        </w:rPr>
        <w:t>f the different types of tools available</w:t>
      </w:r>
      <w:r w:rsidRPr="001E5AB2">
        <w:rPr>
          <w:rFonts w:ascii="Times New Roman" w:hAnsi="Times New Roman"/>
        </w:rPr>
        <w:t xml:space="preserve">. </w:t>
      </w:r>
      <w:r>
        <w:rPr>
          <w:rFonts w:ascii="Times New Roman" w:hAnsi="Times New Roman"/>
        </w:rPr>
        <w:t xml:space="preserve">The study concludes by offering some preliminary reflections on </w:t>
      </w:r>
      <w:r w:rsidRPr="00051BF6">
        <w:rPr>
          <w:rFonts w:ascii="Times New Roman" w:hAnsi="Times New Roman"/>
        </w:rPr>
        <w:t>the nature of any further research that would be ne</w:t>
      </w:r>
      <w:r>
        <w:rPr>
          <w:rFonts w:ascii="Times New Roman" w:hAnsi="Times New Roman"/>
        </w:rPr>
        <w:t xml:space="preserve">eded to provide a more comprehensive </w:t>
      </w:r>
      <w:r w:rsidRPr="00051BF6">
        <w:rPr>
          <w:rFonts w:ascii="Times New Roman" w:hAnsi="Times New Roman"/>
        </w:rPr>
        <w:t>and detailed analysis</w:t>
      </w:r>
      <w:r>
        <w:rPr>
          <w:rFonts w:ascii="Times New Roman" w:hAnsi="Times New Roman"/>
        </w:rPr>
        <w:t xml:space="preserve"> of the </w:t>
      </w:r>
      <w:r w:rsidRPr="00867C3E">
        <w:rPr>
          <w:rFonts w:ascii="Times New Roman" w:hAnsi="Times New Roman"/>
        </w:rPr>
        <w:t xml:space="preserve">best </w:t>
      </w:r>
      <w:r w:rsidRPr="007C78A2">
        <w:rPr>
          <w:rFonts w:ascii="Times New Roman" w:hAnsi="Times New Roman"/>
        </w:rPr>
        <w:t>ways of</w:t>
      </w:r>
      <w:r w:rsidRPr="00867C3E">
        <w:rPr>
          <w:rFonts w:ascii="Times New Roman" w:hAnsi="Times New Roman"/>
        </w:rPr>
        <w:t xml:space="preserve"> supporting the implementation of the Protocol through</w:t>
      </w:r>
      <w:r>
        <w:rPr>
          <w:rFonts w:ascii="Times New Roman" w:hAnsi="Times New Roman"/>
        </w:rPr>
        <w:t xml:space="preserve"> Articles 19 and 20, </w:t>
      </w:r>
      <w:r w:rsidRPr="00051BF6">
        <w:rPr>
          <w:rFonts w:ascii="Times New Roman" w:hAnsi="Times New Roman"/>
        </w:rPr>
        <w:t xml:space="preserve">including any further information that </w:t>
      </w:r>
      <w:r>
        <w:rPr>
          <w:rFonts w:ascii="Times New Roman" w:hAnsi="Times New Roman"/>
        </w:rPr>
        <w:t>could be provided by Parties and others to this end.</w:t>
      </w:r>
    </w:p>
    <w:p w:rsidR="0080559A" w:rsidRPr="0089341A" w:rsidRDefault="002C52CD" w:rsidP="00097C50">
      <w:pPr>
        <w:shd w:val="clear" w:color="auto" w:fill="FFFFFF"/>
        <w:spacing w:before="120" w:after="120"/>
        <w:jc w:val="both"/>
        <w:rPr>
          <w:rFonts w:ascii="Times New Roman" w:hAnsi="Times New Roman"/>
          <w:i/>
        </w:rPr>
      </w:pPr>
      <w:r>
        <w:rPr>
          <w:rFonts w:ascii="Times New Roman" w:hAnsi="Times New Roman"/>
          <w:i/>
        </w:rPr>
        <w:t>Articles 19 and 20 in Context</w:t>
      </w:r>
      <w:r w:rsidR="002C3496">
        <w:rPr>
          <w:rFonts w:ascii="Times New Roman" w:hAnsi="Times New Roman"/>
          <w:i/>
        </w:rPr>
        <w:t xml:space="preserve"> </w:t>
      </w:r>
      <w:r w:rsidR="00000B2F">
        <w:rPr>
          <w:rFonts w:ascii="Times New Roman" w:hAnsi="Times New Roman"/>
          <w:i/>
        </w:rPr>
        <w:t xml:space="preserve">– the </w:t>
      </w:r>
      <w:r w:rsidR="002C3496">
        <w:rPr>
          <w:rFonts w:ascii="Times New Roman" w:hAnsi="Times New Roman"/>
          <w:i/>
        </w:rPr>
        <w:t xml:space="preserve">Convention </w:t>
      </w:r>
      <w:r w:rsidR="00000B2F">
        <w:rPr>
          <w:rFonts w:ascii="Times New Roman" w:hAnsi="Times New Roman"/>
          <w:i/>
        </w:rPr>
        <w:t xml:space="preserve">on Biological Diversity </w:t>
      </w:r>
      <w:r w:rsidR="002C3496">
        <w:rPr>
          <w:rFonts w:ascii="Times New Roman" w:hAnsi="Times New Roman"/>
          <w:i/>
        </w:rPr>
        <w:t xml:space="preserve">and </w:t>
      </w:r>
      <w:r w:rsidR="00000B2F">
        <w:rPr>
          <w:rFonts w:ascii="Times New Roman" w:hAnsi="Times New Roman"/>
          <w:i/>
        </w:rPr>
        <w:t xml:space="preserve">Nagoya </w:t>
      </w:r>
      <w:r w:rsidR="002C3496">
        <w:rPr>
          <w:rFonts w:ascii="Times New Roman" w:hAnsi="Times New Roman"/>
          <w:i/>
        </w:rPr>
        <w:t>Protocol</w:t>
      </w:r>
    </w:p>
    <w:p w:rsidR="0080559A" w:rsidRDefault="0080559A" w:rsidP="00097C50">
      <w:pPr>
        <w:shd w:val="clear" w:color="auto" w:fill="FFFFFF"/>
        <w:spacing w:before="120" w:after="120"/>
        <w:jc w:val="both"/>
        <w:rPr>
          <w:rFonts w:ascii="Times New Roman" w:hAnsi="Times New Roman"/>
        </w:rPr>
      </w:pPr>
      <w:r>
        <w:rPr>
          <w:rFonts w:ascii="Times New Roman" w:hAnsi="Times New Roman"/>
        </w:rPr>
        <w:t>Pursuant to</w:t>
      </w:r>
      <w:r w:rsidRPr="00F66DE3">
        <w:rPr>
          <w:rFonts w:ascii="Times New Roman" w:hAnsi="Times New Roman"/>
        </w:rPr>
        <w:t xml:space="preserve"> Articles 19</w:t>
      </w:r>
      <w:r>
        <w:rPr>
          <w:rFonts w:ascii="Times New Roman" w:hAnsi="Times New Roman"/>
        </w:rPr>
        <w:t xml:space="preserve"> and 20 of the Nagoya Protocol</w:t>
      </w:r>
      <w:r w:rsidRPr="00F66DE3">
        <w:rPr>
          <w:rFonts w:ascii="Times New Roman" w:hAnsi="Times New Roman"/>
        </w:rPr>
        <w:t>, each Party</w:t>
      </w:r>
      <w:r>
        <w:rPr>
          <w:rStyle w:val="af"/>
          <w:rFonts w:ascii="Times New Roman" w:hAnsi="Times New Roman"/>
        </w:rPr>
        <w:footnoteReference w:id="2"/>
      </w:r>
      <w:r w:rsidRPr="00F66DE3">
        <w:rPr>
          <w:rFonts w:ascii="Times New Roman" w:hAnsi="Times New Roman"/>
        </w:rPr>
        <w:t xml:space="preserve"> </w:t>
      </w:r>
      <w:r>
        <w:rPr>
          <w:rFonts w:ascii="Times New Roman" w:hAnsi="Times New Roman"/>
        </w:rPr>
        <w:t>agrees</w:t>
      </w:r>
      <w:r w:rsidRPr="00F66DE3">
        <w:rPr>
          <w:rFonts w:ascii="Times New Roman" w:hAnsi="Times New Roman"/>
        </w:rPr>
        <w:t xml:space="preserve"> to encourage, as appropriate, the development, update and use of </w:t>
      </w:r>
      <w:proofErr w:type="spellStart"/>
      <w:r w:rsidRPr="00F66DE3">
        <w:rPr>
          <w:rFonts w:ascii="Times New Roman" w:hAnsi="Times New Roman"/>
        </w:rPr>
        <w:t>sectoral</w:t>
      </w:r>
      <w:proofErr w:type="spellEnd"/>
      <w:r w:rsidRPr="00F66DE3">
        <w:rPr>
          <w:rFonts w:ascii="Times New Roman" w:hAnsi="Times New Roman"/>
        </w:rPr>
        <w:t xml:space="preserve"> and cross-</w:t>
      </w:r>
      <w:proofErr w:type="spellStart"/>
      <w:r w:rsidRPr="00F66DE3">
        <w:rPr>
          <w:rFonts w:ascii="Times New Roman" w:hAnsi="Times New Roman"/>
        </w:rPr>
        <w:t>sectoral</w:t>
      </w:r>
      <w:proofErr w:type="spellEnd"/>
      <w:r w:rsidRPr="00F66DE3">
        <w:rPr>
          <w:rFonts w:ascii="Times New Roman" w:hAnsi="Times New Roman"/>
        </w:rPr>
        <w:t xml:space="preserve"> model contractual clauses for mutually agreed terms</w:t>
      </w:r>
      <w:r>
        <w:rPr>
          <w:rFonts w:ascii="Times New Roman" w:hAnsi="Times New Roman"/>
        </w:rPr>
        <w:t>,</w:t>
      </w:r>
      <w:r w:rsidRPr="00F66DE3">
        <w:rPr>
          <w:rFonts w:ascii="Times New Roman" w:hAnsi="Times New Roman"/>
        </w:rPr>
        <w:t xml:space="preserve"> as well </w:t>
      </w:r>
      <w:r>
        <w:rPr>
          <w:rFonts w:ascii="Times New Roman" w:hAnsi="Times New Roman"/>
        </w:rPr>
        <w:t xml:space="preserve">as for </w:t>
      </w:r>
      <w:r w:rsidRPr="00F66DE3">
        <w:rPr>
          <w:rFonts w:ascii="Times New Roman" w:hAnsi="Times New Roman"/>
        </w:rPr>
        <w:t>voluntary codes of conduct, guidelines and best practices and/or standards in relation to access and benefit-sharing.</w:t>
      </w:r>
      <w:r>
        <w:rPr>
          <w:rFonts w:ascii="Times New Roman" w:hAnsi="Times New Roman"/>
        </w:rPr>
        <w:t xml:space="preserve"> The full text of Articles 19 and 20 are set out in Box 1 below. </w:t>
      </w:r>
    </w:p>
    <w:p w:rsidR="0080559A" w:rsidRDefault="006F117E" w:rsidP="00097C50">
      <w:pPr>
        <w:shd w:val="clear" w:color="auto" w:fill="FFFFFF"/>
        <w:spacing w:before="120" w:after="120"/>
        <w:jc w:val="both"/>
        <w:rPr>
          <w:rFonts w:ascii="Times New Roman" w:hAnsi="Times New Roman"/>
        </w:rPr>
      </w:pPr>
      <w:r>
        <w:rPr>
          <w:rFonts w:ascii="Times New Roman" w:hAnsi="Times New Roman"/>
          <w:noProof/>
        </w:rPr>
      </w:r>
      <w:r>
        <w:rPr>
          <w:rFonts w:ascii="Times New Roman" w:hAnsi="Times New Roman"/>
          <w:noProof/>
        </w:rPr>
        <w:pict>
          <v:shapetype id="_x0000_t202" coordsize="21600,21600" o:spt="202" path="m,l,21600r21600,l21600,xe">
            <v:stroke joinstyle="miter"/>
            <v:path gradientshapeok="t" o:connecttype="rect"/>
          </v:shapetype>
          <v:shape id="Text Box 2" o:spid="_x0000_s1027" type="#_x0000_t202" style="width:468pt;height: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" filled="f" strokeweight=".25pt">
            <v:path arrowok="t"/>
            <v:textbox>
              <w:txbxContent>
                <w:p w:rsidR="00BE1CF9" w:rsidRPr="008761C6" w:rsidRDefault="00BE1CF9" w:rsidP="008761C6">
                  <w:pPr>
                    <w:spacing w:before="240" w:line="240" w:lineRule="auto"/>
                    <w:rPr>
                      <w:rFonts w:ascii="Times New Roman" w:hAnsi="Times New Roman"/>
                      <w:b/>
                      <w:bCs/>
                      <w:sz w:val="20"/>
                      <w:szCs w:val="20"/>
                    </w:rPr>
                  </w:pPr>
                  <w:r w:rsidRPr="008761C6">
                    <w:rPr>
                      <w:rFonts w:ascii="Times New Roman" w:hAnsi="Times New Roman"/>
                      <w:b/>
                      <w:bCs/>
                      <w:sz w:val="20"/>
                      <w:szCs w:val="20"/>
                    </w:rPr>
                    <w:t xml:space="preserve">Box 1. Articles 19 and 20 of the Nagoya Protocol </w:t>
                  </w:r>
                </w:p>
                <w:p w:rsidR="00BE1CF9" w:rsidRPr="008761C6" w:rsidRDefault="00BE1CF9" w:rsidP="008761C6">
                  <w:pPr>
                    <w:spacing w:before="240" w:line="240" w:lineRule="auto"/>
                    <w:rPr>
                      <w:rFonts w:ascii="Times New Roman" w:hAnsi="Times New Roman"/>
                      <w:bCs/>
                      <w:sz w:val="20"/>
                      <w:szCs w:val="20"/>
                    </w:rPr>
                  </w:pPr>
                  <w:r w:rsidRPr="008761C6">
                    <w:rPr>
                      <w:rFonts w:ascii="Times New Roman" w:hAnsi="Times New Roman"/>
                      <w:bCs/>
                      <w:sz w:val="20"/>
                      <w:szCs w:val="20"/>
                    </w:rPr>
                    <w:t>Article 19. Model Contractual Clauses</w:t>
                  </w:r>
                </w:p>
                <w:p w:rsidR="00BE1CF9" w:rsidRPr="008761C6" w:rsidRDefault="00BE1CF9" w:rsidP="008761C6">
                  <w:pPr>
                    <w:spacing w:before="240" w:line="240" w:lineRule="auto"/>
                    <w:ind w:left="720" w:hanging="720"/>
                    <w:rPr>
                      <w:rFonts w:ascii="Times New Roman" w:hAnsi="Times New Roman"/>
                      <w:sz w:val="20"/>
                      <w:szCs w:val="20"/>
                    </w:rPr>
                  </w:pPr>
                  <w:r w:rsidRPr="008761C6">
                    <w:rPr>
                      <w:rFonts w:ascii="Times New Roman" w:hAnsi="Times New Roman"/>
                      <w:sz w:val="20"/>
                      <w:szCs w:val="20"/>
                    </w:rPr>
                    <w:t>1.</w:t>
                  </w:r>
                  <w:r w:rsidRPr="008761C6">
                    <w:rPr>
                      <w:rFonts w:ascii="Times New Roman" w:hAnsi="Times New Roman"/>
                      <w:sz w:val="20"/>
                      <w:szCs w:val="20"/>
                    </w:rPr>
                    <w:tab/>
                    <w:t>Each Party shall encoura</w:t>
                  </w:r>
                  <w:r>
                    <w:rPr>
                      <w:rFonts w:ascii="Times New Roman" w:hAnsi="Times New Roman"/>
                      <w:sz w:val="20"/>
                      <w:szCs w:val="20"/>
                    </w:rPr>
                    <w:t>ge, as appropriate, the developm</w:t>
                  </w:r>
                  <w:r w:rsidRPr="008761C6">
                    <w:rPr>
                      <w:rFonts w:ascii="Times New Roman" w:hAnsi="Times New Roman"/>
                      <w:sz w:val="20"/>
                      <w:szCs w:val="20"/>
                    </w:rPr>
                    <w:t xml:space="preserve">ent, update and use of </w:t>
                  </w:r>
                  <w:proofErr w:type="spellStart"/>
                  <w:r w:rsidRPr="008761C6">
                    <w:rPr>
                      <w:rFonts w:ascii="Times New Roman" w:hAnsi="Times New Roman"/>
                      <w:sz w:val="20"/>
                      <w:szCs w:val="20"/>
                    </w:rPr>
                    <w:t>sectoral</w:t>
                  </w:r>
                  <w:proofErr w:type="spellEnd"/>
                  <w:r w:rsidRPr="008761C6">
                    <w:rPr>
                      <w:rFonts w:ascii="Times New Roman" w:hAnsi="Times New Roman"/>
                      <w:sz w:val="20"/>
                      <w:szCs w:val="20"/>
                    </w:rPr>
                    <w:t xml:space="preserve"> and cross-</w:t>
                  </w:r>
                  <w:proofErr w:type="spellStart"/>
                  <w:r w:rsidRPr="008761C6">
                    <w:rPr>
                      <w:rFonts w:ascii="Times New Roman" w:hAnsi="Times New Roman"/>
                      <w:sz w:val="20"/>
                      <w:szCs w:val="20"/>
                    </w:rPr>
                    <w:t>sectoral</w:t>
                  </w:r>
                  <w:proofErr w:type="spellEnd"/>
                  <w:r w:rsidRPr="008761C6">
                    <w:rPr>
                      <w:rFonts w:ascii="Times New Roman" w:hAnsi="Times New Roman"/>
                      <w:sz w:val="20"/>
                      <w:szCs w:val="20"/>
                    </w:rPr>
                    <w:t xml:space="preserve"> model contractual clauses for mutually agreed terms.</w:t>
                  </w:r>
                </w:p>
                <w:p w:rsidR="00BE1CF9" w:rsidRPr="008761C6" w:rsidRDefault="00BE1CF9" w:rsidP="008761C6">
                  <w:pPr>
                    <w:spacing w:before="240" w:line="240" w:lineRule="auto"/>
                    <w:ind w:left="720" w:hanging="720"/>
                    <w:rPr>
                      <w:rFonts w:ascii="Times New Roman" w:hAnsi="Times New Roman"/>
                      <w:sz w:val="20"/>
                      <w:szCs w:val="20"/>
                    </w:rPr>
                  </w:pPr>
                  <w:r w:rsidRPr="008761C6">
                    <w:rPr>
                      <w:rFonts w:ascii="Times New Roman" w:hAnsi="Times New Roman"/>
                      <w:sz w:val="20"/>
                      <w:szCs w:val="20"/>
                    </w:rPr>
                    <w:t>2.</w:t>
                  </w:r>
                  <w:r w:rsidRPr="008761C6">
                    <w:rPr>
                      <w:rFonts w:ascii="Times New Roman" w:hAnsi="Times New Roman"/>
                      <w:sz w:val="20"/>
                      <w:szCs w:val="20"/>
                    </w:rPr>
                    <w:tab/>
                    <w:t xml:space="preserve">The Conference of the Parties serving as the meeting of the Parties to this Protocol shall periodically take stock of the use of </w:t>
                  </w:r>
                  <w:proofErr w:type="spellStart"/>
                  <w:r w:rsidRPr="008761C6">
                    <w:rPr>
                      <w:rFonts w:ascii="Times New Roman" w:hAnsi="Times New Roman"/>
                      <w:sz w:val="20"/>
                      <w:szCs w:val="20"/>
                    </w:rPr>
                    <w:t>sectoral</w:t>
                  </w:r>
                  <w:proofErr w:type="spellEnd"/>
                  <w:r w:rsidRPr="008761C6">
                    <w:rPr>
                      <w:rFonts w:ascii="Times New Roman" w:hAnsi="Times New Roman"/>
                      <w:sz w:val="20"/>
                      <w:szCs w:val="20"/>
                    </w:rPr>
                    <w:t xml:space="preserve"> and cross-</w:t>
                  </w:r>
                  <w:proofErr w:type="spellStart"/>
                  <w:r w:rsidRPr="008761C6">
                    <w:rPr>
                      <w:rFonts w:ascii="Times New Roman" w:hAnsi="Times New Roman"/>
                      <w:sz w:val="20"/>
                      <w:szCs w:val="20"/>
                    </w:rPr>
                    <w:t>sect</w:t>
                  </w:r>
                  <w:r>
                    <w:rPr>
                      <w:rFonts w:ascii="Times New Roman" w:hAnsi="Times New Roman"/>
                      <w:sz w:val="20"/>
                      <w:szCs w:val="20"/>
                    </w:rPr>
                    <w:t>oral</w:t>
                  </w:r>
                  <w:proofErr w:type="spellEnd"/>
                  <w:r>
                    <w:rPr>
                      <w:rFonts w:ascii="Times New Roman" w:hAnsi="Times New Roman"/>
                      <w:sz w:val="20"/>
                      <w:szCs w:val="20"/>
                    </w:rPr>
                    <w:t xml:space="preserve"> model contractual clauses.</w:t>
                  </w:r>
                </w:p>
                <w:p w:rsidR="00BE1CF9" w:rsidRPr="008761C6" w:rsidRDefault="00BE1CF9" w:rsidP="008761C6">
                  <w:pPr>
                    <w:spacing w:before="240" w:line="240" w:lineRule="auto"/>
                    <w:rPr>
                      <w:rFonts w:ascii="Times New Roman" w:hAnsi="Times New Roman"/>
                      <w:bCs/>
                      <w:sz w:val="20"/>
                      <w:szCs w:val="20"/>
                    </w:rPr>
                  </w:pPr>
                  <w:r w:rsidRPr="008761C6">
                    <w:rPr>
                      <w:rFonts w:ascii="Times New Roman" w:hAnsi="Times New Roman"/>
                      <w:bCs/>
                      <w:sz w:val="20"/>
                      <w:szCs w:val="20"/>
                    </w:rPr>
                    <w:t>Article 20. Codes of Conduct, Guidelines, and Best Practices and/or Standards</w:t>
                  </w:r>
                </w:p>
                <w:p w:rsidR="00BE1CF9" w:rsidRPr="008761C6" w:rsidRDefault="00BE1CF9" w:rsidP="008761C6">
                  <w:pPr>
                    <w:spacing w:before="240" w:line="240" w:lineRule="auto"/>
                    <w:ind w:left="720" w:hanging="720"/>
                    <w:rPr>
                      <w:rFonts w:ascii="Times New Roman" w:hAnsi="Times New Roman"/>
                      <w:sz w:val="20"/>
                      <w:szCs w:val="20"/>
                    </w:rPr>
                  </w:pPr>
                  <w:r w:rsidRPr="008761C6">
                    <w:rPr>
                      <w:rFonts w:ascii="Times New Roman" w:hAnsi="Times New Roman"/>
                      <w:sz w:val="20"/>
                      <w:szCs w:val="20"/>
                    </w:rPr>
                    <w:t>1.</w:t>
                  </w:r>
                  <w:r w:rsidRPr="008761C6">
                    <w:rPr>
                      <w:rFonts w:ascii="Times New Roman" w:hAnsi="Times New Roman"/>
                      <w:sz w:val="20"/>
                      <w:szCs w:val="20"/>
                    </w:rPr>
                    <w:tab/>
                    <w:t>Each Party shall encourage, as appropriate, the development, update and use of voluntary codes of conduct, guidelines and best practices and/or standards in relation to access and benefit-sharing.</w:t>
                  </w:r>
                </w:p>
                <w:p w:rsidR="00BE1CF9" w:rsidRPr="008761C6" w:rsidRDefault="00BE1CF9" w:rsidP="008761C6">
                  <w:pPr>
                    <w:spacing w:before="240" w:line="240" w:lineRule="auto"/>
                    <w:ind w:left="720" w:hanging="720"/>
                    <w:rPr>
                      <w:rFonts w:ascii="Times New Roman" w:hAnsi="Times New Roman"/>
                      <w:sz w:val="20"/>
                      <w:szCs w:val="20"/>
                    </w:rPr>
                  </w:pPr>
                  <w:r w:rsidRPr="008761C6">
                    <w:rPr>
                      <w:rFonts w:ascii="Times New Roman" w:hAnsi="Times New Roman"/>
                      <w:sz w:val="20"/>
                      <w:szCs w:val="20"/>
                    </w:rPr>
                    <w:t>2.</w:t>
                  </w:r>
                  <w:r w:rsidRPr="008761C6">
                    <w:rPr>
                      <w:rFonts w:ascii="Times New Roman" w:hAnsi="Times New Roman"/>
                      <w:sz w:val="20"/>
                      <w:szCs w:val="20"/>
                    </w:rPr>
                    <w:tab/>
                    <w:t>The Conference of the Parties serving as the meeting of the Parties to this Protocol shall periodically take stock of the use of voluntary codes of conduct, guidelines and best practices and/or standards and consider the adoption of specific codes of conduct, guidelines and best practices and/or standards.</w:t>
                  </w:r>
                </w:p>
                <w:p w:rsidR="00BE1CF9" w:rsidRDefault="00BE1CF9" w:rsidP="00A20120"/>
                <w:p w:rsidR="00BE1CF9" w:rsidRDefault="00BE1CF9" w:rsidP="00A20120"/>
                <w:p w:rsidR="00BE1CF9" w:rsidRDefault="00BE1CF9" w:rsidP="00A20120"/>
                <w:p w:rsidR="00BE1CF9" w:rsidRDefault="00BE1CF9" w:rsidP="00A20120"/>
              </w:txbxContent>
            </v:textbox>
            <w10:wrap type="none"/>
            <w10:anchorlock/>
          </v:shape>
        </w:pict>
      </w:r>
    </w:p>
    <w:p w:rsidR="0080559A" w:rsidRDefault="0080559A" w:rsidP="00097C50">
      <w:pPr>
        <w:jc w:val="both"/>
        <w:rPr>
          <w:rFonts w:ascii="Times New Roman" w:hAnsi="Times New Roman"/>
        </w:rPr>
      </w:pPr>
      <w:r>
        <w:rPr>
          <w:rFonts w:ascii="Times New Roman" w:hAnsi="Times New Roman"/>
        </w:rPr>
        <w:t xml:space="preserve">The value of model contractual clauses, codes of conduct, guidelines, best practices and standards in facilitating effective implementation of the access and benefit-sharing provisions of the </w:t>
      </w:r>
      <w:r w:rsidRPr="00874205">
        <w:rPr>
          <w:rFonts w:ascii="Times New Roman" w:hAnsi="Times New Roman"/>
        </w:rPr>
        <w:t>CBD</w:t>
      </w:r>
      <w:r>
        <w:rPr>
          <w:rFonts w:ascii="Times New Roman" w:hAnsi="Times New Roman"/>
        </w:rPr>
        <w:t xml:space="preserve"> has long been recognized. Most tools available were first developed in the years between the adoption of the </w:t>
      </w:r>
      <w:r w:rsidR="00874205">
        <w:rPr>
          <w:rFonts w:ascii="Times New Roman" w:hAnsi="Times New Roman"/>
        </w:rPr>
        <w:t>CBD</w:t>
      </w:r>
      <w:r>
        <w:rPr>
          <w:rFonts w:ascii="Times New Roman" w:hAnsi="Times New Roman"/>
        </w:rPr>
        <w:t xml:space="preserve"> in 1992 and the adoption of the Nagoya Protocol in 2010. Many of these tools followed and were informed by the voluntary Bonn Guidelines adopted by the Conference of the Parties (COP) to the CBD in 2002</w:t>
      </w:r>
      <w:r>
        <w:rPr>
          <w:rStyle w:val="af"/>
          <w:rFonts w:ascii="Times New Roman" w:hAnsi="Times New Roman"/>
        </w:rPr>
        <w:footnoteReference w:id="3"/>
      </w:r>
      <w:r>
        <w:rPr>
          <w:rFonts w:ascii="Times New Roman" w:hAnsi="Times New Roman"/>
        </w:rPr>
        <w:t xml:space="preserve">. </w:t>
      </w:r>
    </w:p>
    <w:p w:rsidR="0080559A" w:rsidRDefault="0080559A" w:rsidP="00BA2256">
      <w:pPr>
        <w:spacing w:before="120" w:after="120"/>
        <w:jc w:val="both"/>
        <w:rPr>
          <w:rFonts w:ascii="Times New Roman" w:hAnsi="Times New Roman"/>
        </w:rPr>
      </w:pPr>
      <w:r w:rsidRPr="001F53BF">
        <w:rPr>
          <w:rFonts w:ascii="Times New Roman" w:hAnsi="Times New Roman"/>
        </w:rPr>
        <w:t>The fair and equitable sharing of the benefits arising out of the utilization of genetic resources is one of the three objectives of the C</w:t>
      </w:r>
      <w:r w:rsidR="00874205">
        <w:rPr>
          <w:rFonts w:ascii="Times New Roman" w:hAnsi="Times New Roman"/>
        </w:rPr>
        <w:t>BD</w:t>
      </w:r>
      <w:r>
        <w:rPr>
          <w:rStyle w:val="af"/>
          <w:rFonts w:ascii="Times New Roman" w:hAnsi="Times New Roman"/>
        </w:rPr>
        <w:footnoteReference w:id="4"/>
      </w:r>
      <w:r>
        <w:rPr>
          <w:rFonts w:ascii="Times New Roman" w:hAnsi="Times New Roman"/>
        </w:rPr>
        <w:t>. The CBD reframed international governance of biodiversity by recognizing</w:t>
      </w:r>
      <w:r w:rsidRPr="008C6640">
        <w:rPr>
          <w:rFonts w:ascii="Times New Roman" w:hAnsi="Times New Roman"/>
        </w:rPr>
        <w:t xml:space="preserve"> </w:t>
      </w:r>
      <w:r>
        <w:rPr>
          <w:rFonts w:ascii="Times New Roman" w:hAnsi="Times New Roman"/>
        </w:rPr>
        <w:t xml:space="preserve">that </w:t>
      </w:r>
      <w:r w:rsidRPr="008C6640">
        <w:rPr>
          <w:rFonts w:ascii="Times New Roman" w:hAnsi="Times New Roman"/>
        </w:rPr>
        <w:t>the sovereign right of States over th</w:t>
      </w:r>
      <w:r>
        <w:rPr>
          <w:rFonts w:ascii="Times New Roman" w:hAnsi="Times New Roman"/>
        </w:rPr>
        <w:t>eir natural resources includes the authority to determine access to genetic resources</w:t>
      </w:r>
      <w:r>
        <w:rPr>
          <w:rStyle w:val="af"/>
          <w:rFonts w:ascii="Times New Roman" w:hAnsi="Times New Roman"/>
        </w:rPr>
        <w:footnoteReference w:id="5"/>
      </w:r>
      <w:r>
        <w:rPr>
          <w:rFonts w:ascii="Times New Roman" w:hAnsi="Times New Roman"/>
        </w:rPr>
        <w:t xml:space="preserve"> and requires the </w:t>
      </w:r>
      <w:r w:rsidRPr="00874205">
        <w:rPr>
          <w:rFonts w:ascii="Times New Roman" w:hAnsi="Times New Roman"/>
        </w:rPr>
        <w:t xml:space="preserve">prior informed consent </w:t>
      </w:r>
      <w:r w:rsidR="00925E70" w:rsidRPr="00874205">
        <w:rPr>
          <w:rFonts w:ascii="Times New Roman" w:hAnsi="Times New Roman"/>
        </w:rPr>
        <w:t>(PIC)</w:t>
      </w:r>
      <w:r w:rsidR="00925E70">
        <w:rPr>
          <w:rFonts w:ascii="Times New Roman" w:hAnsi="Times New Roman"/>
        </w:rPr>
        <w:t xml:space="preserve"> </w:t>
      </w:r>
      <w:r>
        <w:rPr>
          <w:rFonts w:ascii="Times New Roman" w:hAnsi="Times New Roman"/>
        </w:rPr>
        <w:t>of the Contracting Party</w:t>
      </w:r>
      <w:r>
        <w:rPr>
          <w:rStyle w:val="af"/>
          <w:rFonts w:ascii="Times New Roman" w:hAnsi="Times New Roman"/>
        </w:rPr>
        <w:footnoteReference w:id="6"/>
      </w:r>
      <w:r>
        <w:rPr>
          <w:rFonts w:ascii="Times New Roman" w:hAnsi="Times New Roman"/>
        </w:rPr>
        <w:t>. Further, and subject to national legislation, Parties to the Convention</w:t>
      </w:r>
      <w:r w:rsidRPr="00790580">
        <w:rPr>
          <w:rFonts w:ascii="Times New Roman" w:hAnsi="Times New Roman"/>
        </w:rPr>
        <w:t xml:space="preserve"> </w:t>
      </w:r>
      <w:r>
        <w:rPr>
          <w:rFonts w:ascii="Times New Roman" w:hAnsi="Times New Roman"/>
        </w:rPr>
        <w:t xml:space="preserve">agreed to </w:t>
      </w:r>
      <w:r w:rsidRPr="00790580">
        <w:rPr>
          <w:rFonts w:ascii="Times New Roman" w:hAnsi="Times New Roman"/>
        </w:rPr>
        <w:t xml:space="preserve">promote </w:t>
      </w:r>
      <w:r>
        <w:rPr>
          <w:rFonts w:ascii="Times New Roman" w:hAnsi="Times New Roman"/>
        </w:rPr>
        <w:t xml:space="preserve">the application of knowledge, innovations and practices of indigenous and local communities, </w:t>
      </w:r>
      <w:r w:rsidRPr="00790580">
        <w:rPr>
          <w:rFonts w:ascii="Times New Roman" w:hAnsi="Times New Roman"/>
        </w:rPr>
        <w:t>with the approval and involvement of</w:t>
      </w:r>
      <w:r>
        <w:rPr>
          <w:rFonts w:ascii="Times New Roman" w:hAnsi="Times New Roman"/>
        </w:rPr>
        <w:t xml:space="preserve"> the holders of such knowledge, innovations and practices, </w:t>
      </w:r>
      <w:r w:rsidRPr="00790580">
        <w:rPr>
          <w:rFonts w:ascii="Times New Roman" w:hAnsi="Times New Roman"/>
        </w:rPr>
        <w:t xml:space="preserve">and </w:t>
      </w:r>
      <w:r>
        <w:rPr>
          <w:rFonts w:ascii="Times New Roman" w:hAnsi="Times New Roman"/>
        </w:rPr>
        <w:t xml:space="preserve">to </w:t>
      </w:r>
      <w:r w:rsidRPr="00790580">
        <w:rPr>
          <w:rFonts w:ascii="Times New Roman" w:hAnsi="Times New Roman"/>
        </w:rPr>
        <w:t>encourage the equitable sharing</w:t>
      </w:r>
      <w:r>
        <w:rPr>
          <w:rFonts w:ascii="Times New Roman" w:hAnsi="Times New Roman"/>
        </w:rPr>
        <w:t xml:space="preserve"> of any benefits arising from their use</w:t>
      </w:r>
      <w:r>
        <w:rPr>
          <w:rStyle w:val="af"/>
          <w:rFonts w:ascii="Times New Roman" w:hAnsi="Times New Roman"/>
        </w:rPr>
        <w:footnoteReference w:id="7"/>
      </w:r>
      <w:r>
        <w:rPr>
          <w:rFonts w:ascii="Times New Roman" w:hAnsi="Times New Roman"/>
        </w:rPr>
        <w:t xml:space="preserve">. </w:t>
      </w:r>
      <w:r w:rsidRPr="00A322AF">
        <w:rPr>
          <w:rFonts w:ascii="Times New Roman" w:hAnsi="Times New Roman"/>
        </w:rPr>
        <w:t xml:space="preserve">That </w:t>
      </w:r>
      <w:r w:rsidR="00874205">
        <w:rPr>
          <w:rFonts w:ascii="Times New Roman" w:hAnsi="Times New Roman"/>
        </w:rPr>
        <w:t>ABS</w:t>
      </w:r>
      <w:r w:rsidRPr="00A322AF">
        <w:rPr>
          <w:rFonts w:ascii="Times New Roman" w:hAnsi="Times New Roman"/>
        </w:rPr>
        <w:t xml:space="preserve"> was to be based</w:t>
      </w:r>
      <w:r>
        <w:rPr>
          <w:rFonts w:ascii="Times New Roman" w:hAnsi="Times New Roman"/>
        </w:rPr>
        <w:t xml:space="preserve"> on</w:t>
      </w:r>
      <w:r w:rsidRPr="00A322AF">
        <w:rPr>
          <w:rFonts w:ascii="Times New Roman" w:hAnsi="Times New Roman"/>
        </w:rPr>
        <w:t xml:space="preserve"> mutually agreed terms</w:t>
      </w:r>
      <w:r>
        <w:rPr>
          <w:rStyle w:val="af"/>
          <w:rFonts w:ascii="Times New Roman" w:hAnsi="Times New Roman"/>
        </w:rPr>
        <w:footnoteReference w:id="8"/>
      </w:r>
      <w:r w:rsidRPr="00A322AF">
        <w:rPr>
          <w:rFonts w:ascii="Times New Roman" w:hAnsi="Times New Roman"/>
        </w:rPr>
        <w:t xml:space="preserve"> led to </w:t>
      </w:r>
      <w:r>
        <w:rPr>
          <w:rFonts w:ascii="Times New Roman" w:hAnsi="Times New Roman"/>
        </w:rPr>
        <w:t xml:space="preserve">agreements </w:t>
      </w:r>
      <w:r w:rsidRPr="00A322AF">
        <w:rPr>
          <w:rFonts w:ascii="Times New Roman" w:hAnsi="Times New Roman"/>
        </w:rPr>
        <w:t>between the providers</w:t>
      </w:r>
      <w:r>
        <w:rPr>
          <w:rFonts w:ascii="Times New Roman" w:hAnsi="Times New Roman"/>
        </w:rPr>
        <w:t xml:space="preserve"> and users</w:t>
      </w:r>
      <w:r w:rsidRPr="00A322AF">
        <w:rPr>
          <w:rFonts w:ascii="Times New Roman" w:hAnsi="Times New Roman"/>
        </w:rPr>
        <w:t xml:space="preserve"> of genetic resources </w:t>
      </w:r>
      <w:r>
        <w:rPr>
          <w:rFonts w:ascii="Times New Roman" w:hAnsi="Times New Roman"/>
        </w:rPr>
        <w:t>being viewed as a</w:t>
      </w:r>
      <w:r w:rsidRPr="00A322AF">
        <w:rPr>
          <w:rFonts w:ascii="Times New Roman" w:hAnsi="Times New Roman"/>
        </w:rPr>
        <w:t xml:space="preserve"> primary vehicle through which genetic resources would be transferred from the provider to the user</w:t>
      </w:r>
      <w:r>
        <w:rPr>
          <w:rFonts w:ascii="Times New Roman" w:hAnsi="Times New Roman"/>
        </w:rPr>
        <w:t>,</w:t>
      </w:r>
      <w:r w:rsidRPr="00A322AF">
        <w:rPr>
          <w:rFonts w:ascii="Times New Roman" w:hAnsi="Times New Roman"/>
        </w:rPr>
        <w:t xml:space="preserve"> and through which arrangements for the sharing of benefits with the prov</w:t>
      </w:r>
      <w:r>
        <w:rPr>
          <w:rFonts w:ascii="Times New Roman" w:hAnsi="Times New Roman"/>
        </w:rPr>
        <w:t xml:space="preserve">ider could be defined (see Box 2 for the texts of Article 8(j) and Article 15 of the CBD). </w:t>
      </w:r>
    </w:p>
    <w:p w:rsidR="0080559A" w:rsidRDefault="006F117E" w:rsidP="00097C50">
      <w:pPr>
        <w:spacing w:before="120" w:after="120"/>
        <w:jc w:val="both"/>
        <w:rPr>
          <w:rFonts w:ascii="Times New Roman" w:hAnsi="Times New Roman"/>
        </w:rPr>
      </w:pPr>
      <w:r>
        <w:rPr>
          <w:rFonts w:ascii="Times New Roman" w:hAnsi="Times New Roman"/>
          <w:noProof/>
        </w:rPr>
      </w:r>
      <w:r>
        <w:rPr>
          <w:rFonts w:ascii="Times New Roman" w:hAnsi="Times New Roman"/>
          <w:noProof/>
        </w:rPr>
        <w:pict>
          <v:shape id="Text Box 1" o:spid="_x0000_s1026" type="#_x0000_t202" style="width:468pt;height:453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" filled="f" strokeweight=".25pt">
            <v:path arrowok="t"/>
            <v:textbox>
              <w:txbxContent>
                <w:p w:rsidR="004D3615" w:rsidRPr="0058061A" w:rsidRDefault="004D3615" w:rsidP="00716FDE">
                  <w:pPr>
                    <w:spacing w:before="120" w:after="120" w:line="240" w:lineRule="auto"/>
                    <w:rPr>
                      <w:rFonts w:ascii="Times New Roman" w:hAnsi="Times New Roman"/>
                      <w:b/>
                      <w:bCs/>
                      <w:sz w:val="20"/>
                      <w:szCs w:val="20"/>
                    </w:rPr>
                  </w:pPr>
                  <w:r w:rsidRPr="0058061A">
                    <w:rPr>
                      <w:rFonts w:ascii="Times New Roman" w:hAnsi="Times New Roman"/>
                      <w:b/>
                      <w:bCs/>
                      <w:sz w:val="20"/>
                      <w:szCs w:val="20"/>
                    </w:rPr>
                    <w:t xml:space="preserve">Box 2. Articles 8(j) and 15 of the </w:t>
                  </w:r>
                  <w:r>
                    <w:rPr>
                      <w:rFonts w:ascii="Times New Roman" w:hAnsi="Times New Roman" w:hint="eastAsia"/>
                      <w:b/>
                      <w:bCs/>
                      <w:sz w:val="20"/>
                      <w:szCs w:val="20"/>
                      <w:lang w:eastAsia="ja-JP"/>
                    </w:rPr>
                    <w:t>CBD</w:t>
                  </w:r>
                </w:p>
                <w:p w:rsidR="004D3615" w:rsidRPr="0058061A" w:rsidRDefault="004D3615" w:rsidP="00716FDE">
                  <w:pPr>
                    <w:spacing w:line="240" w:lineRule="auto"/>
                    <w:rPr>
                      <w:rFonts w:ascii="Times New Roman" w:hAnsi="Times New Roman"/>
                      <w:i/>
                      <w:sz w:val="20"/>
                      <w:szCs w:val="20"/>
                    </w:rPr>
                  </w:pPr>
                  <w:r w:rsidRPr="0058061A">
                    <w:rPr>
                      <w:rFonts w:ascii="Times New Roman" w:hAnsi="Times New Roman"/>
                      <w:i/>
                      <w:sz w:val="20"/>
                      <w:szCs w:val="20"/>
                    </w:rPr>
                    <w:t xml:space="preserve">Article 8(j) </w:t>
                  </w:r>
                </w:p>
                <w:p w:rsidR="004D3615" w:rsidRPr="0058061A" w:rsidRDefault="004D3615" w:rsidP="00716FDE">
                  <w:pPr>
                    <w:spacing w:before="120" w:after="120" w:line="240" w:lineRule="auto"/>
                    <w:jc w:val="both"/>
                    <w:rPr>
                      <w:rFonts w:ascii="Times New Roman" w:hAnsi="Times New Roman"/>
                      <w:sz w:val="20"/>
                      <w:szCs w:val="20"/>
                    </w:rPr>
                  </w:pPr>
                  <w:r w:rsidRPr="0058061A">
                    <w:rPr>
                      <w:rFonts w:ascii="Times New Roman" w:hAnsi="Times New Roman"/>
                      <w:sz w:val="20"/>
                      <w:szCs w:val="20"/>
                    </w:rPr>
                    <w:t>Each Contracting Party shall, as far as possible and as appropriate: …</w:t>
                  </w:r>
                </w:p>
                <w:p w:rsidR="004D3615" w:rsidRPr="0058061A" w:rsidRDefault="004D3615" w:rsidP="00716FDE">
                  <w:pPr>
                    <w:spacing w:before="120" w:after="120" w:line="240" w:lineRule="auto"/>
                    <w:jc w:val="both"/>
                    <w:rPr>
                      <w:rFonts w:ascii="Times New Roman" w:hAnsi="Times New Roman"/>
                      <w:sz w:val="20"/>
                      <w:szCs w:val="20"/>
                    </w:rPr>
                  </w:pPr>
                  <w:r w:rsidRPr="0058061A">
                    <w:rPr>
                      <w:rFonts w:ascii="Times New Roman" w:hAnsi="Times New Roman"/>
                      <w:sz w:val="20"/>
                      <w:szCs w:val="20"/>
                    </w:rPr>
                    <w:t>(j) Subject to its national legislation, respect, preserve and maintain knowledge, innovations and practices of indigenous and local communities embodying traditional lifestyles relevant for the conservation and sustainable use of biological diversity and promote their wider application with the approval and involvement of the holders of such knowledge, innovations and practices and encourage the equitable sharing of the benefits arising from the utilization of such knowledge, innovations and practices.</w:t>
                  </w:r>
                </w:p>
                <w:p w:rsidR="004D3615" w:rsidRPr="0058061A" w:rsidRDefault="004D3615" w:rsidP="00716FDE">
                  <w:pPr>
                    <w:spacing w:line="240" w:lineRule="auto"/>
                    <w:rPr>
                      <w:rFonts w:ascii="Times New Roman" w:hAnsi="Times New Roman"/>
                      <w:i/>
                      <w:sz w:val="20"/>
                      <w:szCs w:val="20"/>
                    </w:rPr>
                  </w:pPr>
                  <w:r w:rsidRPr="0058061A">
                    <w:rPr>
                      <w:rFonts w:ascii="Times New Roman" w:hAnsi="Times New Roman"/>
                      <w:i/>
                      <w:sz w:val="20"/>
                      <w:szCs w:val="20"/>
                    </w:rPr>
                    <w:t xml:space="preserve">Article 15 </w:t>
                  </w:r>
                </w:p>
                <w:p w:rsidR="004D3615" w:rsidRPr="0058061A" w:rsidRDefault="004D3615" w:rsidP="00716FDE">
                  <w:pPr>
                    <w:spacing w:line="240" w:lineRule="auto"/>
                    <w:rPr>
                      <w:rFonts w:ascii="Times New Roman" w:hAnsi="Times New Roman"/>
                      <w:sz w:val="20"/>
                      <w:szCs w:val="20"/>
                    </w:rPr>
                  </w:pPr>
                  <w:r w:rsidRPr="0058061A">
                    <w:rPr>
                      <w:rFonts w:ascii="Times New Roman" w:hAnsi="Times New Roman"/>
                      <w:sz w:val="20"/>
                      <w:szCs w:val="20"/>
                    </w:rPr>
                    <w:t>1. Recognizing the sovereign rights of States over their natural resources, the authority to determine access to genetic resources rests with the national governments and is subject to national legislation.</w:t>
                  </w:r>
                </w:p>
                <w:p w:rsidR="004D3615" w:rsidRPr="0058061A" w:rsidRDefault="004D3615" w:rsidP="00716FDE">
                  <w:pPr>
                    <w:spacing w:line="240" w:lineRule="auto"/>
                    <w:rPr>
                      <w:rFonts w:ascii="Times New Roman" w:hAnsi="Times New Roman"/>
                      <w:sz w:val="20"/>
                      <w:szCs w:val="20"/>
                    </w:rPr>
                  </w:pPr>
                  <w:r w:rsidRPr="0058061A">
                    <w:rPr>
                      <w:rFonts w:ascii="Times New Roman" w:hAnsi="Times New Roman"/>
                      <w:sz w:val="20"/>
                      <w:szCs w:val="20"/>
                    </w:rPr>
                    <w:t xml:space="preserve">2. Each Contracting Party shall </w:t>
                  </w:r>
                  <w:proofErr w:type="spellStart"/>
                  <w:r w:rsidRPr="0058061A">
                    <w:rPr>
                      <w:rFonts w:ascii="Times New Roman" w:hAnsi="Times New Roman"/>
                      <w:sz w:val="20"/>
                      <w:szCs w:val="20"/>
                    </w:rPr>
                    <w:t>endeavour</w:t>
                  </w:r>
                  <w:proofErr w:type="spellEnd"/>
                  <w:r w:rsidRPr="0058061A">
                    <w:rPr>
                      <w:rFonts w:ascii="Times New Roman" w:hAnsi="Times New Roman"/>
                      <w:sz w:val="20"/>
                      <w:szCs w:val="20"/>
                    </w:rPr>
                    <w:t xml:space="preserve"> to create conditions to facilitate access to genetic resources for environmentally sound uses by other Contracting Parties and not to impose restrictions that run counter to the objectives of this Convention.</w:t>
                  </w:r>
                </w:p>
                <w:p w:rsidR="004D3615" w:rsidRPr="0058061A" w:rsidRDefault="004D3615" w:rsidP="00716FDE">
                  <w:pPr>
                    <w:spacing w:line="240" w:lineRule="auto"/>
                    <w:rPr>
                      <w:rFonts w:ascii="Times New Roman" w:hAnsi="Times New Roman"/>
                      <w:sz w:val="20"/>
                      <w:szCs w:val="20"/>
                    </w:rPr>
                  </w:pPr>
                  <w:r w:rsidRPr="0058061A">
                    <w:rPr>
                      <w:rFonts w:ascii="Times New Roman" w:hAnsi="Times New Roman"/>
                      <w:sz w:val="20"/>
                      <w:szCs w:val="20"/>
                    </w:rPr>
                    <w:t>3. For the purpose of this Convention, the genetic resources being provided by a Contracting Party, as referred to in this Article and Articles 16 and 19, are only those that are provided by Contracting Parties that are countries of origin of such resources or by the Parties that have acquired the genetic resources in accordance with this Convention.</w:t>
                  </w:r>
                </w:p>
                <w:p w:rsidR="004D3615" w:rsidRPr="0058061A" w:rsidRDefault="004D3615" w:rsidP="00716FDE">
                  <w:pPr>
                    <w:spacing w:line="240" w:lineRule="auto"/>
                    <w:rPr>
                      <w:rFonts w:ascii="Times New Roman" w:hAnsi="Times New Roman"/>
                      <w:sz w:val="20"/>
                      <w:szCs w:val="20"/>
                    </w:rPr>
                  </w:pPr>
                  <w:r w:rsidRPr="0058061A">
                    <w:rPr>
                      <w:rFonts w:ascii="Times New Roman" w:hAnsi="Times New Roman"/>
                      <w:sz w:val="20"/>
                      <w:szCs w:val="20"/>
                    </w:rPr>
                    <w:t>4. Access, where granted, shall be on mutually agreed terms and subject to the provisions of this Article.</w:t>
                  </w:r>
                </w:p>
                <w:p w:rsidR="004D3615" w:rsidRPr="0058061A" w:rsidRDefault="004D3615" w:rsidP="00716FDE">
                  <w:pPr>
                    <w:spacing w:line="240" w:lineRule="auto"/>
                    <w:rPr>
                      <w:rFonts w:ascii="Times New Roman" w:hAnsi="Times New Roman"/>
                      <w:sz w:val="20"/>
                      <w:szCs w:val="20"/>
                    </w:rPr>
                  </w:pPr>
                  <w:r w:rsidRPr="0058061A">
                    <w:rPr>
                      <w:rFonts w:ascii="Times New Roman" w:hAnsi="Times New Roman"/>
                      <w:sz w:val="20"/>
                      <w:szCs w:val="20"/>
                    </w:rPr>
                    <w:t>5. Access to genetic resources shall be subject to prior informed consent of the Contracting Party providing such resources, unless otherwise determined by that Party.</w:t>
                  </w:r>
                </w:p>
                <w:p w:rsidR="004D3615" w:rsidRPr="0058061A" w:rsidRDefault="004D3615" w:rsidP="00716FDE">
                  <w:pPr>
                    <w:spacing w:line="240" w:lineRule="auto"/>
                    <w:rPr>
                      <w:rFonts w:ascii="Times New Roman" w:hAnsi="Times New Roman"/>
                      <w:sz w:val="20"/>
                      <w:szCs w:val="20"/>
                    </w:rPr>
                  </w:pPr>
                  <w:r w:rsidRPr="0058061A">
                    <w:rPr>
                      <w:rFonts w:ascii="Times New Roman" w:hAnsi="Times New Roman"/>
                      <w:sz w:val="20"/>
                      <w:szCs w:val="20"/>
                    </w:rPr>
                    <w:t xml:space="preserve">6. Each </w:t>
                  </w:r>
                  <w:r>
                    <w:rPr>
                      <w:rFonts w:ascii="Times New Roman" w:hAnsi="Times New Roman"/>
                      <w:sz w:val="20"/>
                      <w:szCs w:val="20"/>
                    </w:rPr>
                    <w:t xml:space="preserve">Contracting Party shall </w:t>
                  </w:r>
                  <w:proofErr w:type="spellStart"/>
                  <w:r>
                    <w:rPr>
                      <w:rFonts w:ascii="Times New Roman" w:hAnsi="Times New Roman"/>
                      <w:sz w:val="20"/>
                      <w:szCs w:val="20"/>
                    </w:rPr>
                    <w:t>endeavou</w:t>
                  </w:r>
                  <w:r w:rsidRPr="0058061A">
                    <w:rPr>
                      <w:rFonts w:ascii="Times New Roman" w:hAnsi="Times New Roman"/>
                      <w:sz w:val="20"/>
                      <w:szCs w:val="20"/>
                    </w:rPr>
                    <w:t>r</w:t>
                  </w:r>
                  <w:proofErr w:type="spellEnd"/>
                  <w:r w:rsidRPr="0058061A">
                    <w:rPr>
                      <w:rFonts w:ascii="Times New Roman" w:hAnsi="Times New Roman"/>
                      <w:sz w:val="20"/>
                      <w:szCs w:val="20"/>
                    </w:rPr>
                    <w:t xml:space="preserve"> to develop and carry out scientific research based on genetic resources provided by other Contracting Parties with the full participation of, and where possible in, such Contracting Parties.</w:t>
                  </w:r>
                </w:p>
                <w:p w:rsidR="004D3615" w:rsidRPr="0058061A" w:rsidRDefault="004D3615" w:rsidP="00716FDE">
                  <w:pPr>
                    <w:spacing w:line="240" w:lineRule="auto"/>
                    <w:rPr>
                      <w:rFonts w:ascii="Times New Roman" w:hAnsi="Times New Roman"/>
                      <w:sz w:val="20"/>
                      <w:szCs w:val="20"/>
                    </w:rPr>
                  </w:pPr>
                  <w:r w:rsidRPr="0058061A">
                    <w:rPr>
                      <w:rFonts w:ascii="Times New Roman" w:hAnsi="Times New Roman"/>
                      <w:sz w:val="20"/>
                      <w:szCs w:val="20"/>
                    </w:rPr>
                    <w:t>7. Each Contracting Party shall take legislative, administrative or policy measures, as appropriate, and in accordance with Articles 16 and 19 and, where necessary, through the financial mechanism established by Articles 20 and 21 with the aim of sharing in a fair and equitable way the results of research and development and the benefits arising from the commercial and other utilization of genetic resources with the Contracting Party providing such resources. Such sharing shall be upon mutually agreed terms.</w:t>
                  </w:r>
                </w:p>
                <w:p w:rsidR="004D3615" w:rsidRDefault="004D3615" w:rsidP="00716FDE"/>
                <w:p w:rsidR="004D3615" w:rsidRDefault="004D3615" w:rsidP="00716FDE"/>
                <w:p w:rsidR="004D3615" w:rsidRDefault="004D3615" w:rsidP="00716FDE"/>
                <w:p w:rsidR="004D3615" w:rsidRDefault="004D3615" w:rsidP="00716FDE"/>
              </w:txbxContent>
            </v:textbox>
            <w10:wrap type="none"/>
            <w10:anchorlock/>
          </v:shape>
        </w:pict>
      </w:r>
    </w:p>
    <w:p w:rsidR="0080559A" w:rsidRDefault="0080559A" w:rsidP="00097C50">
      <w:pPr>
        <w:spacing w:before="120" w:after="120"/>
        <w:jc w:val="both"/>
        <w:rPr>
          <w:rFonts w:ascii="Times New Roman" w:hAnsi="Times New Roman"/>
        </w:rPr>
      </w:pPr>
      <w:r>
        <w:rPr>
          <w:rFonts w:ascii="Times New Roman" w:hAnsi="Times New Roman"/>
        </w:rPr>
        <w:t>It became clear then, that effective implementation of the access and benefit-sharing obligations set out in the Convention would rely not only on government measures, but on the active involvement of the users of genetic resources, including the private sector and research institutions, and, where access to traditional knowledge from indigenous and local communities was sought, with the involvement of the holders of such knowledge</w:t>
      </w:r>
      <w:r w:rsidRPr="0038212E">
        <w:rPr>
          <w:rFonts w:ascii="Times New Roman" w:hAnsi="Times New Roman"/>
        </w:rPr>
        <w:t>.</w:t>
      </w:r>
      <w:r>
        <w:rPr>
          <w:rFonts w:ascii="Times New Roman" w:hAnsi="Times New Roman"/>
        </w:rPr>
        <w:t xml:space="preserve"> This new regime thus created new steps to be taken by the providers and users of genetic resources alike</w:t>
      </w:r>
      <w:r>
        <w:rPr>
          <w:rStyle w:val="af"/>
          <w:rFonts w:ascii="Times New Roman" w:hAnsi="Times New Roman"/>
        </w:rPr>
        <w:footnoteReference w:id="9"/>
      </w:r>
      <w:r w:rsidRPr="0038212E">
        <w:rPr>
          <w:rFonts w:ascii="Times New Roman" w:hAnsi="Times New Roman"/>
        </w:rPr>
        <w:t>.</w:t>
      </w:r>
      <w:r w:rsidRPr="0082488F">
        <w:rPr>
          <w:rFonts w:ascii="Times New Roman" w:hAnsi="Times New Roman"/>
        </w:rPr>
        <w:t xml:space="preserve"> </w:t>
      </w:r>
      <w:r>
        <w:rPr>
          <w:rFonts w:ascii="Times New Roman" w:hAnsi="Times New Roman"/>
        </w:rPr>
        <w:t xml:space="preserve"> </w:t>
      </w:r>
    </w:p>
    <w:p w:rsidR="0080559A" w:rsidRDefault="0080559A" w:rsidP="00097C50">
      <w:pPr>
        <w:spacing w:before="120" w:after="120"/>
        <w:jc w:val="both"/>
        <w:rPr>
          <w:rFonts w:ascii="Times New Roman" w:hAnsi="Times New Roman"/>
        </w:rPr>
      </w:pPr>
      <w:r>
        <w:rPr>
          <w:rFonts w:ascii="Times New Roman" w:hAnsi="Times New Roman"/>
        </w:rPr>
        <w:t xml:space="preserve">In the early days of the Convention in particular, there was limited experience in implementing </w:t>
      </w:r>
      <w:r w:rsidR="00874205">
        <w:rPr>
          <w:rFonts w:ascii="Times New Roman" w:hAnsi="Times New Roman"/>
        </w:rPr>
        <w:t xml:space="preserve">ABS </w:t>
      </w:r>
      <w:r>
        <w:rPr>
          <w:rFonts w:ascii="Times New Roman" w:hAnsi="Times New Roman"/>
        </w:rPr>
        <w:t>arrangements, accompanied by concerns as to transaction costs associated with the new regime</w:t>
      </w:r>
      <w:r w:rsidRPr="0038212E">
        <w:rPr>
          <w:rStyle w:val="af"/>
          <w:rFonts w:ascii="Times New Roman" w:hAnsi="Times New Roman"/>
        </w:rPr>
        <w:footnoteReference w:id="10"/>
      </w:r>
      <w:r w:rsidRPr="0038212E">
        <w:rPr>
          <w:rFonts w:ascii="Times New Roman" w:hAnsi="Times New Roman"/>
        </w:rPr>
        <w:t>.</w:t>
      </w:r>
      <w:r>
        <w:rPr>
          <w:rFonts w:ascii="Times New Roman" w:hAnsi="Times New Roman"/>
        </w:rPr>
        <w:t xml:space="preserve"> There was also concern among some users as to how they might proceed with accessing genetic resources </w:t>
      </w:r>
      <w:r>
        <w:rPr>
          <w:rFonts w:ascii="Times New Roman" w:hAnsi="Times New Roman"/>
        </w:rPr>
        <w:lastRenderedPageBreak/>
        <w:t>within those States in which government measures had not yet been developed or did not provide what they perceived as adequate certainty</w:t>
      </w:r>
      <w:r>
        <w:rPr>
          <w:rStyle w:val="af"/>
          <w:rFonts w:ascii="Times New Roman" w:hAnsi="Times New Roman"/>
        </w:rPr>
        <w:footnoteReference w:id="11"/>
      </w:r>
      <w:r>
        <w:rPr>
          <w:rFonts w:ascii="Times New Roman" w:hAnsi="Times New Roman"/>
        </w:rPr>
        <w:t xml:space="preserve">. </w:t>
      </w:r>
    </w:p>
    <w:p w:rsidR="0080559A" w:rsidRDefault="0080559A" w:rsidP="00097C50">
      <w:pPr>
        <w:spacing w:before="120" w:after="120"/>
        <w:jc w:val="both"/>
        <w:rPr>
          <w:rFonts w:ascii="Times New Roman" w:hAnsi="Times New Roman"/>
        </w:rPr>
      </w:pPr>
      <w:r>
        <w:rPr>
          <w:rFonts w:ascii="Times New Roman" w:hAnsi="Times New Roman"/>
        </w:rPr>
        <w:t>In this context, the Bonn Guidelines were adopted to inform and support practical implementation of the Convention’s access and benefit-sharing obligations</w:t>
      </w:r>
      <w:r>
        <w:rPr>
          <w:rStyle w:val="af"/>
          <w:rFonts w:ascii="Times New Roman" w:hAnsi="Times New Roman"/>
        </w:rPr>
        <w:footnoteReference w:id="12"/>
      </w:r>
      <w:r w:rsidRPr="0038212E">
        <w:rPr>
          <w:rFonts w:ascii="Times New Roman" w:hAnsi="Times New Roman"/>
        </w:rPr>
        <w:t>.</w:t>
      </w:r>
      <w:r>
        <w:rPr>
          <w:rFonts w:ascii="Times New Roman" w:hAnsi="Times New Roman"/>
        </w:rPr>
        <w:t xml:space="preserve"> </w:t>
      </w:r>
      <w:r w:rsidRPr="003E0E13">
        <w:rPr>
          <w:rFonts w:ascii="Times New Roman" w:hAnsi="Times New Roman"/>
          <w:color w:val="000000"/>
        </w:rPr>
        <w:t xml:space="preserve">These voluntary guidelines were designed to serve as inputs when developing and drafting legislative, administrative or policy measures on </w:t>
      </w:r>
      <w:r w:rsidR="00874205">
        <w:rPr>
          <w:rFonts w:ascii="Times New Roman" w:hAnsi="Times New Roman"/>
          <w:color w:val="000000"/>
        </w:rPr>
        <w:t>ABS</w:t>
      </w:r>
      <w:r w:rsidRPr="003E0E13">
        <w:rPr>
          <w:rFonts w:ascii="Times New Roman" w:hAnsi="Times New Roman"/>
          <w:color w:val="000000"/>
        </w:rPr>
        <w:t xml:space="preserve"> and contracts and other arrangements under mutually agreed terms for </w:t>
      </w:r>
      <w:r w:rsidR="00874205">
        <w:rPr>
          <w:rFonts w:ascii="Times New Roman" w:hAnsi="Times New Roman"/>
          <w:color w:val="000000"/>
        </w:rPr>
        <w:t>ABS</w:t>
      </w:r>
      <w:r w:rsidRPr="003E0E13">
        <w:rPr>
          <w:rFonts w:ascii="Times New Roman" w:hAnsi="Times New Roman"/>
          <w:color w:val="000000"/>
        </w:rPr>
        <w:t xml:space="preserve">. </w:t>
      </w:r>
      <w:r>
        <w:rPr>
          <w:rFonts w:ascii="Times New Roman" w:hAnsi="Times New Roman"/>
        </w:rPr>
        <w:t>Development of tools such as model contractual clauses, codes of conduct, guidelines and best practices and standards was equally encouraged, and many of those tools that were subsequently developed directly reference the Bonn Guidelines</w:t>
      </w:r>
      <w:r w:rsidRPr="0038212E">
        <w:rPr>
          <w:rStyle w:val="af"/>
          <w:rFonts w:ascii="Times New Roman" w:hAnsi="Times New Roman"/>
        </w:rPr>
        <w:footnoteReference w:id="13"/>
      </w:r>
      <w:r w:rsidRPr="0038212E">
        <w:rPr>
          <w:rFonts w:ascii="Times New Roman" w:hAnsi="Times New Roman"/>
        </w:rPr>
        <w:t>.</w:t>
      </w:r>
      <w:r>
        <w:rPr>
          <w:rFonts w:ascii="Times New Roman" w:hAnsi="Times New Roman"/>
        </w:rPr>
        <w:t xml:space="preserve"> </w:t>
      </w:r>
    </w:p>
    <w:p w:rsidR="0080559A" w:rsidRDefault="0080559A" w:rsidP="00097C50">
      <w:pPr>
        <w:spacing w:before="120" w:after="120"/>
        <w:jc w:val="both"/>
        <w:rPr>
          <w:rFonts w:ascii="Times New Roman" w:hAnsi="Times New Roman"/>
        </w:rPr>
      </w:pPr>
      <w:r>
        <w:rPr>
          <w:rFonts w:ascii="Times New Roman" w:hAnsi="Times New Roman"/>
        </w:rPr>
        <w:t>Through</w:t>
      </w:r>
      <w:r w:rsidRPr="00DB0EE6">
        <w:rPr>
          <w:rFonts w:ascii="Times New Roman" w:hAnsi="Times New Roman"/>
        </w:rPr>
        <w:t xml:space="preserve"> Articles </w:t>
      </w:r>
      <w:r>
        <w:rPr>
          <w:rFonts w:ascii="Times New Roman" w:hAnsi="Times New Roman"/>
        </w:rPr>
        <w:t>12</w:t>
      </w:r>
      <w:r>
        <w:rPr>
          <w:rStyle w:val="af"/>
          <w:rFonts w:ascii="Times New Roman" w:hAnsi="Times New Roman"/>
        </w:rPr>
        <w:footnoteReference w:id="14"/>
      </w:r>
      <w:r>
        <w:rPr>
          <w:rFonts w:ascii="Times New Roman" w:hAnsi="Times New Roman"/>
        </w:rPr>
        <w:t xml:space="preserve">, </w:t>
      </w:r>
      <w:r w:rsidRPr="00DB0EE6">
        <w:rPr>
          <w:rFonts w:ascii="Times New Roman" w:hAnsi="Times New Roman"/>
        </w:rPr>
        <w:t>14</w:t>
      </w:r>
      <w:r>
        <w:rPr>
          <w:rStyle w:val="af"/>
          <w:rFonts w:ascii="Times New Roman" w:hAnsi="Times New Roman"/>
        </w:rPr>
        <w:footnoteReference w:id="15"/>
      </w:r>
      <w:r w:rsidRPr="00DB0EE6">
        <w:rPr>
          <w:rFonts w:ascii="Times New Roman" w:hAnsi="Times New Roman"/>
        </w:rPr>
        <w:t xml:space="preserve">, </w:t>
      </w:r>
      <w:r w:rsidRPr="00855ABE">
        <w:rPr>
          <w:rFonts w:ascii="Times New Roman" w:hAnsi="Times New Roman"/>
        </w:rPr>
        <w:t>19</w:t>
      </w:r>
      <w:r>
        <w:rPr>
          <w:rStyle w:val="af"/>
          <w:rFonts w:ascii="Times New Roman" w:hAnsi="Times New Roman"/>
        </w:rPr>
        <w:footnoteReference w:id="16"/>
      </w:r>
      <w:r w:rsidRPr="00855ABE">
        <w:rPr>
          <w:rFonts w:ascii="Times New Roman" w:hAnsi="Times New Roman"/>
        </w:rPr>
        <w:t>, 20</w:t>
      </w:r>
      <w:r>
        <w:rPr>
          <w:rStyle w:val="af"/>
          <w:rFonts w:ascii="Times New Roman" w:hAnsi="Times New Roman"/>
        </w:rPr>
        <w:footnoteReference w:id="17"/>
      </w:r>
      <w:r w:rsidRPr="00855ABE">
        <w:rPr>
          <w:rFonts w:ascii="Times New Roman" w:hAnsi="Times New Roman"/>
        </w:rPr>
        <w:t xml:space="preserve"> and 21</w:t>
      </w:r>
      <w:r>
        <w:rPr>
          <w:rStyle w:val="af"/>
          <w:rFonts w:ascii="Times New Roman" w:hAnsi="Times New Roman"/>
        </w:rPr>
        <w:footnoteReference w:id="18"/>
      </w:r>
      <w:r>
        <w:rPr>
          <w:rFonts w:ascii="Times New Roman" w:hAnsi="Times New Roman"/>
        </w:rPr>
        <w:t>,</w:t>
      </w:r>
      <w:r w:rsidRPr="00DB0EE6">
        <w:rPr>
          <w:rFonts w:ascii="Times New Roman" w:hAnsi="Times New Roman"/>
        </w:rPr>
        <w:t xml:space="preserve"> the Nagoya Protocol continues to directly support the use of model contractual clauses, codes of conduct, guidelines, best practices and</w:t>
      </w:r>
      <w:r w:rsidR="00952B17">
        <w:rPr>
          <w:rFonts w:ascii="Times New Roman" w:hAnsi="Times New Roman"/>
        </w:rPr>
        <w:t xml:space="preserve"> </w:t>
      </w:r>
      <w:r w:rsidRPr="00DB0EE6">
        <w:rPr>
          <w:rFonts w:ascii="Times New Roman" w:hAnsi="Times New Roman"/>
        </w:rPr>
        <w:t>standards as valuable aids to effective implementation of ABS principles. At the same</w:t>
      </w:r>
      <w:r>
        <w:rPr>
          <w:rFonts w:ascii="Times New Roman" w:hAnsi="Times New Roman"/>
        </w:rPr>
        <w:t xml:space="preserve"> time, and as provided in Articles 19 and 20, the Conference of the Parties</w:t>
      </w:r>
      <w:r w:rsidR="00AE50F9">
        <w:rPr>
          <w:rFonts w:ascii="Times New Roman" w:hAnsi="Times New Roman"/>
        </w:rPr>
        <w:t xml:space="preserve"> serving as the meeting of the Parties to the Protocol</w:t>
      </w:r>
      <w:r>
        <w:rPr>
          <w:rFonts w:ascii="Times New Roman" w:hAnsi="Times New Roman"/>
        </w:rPr>
        <w:t xml:space="preserve"> is to periodically take stock of the use of these tools. </w:t>
      </w:r>
    </w:p>
    <w:p w:rsidR="0080559A" w:rsidRDefault="0080559A" w:rsidP="00623C4B">
      <w:pPr>
        <w:pStyle w:val="ad"/>
        <w:spacing w:line="276" w:lineRule="auto"/>
        <w:jc w:val="both"/>
        <w:rPr>
          <w:rFonts w:ascii="Times New Roman" w:hAnsi="Times New Roman"/>
        </w:rPr>
      </w:pPr>
      <w:r>
        <w:rPr>
          <w:rFonts w:ascii="Times New Roman" w:hAnsi="Times New Roman"/>
          <w:sz w:val="22"/>
          <w:szCs w:val="22"/>
        </w:rPr>
        <w:t>At various junctures (COP-8, COP-10 and COP-11) Parties have been invited to provide information about their experiences with model contractual clauses, codes of conduct, guidelines</w:t>
      </w:r>
      <w:r w:rsidR="00BE1CF9">
        <w:rPr>
          <w:rFonts w:ascii="Times New Roman" w:hAnsi="Times New Roman"/>
          <w:sz w:val="22"/>
          <w:szCs w:val="22"/>
        </w:rPr>
        <w:t>,</w:t>
      </w:r>
      <w:r>
        <w:rPr>
          <w:rFonts w:ascii="Times New Roman" w:hAnsi="Times New Roman"/>
          <w:sz w:val="22"/>
          <w:szCs w:val="22"/>
        </w:rPr>
        <w:t xml:space="preserve"> best practices and standards. Information provided was made available on the CBD website</w:t>
      </w:r>
      <w:r>
        <w:rPr>
          <w:rStyle w:val="af"/>
          <w:rFonts w:ascii="Times New Roman" w:hAnsi="Times New Roman"/>
          <w:sz w:val="22"/>
          <w:szCs w:val="22"/>
        </w:rPr>
        <w:footnoteReference w:id="19"/>
      </w:r>
      <w:r w:rsidRPr="00623C4B">
        <w:rPr>
          <w:rFonts w:ascii="Times New Roman" w:hAnsi="Times New Roman"/>
          <w:sz w:val="22"/>
          <w:szCs w:val="22"/>
        </w:rPr>
        <w:t xml:space="preserve"> and </w:t>
      </w:r>
      <w:r>
        <w:rPr>
          <w:rFonts w:ascii="Times New Roman" w:hAnsi="Times New Roman"/>
          <w:sz w:val="22"/>
          <w:szCs w:val="22"/>
        </w:rPr>
        <w:t xml:space="preserve">in </w:t>
      </w:r>
      <w:r w:rsidRPr="00623C4B">
        <w:rPr>
          <w:rFonts w:ascii="Times New Roman" w:hAnsi="Times New Roman"/>
          <w:sz w:val="22"/>
          <w:szCs w:val="22"/>
        </w:rPr>
        <w:t>document UNEP/CBD/WG-ABS/5/INF/2</w:t>
      </w:r>
      <w:r>
        <w:rPr>
          <w:rStyle w:val="af"/>
          <w:rFonts w:ascii="Times New Roman" w:hAnsi="Times New Roman"/>
          <w:sz w:val="22"/>
          <w:szCs w:val="22"/>
        </w:rPr>
        <w:footnoteReference w:id="20"/>
      </w:r>
      <w:r w:rsidRPr="00623C4B">
        <w:rPr>
          <w:rFonts w:ascii="Times New Roman" w:hAnsi="Times New Roman"/>
          <w:sz w:val="22"/>
          <w:szCs w:val="22"/>
        </w:rPr>
        <w:t>.</w:t>
      </w:r>
    </w:p>
    <w:p w:rsidR="0080559A" w:rsidRDefault="0080559A" w:rsidP="007175BD">
      <w:pPr>
        <w:spacing w:before="120" w:after="120"/>
        <w:jc w:val="both"/>
        <w:rPr>
          <w:rFonts w:ascii="Times New Roman" w:hAnsi="Times New Roman"/>
        </w:rPr>
      </w:pPr>
      <w:r w:rsidRPr="00623C4B">
        <w:rPr>
          <w:rFonts w:ascii="Times New Roman" w:hAnsi="Times New Roman"/>
        </w:rPr>
        <w:t>In accordance with Article 14(3)</w:t>
      </w:r>
      <w:r>
        <w:rPr>
          <w:rFonts w:ascii="Times New Roman" w:hAnsi="Times New Roman"/>
        </w:rPr>
        <w:t>(b)</w:t>
      </w:r>
      <w:r w:rsidRPr="00623C4B">
        <w:rPr>
          <w:rFonts w:ascii="Times New Roman" w:hAnsi="Times New Roman"/>
        </w:rPr>
        <w:t xml:space="preserve"> of the Protocol, the </w:t>
      </w:r>
      <w:r w:rsidR="00874205">
        <w:rPr>
          <w:rFonts w:ascii="Times New Roman" w:hAnsi="Times New Roman"/>
        </w:rPr>
        <w:t>ABS</w:t>
      </w:r>
      <w:r w:rsidRPr="00623C4B">
        <w:rPr>
          <w:rFonts w:ascii="Times New Roman" w:hAnsi="Times New Roman"/>
        </w:rPr>
        <w:t xml:space="preserve"> Clearing-House, current</w:t>
      </w:r>
      <w:r>
        <w:rPr>
          <w:rFonts w:ascii="Times New Roman" w:hAnsi="Times New Roman"/>
        </w:rPr>
        <w:t>ly in its pilot phase, will</w:t>
      </w:r>
      <w:r w:rsidRPr="00623C4B">
        <w:rPr>
          <w:rFonts w:ascii="Times New Roman" w:hAnsi="Times New Roman"/>
        </w:rPr>
        <w:t xml:space="preserve"> be an important source of information on model contractual clauses, codes of conduct, guidelines</w:t>
      </w:r>
      <w:r w:rsidR="00BE1CF9">
        <w:rPr>
          <w:rFonts w:ascii="Times New Roman" w:hAnsi="Times New Roman"/>
        </w:rPr>
        <w:t>,</w:t>
      </w:r>
      <w:r w:rsidRPr="00623C4B">
        <w:rPr>
          <w:rFonts w:ascii="Times New Roman" w:hAnsi="Times New Roman"/>
        </w:rPr>
        <w:t xml:space="preserve"> best practices and standards. The Conference of the Parties, at its eleventh meeting</w:t>
      </w:r>
      <w:r w:rsidRPr="00B03514">
        <w:rPr>
          <w:rFonts w:ascii="Times New Roman" w:hAnsi="Times New Roman"/>
        </w:rPr>
        <w:t xml:space="preserve"> held in October 2012, invited Parties</w:t>
      </w:r>
      <w:r>
        <w:rPr>
          <w:rFonts w:ascii="Times New Roman" w:hAnsi="Times New Roman"/>
        </w:rPr>
        <w:t>, other governments, relevant international organizations, indigenous and local communities and all interested stakeholders to submit information to the SCBD on model contractual clauses, codes of conduct, guidelines</w:t>
      </w:r>
      <w:r w:rsidR="00BE1CF9">
        <w:rPr>
          <w:rFonts w:ascii="Times New Roman" w:hAnsi="Times New Roman"/>
        </w:rPr>
        <w:t>,</w:t>
      </w:r>
      <w:r>
        <w:rPr>
          <w:rFonts w:ascii="Times New Roman" w:hAnsi="Times New Roman"/>
        </w:rPr>
        <w:t xml:space="preserve"> best practices and</w:t>
      </w:r>
      <w:r w:rsidR="004A1F37">
        <w:rPr>
          <w:rFonts w:ascii="Times New Roman" w:hAnsi="Times New Roman"/>
        </w:rPr>
        <w:t xml:space="preserve"> </w:t>
      </w:r>
      <w:r>
        <w:rPr>
          <w:rFonts w:ascii="Times New Roman" w:hAnsi="Times New Roman"/>
        </w:rPr>
        <w:t>standards and requested the Executive Secretary to make this information available through the pilot phase of the ABS Clearing-House and to compile and analyze and structure this information for consideration by ICNP-3</w:t>
      </w:r>
      <w:r>
        <w:rPr>
          <w:rStyle w:val="af"/>
          <w:rFonts w:ascii="Times New Roman" w:hAnsi="Times New Roman"/>
        </w:rPr>
        <w:footnoteReference w:id="21"/>
      </w:r>
      <w:r w:rsidRPr="00BD01B7">
        <w:rPr>
          <w:rFonts w:ascii="Times New Roman" w:hAnsi="Times New Roman"/>
        </w:rPr>
        <w:t>.</w:t>
      </w:r>
      <w:r>
        <w:rPr>
          <w:rFonts w:ascii="Times New Roman" w:hAnsi="Times New Roman"/>
        </w:rPr>
        <w:t xml:space="preserve"> </w:t>
      </w:r>
    </w:p>
    <w:p w:rsidR="002C3496" w:rsidRDefault="002C3496" w:rsidP="008115B2">
      <w:pPr>
        <w:jc w:val="both"/>
        <w:rPr>
          <w:rFonts w:ascii="Times New Roman" w:hAnsi="Times New Roman"/>
          <w:b/>
        </w:rPr>
      </w:pPr>
      <w:r>
        <w:rPr>
          <w:rFonts w:ascii="Times New Roman" w:hAnsi="Times New Roman"/>
          <w:b/>
        </w:rPr>
        <w:t xml:space="preserve">Articles 19 and 20 </w:t>
      </w:r>
      <w:r w:rsidR="00000B2F">
        <w:rPr>
          <w:rFonts w:ascii="Times New Roman" w:hAnsi="Times New Roman"/>
          <w:b/>
        </w:rPr>
        <w:t>in Context -</w:t>
      </w:r>
      <w:r>
        <w:rPr>
          <w:rFonts w:ascii="Times New Roman" w:hAnsi="Times New Roman"/>
          <w:b/>
        </w:rPr>
        <w:t xml:space="preserve"> Research </w:t>
      </w:r>
      <w:r w:rsidR="008E3654">
        <w:rPr>
          <w:rFonts w:ascii="Times New Roman" w:hAnsi="Times New Roman"/>
          <w:b/>
        </w:rPr>
        <w:t xml:space="preserve">Purpose and </w:t>
      </w:r>
      <w:r>
        <w:rPr>
          <w:rFonts w:ascii="Times New Roman" w:hAnsi="Times New Roman"/>
          <w:b/>
        </w:rPr>
        <w:t>Practice</w:t>
      </w:r>
    </w:p>
    <w:p w:rsidR="0080559A" w:rsidRPr="002C3496" w:rsidRDefault="002C52CD" w:rsidP="008115B2">
      <w:pPr>
        <w:jc w:val="both"/>
        <w:rPr>
          <w:rFonts w:ascii="Times New Roman" w:hAnsi="Times New Roman"/>
          <w:b/>
        </w:rPr>
      </w:pPr>
      <w:r w:rsidRPr="008115B2">
        <w:rPr>
          <w:rFonts w:ascii="Times New Roman" w:hAnsi="Times New Roman"/>
        </w:rPr>
        <w:lastRenderedPageBreak/>
        <w:t>Different types of genetic resources are used by different types of users, for different purposes, across a range of sectors. These include the biotechnology, pharmaceutical, medical product, agriculture, plant breeding, cosm</w:t>
      </w:r>
      <w:r w:rsidR="006F72A4">
        <w:rPr>
          <w:rFonts w:ascii="Times New Roman" w:hAnsi="Times New Roman"/>
        </w:rPr>
        <w:t xml:space="preserve">etics and natural product sectors, as well as in basic research in fields such as taxonomy and ecology. </w:t>
      </w:r>
      <w:r w:rsidRPr="008115B2">
        <w:rPr>
          <w:rFonts w:ascii="Times New Roman" w:hAnsi="Times New Roman"/>
        </w:rPr>
        <w:t>Research may be commercially or non-commercially oriented, noting that the intent of th</w:t>
      </w:r>
      <w:r w:rsidR="006F72A4" w:rsidRPr="006F72A4">
        <w:rPr>
          <w:rFonts w:ascii="Times New Roman" w:hAnsi="Times New Roman"/>
        </w:rPr>
        <w:t>e research may change over time</w:t>
      </w:r>
      <w:r w:rsidR="006F72A4">
        <w:rPr>
          <w:rFonts w:ascii="Times New Roman" w:hAnsi="Times New Roman"/>
        </w:rPr>
        <w:t>.</w:t>
      </w:r>
      <w:r w:rsidRPr="008115B2">
        <w:rPr>
          <w:rFonts w:ascii="Times New Roman" w:hAnsi="Times New Roman"/>
        </w:rPr>
        <w:t xml:space="preserve"> </w:t>
      </w:r>
      <w:r w:rsidRPr="00DA6372">
        <w:rPr>
          <w:rFonts w:ascii="Times New Roman" w:hAnsi="Times New Roman"/>
        </w:rPr>
        <w:t>Depending on sector and context, research practices may vary significantly.</w:t>
      </w:r>
      <w:r w:rsidRPr="008115B2">
        <w:rPr>
          <w:rFonts w:ascii="Times New Roman" w:hAnsi="Times New Roman"/>
        </w:rPr>
        <w:t xml:space="preserve"> For example, users may seek to screen samples of genetic resources for particular properties and/or to isolate and extract particular compounds.  Screening might be broad, or more narrow and targeted. Research might be informed by traditional knowledge, or traditional knowledge may have no relevance to the research process at all. The resources sought might be </w:t>
      </w:r>
      <w:r w:rsidRPr="00A86195">
        <w:rPr>
          <w:rFonts w:ascii="Times New Roman" w:hAnsi="Times New Roman"/>
          <w:i/>
        </w:rPr>
        <w:t>in situ</w:t>
      </w:r>
      <w:r w:rsidRPr="008115B2">
        <w:rPr>
          <w:rFonts w:ascii="Times New Roman" w:hAnsi="Times New Roman"/>
        </w:rPr>
        <w:t>,</w:t>
      </w:r>
      <w:r w:rsidR="002C3496" w:rsidRPr="002C3496">
        <w:rPr>
          <w:rFonts w:ascii="Times New Roman" w:hAnsi="Times New Roman"/>
        </w:rPr>
        <w:t xml:space="preserve"> or held in </w:t>
      </w:r>
      <w:r w:rsidR="002C3496" w:rsidRPr="00A86195">
        <w:rPr>
          <w:rFonts w:ascii="Times New Roman" w:hAnsi="Times New Roman"/>
          <w:i/>
        </w:rPr>
        <w:t>ex situ</w:t>
      </w:r>
      <w:r w:rsidR="002C3496" w:rsidRPr="002C3496">
        <w:rPr>
          <w:rFonts w:ascii="Times New Roman" w:hAnsi="Times New Roman"/>
        </w:rPr>
        <w:t xml:space="preserve"> collections. </w:t>
      </w:r>
      <w:r w:rsidRPr="008115B2">
        <w:rPr>
          <w:rFonts w:ascii="Times New Roman" w:hAnsi="Times New Roman"/>
        </w:rPr>
        <w:t>As the examples of Article 19 and 20 tools demonstrate, this diversity means that certain tools and elements therein will be more applicable and useful in some contexts than others. Overall, however, such tools tend to have several broad substantive and structural similarities, reflecting the objectives and provisions of the Convention and Protocol.</w:t>
      </w:r>
    </w:p>
    <w:p w:rsidR="0080559A" w:rsidRDefault="0080559A" w:rsidP="00C939D8">
      <w:pPr>
        <w:rPr>
          <w:rFonts w:ascii="Times New Roman" w:hAnsi="Times New Roman"/>
          <w:b/>
        </w:rPr>
      </w:pPr>
      <w:r>
        <w:rPr>
          <w:rFonts w:ascii="Times New Roman" w:hAnsi="Times New Roman"/>
          <w:b/>
        </w:rPr>
        <w:t>Part II.</w:t>
      </w:r>
      <w:r>
        <w:rPr>
          <w:rFonts w:ascii="Times New Roman" w:hAnsi="Times New Roman"/>
          <w:b/>
        </w:rPr>
        <w:tab/>
      </w:r>
      <w:r>
        <w:rPr>
          <w:rFonts w:ascii="Times New Roman" w:hAnsi="Times New Roman"/>
          <w:b/>
        </w:rPr>
        <w:tab/>
        <w:t>Article 19 on Model Contractual Clauses</w:t>
      </w:r>
    </w:p>
    <w:p w:rsidR="0080559A" w:rsidRDefault="0080559A" w:rsidP="00FE0388">
      <w:pPr>
        <w:spacing w:before="120" w:after="120"/>
        <w:rPr>
          <w:rFonts w:ascii="Times New Roman" w:hAnsi="Times New Roman"/>
          <w:i/>
        </w:rPr>
      </w:pPr>
      <w:r>
        <w:rPr>
          <w:rFonts w:ascii="Times New Roman" w:hAnsi="Times New Roman"/>
          <w:i/>
        </w:rPr>
        <w:t xml:space="preserve">Sources of Information about Model Contractual Clauses </w:t>
      </w:r>
    </w:p>
    <w:p w:rsidR="0080559A" w:rsidRDefault="0080559A" w:rsidP="002A373A">
      <w:pPr>
        <w:jc w:val="both"/>
        <w:rPr>
          <w:rFonts w:ascii="Times New Roman" w:hAnsi="Times New Roman"/>
        </w:rPr>
      </w:pPr>
      <w:r>
        <w:rPr>
          <w:rFonts w:ascii="Times New Roman" w:hAnsi="Times New Roman"/>
        </w:rPr>
        <w:t xml:space="preserve">Sources of information about model contractual clauses include the </w:t>
      </w:r>
      <w:r w:rsidR="00A43B3C">
        <w:rPr>
          <w:rFonts w:ascii="Times New Roman" w:hAnsi="Times New Roman"/>
        </w:rPr>
        <w:t>CBD</w:t>
      </w:r>
      <w:r>
        <w:rPr>
          <w:rFonts w:ascii="Times New Roman" w:hAnsi="Times New Roman"/>
        </w:rPr>
        <w:t xml:space="preserve"> website</w:t>
      </w:r>
      <w:r>
        <w:rPr>
          <w:rStyle w:val="af"/>
          <w:rFonts w:ascii="Times New Roman" w:hAnsi="Times New Roman"/>
        </w:rPr>
        <w:footnoteReference w:id="22"/>
      </w:r>
      <w:r>
        <w:rPr>
          <w:rFonts w:ascii="Times New Roman" w:hAnsi="Times New Roman"/>
        </w:rPr>
        <w:t xml:space="preserve">, </w:t>
      </w:r>
      <w:r w:rsidR="00AE50F9">
        <w:rPr>
          <w:rFonts w:ascii="Times New Roman" w:hAnsi="Times New Roman"/>
        </w:rPr>
        <w:t xml:space="preserve">the </w:t>
      </w:r>
      <w:r>
        <w:rPr>
          <w:rFonts w:ascii="Times New Roman" w:hAnsi="Times New Roman"/>
        </w:rPr>
        <w:t>database of Biodiversity Related Access and Benefit-sharing Agreements</w:t>
      </w:r>
      <w:r>
        <w:rPr>
          <w:rStyle w:val="af"/>
          <w:rFonts w:ascii="Times New Roman" w:hAnsi="Times New Roman"/>
        </w:rPr>
        <w:footnoteReference w:id="23"/>
      </w:r>
      <w:r w:rsidR="00AE50F9">
        <w:rPr>
          <w:rFonts w:ascii="Times New Roman" w:hAnsi="Times New Roman"/>
        </w:rPr>
        <w:t xml:space="preserve"> hosted by the World Intellectual Property Organization (WIPO)</w:t>
      </w:r>
      <w:r>
        <w:rPr>
          <w:rFonts w:ascii="Times New Roman" w:hAnsi="Times New Roman"/>
        </w:rPr>
        <w:t xml:space="preserve">, through the </w:t>
      </w:r>
      <w:r w:rsidR="000E34C1">
        <w:rPr>
          <w:rFonts w:ascii="Times New Roman" w:hAnsi="Times New Roman"/>
        </w:rPr>
        <w:t xml:space="preserve">national </w:t>
      </w:r>
      <w:r>
        <w:rPr>
          <w:rFonts w:ascii="Times New Roman" w:hAnsi="Times New Roman"/>
        </w:rPr>
        <w:t>focal points</w:t>
      </w:r>
      <w:r>
        <w:rPr>
          <w:rStyle w:val="af"/>
          <w:rFonts w:ascii="Times New Roman" w:hAnsi="Times New Roman"/>
        </w:rPr>
        <w:footnoteReference w:id="24"/>
      </w:r>
      <w:r>
        <w:rPr>
          <w:rFonts w:ascii="Times New Roman" w:hAnsi="Times New Roman"/>
        </w:rPr>
        <w:t xml:space="preserve">, the databases of other institutions such as the </w:t>
      </w:r>
      <w:proofErr w:type="spellStart"/>
      <w:r w:rsidRPr="00ED5B5D">
        <w:rPr>
          <w:rFonts w:ascii="Times New Roman" w:hAnsi="Times New Roman"/>
        </w:rPr>
        <w:t>Bioprospector</w:t>
      </w:r>
      <w:proofErr w:type="spellEnd"/>
      <w:r w:rsidRPr="00ED5B5D">
        <w:rPr>
          <w:rFonts w:ascii="Times New Roman" w:hAnsi="Times New Roman"/>
        </w:rPr>
        <w:t xml:space="preserve"> Database</w:t>
      </w:r>
      <w:r>
        <w:rPr>
          <w:rFonts w:ascii="Times New Roman" w:hAnsi="Times New Roman"/>
        </w:rPr>
        <w:t xml:space="preserve"> of the United Nations University – Institute of Advanced Studies</w:t>
      </w:r>
      <w:r w:rsidR="00A43B3C">
        <w:rPr>
          <w:rFonts w:ascii="Times New Roman" w:hAnsi="Times New Roman"/>
        </w:rPr>
        <w:t xml:space="preserve"> (UNU-IAS)</w:t>
      </w:r>
      <w:r>
        <w:rPr>
          <w:rStyle w:val="af"/>
          <w:rFonts w:ascii="Times New Roman" w:hAnsi="Times New Roman"/>
        </w:rPr>
        <w:footnoteReference w:id="25"/>
      </w:r>
      <w:r>
        <w:rPr>
          <w:rFonts w:ascii="Times New Roman" w:hAnsi="Times New Roman"/>
        </w:rPr>
        <w:t>,</w:t>
      </w:r>
      <w:r w:rsidRPr="0054287C">
        <w:rPr>
          <w:rFonts w:ascii="Times New Roman" w:hAnsi="Times New Roman"/>
        </w:rPr>
        <w:t xml:space="preserve"> </w:t>
      </w:r>
      <w:r>
        <w:rPr>
          <w:rFonts w:ascii="Times New Roman" w:hAnsi="Times New Roman"/>
        </w:rPr>
        <w:t>and</w:t>
      </w:r>
      <w:r w:rsidRPr="0054287C">
        <w:rPr>
          <w:rFonts w:ascii="Times New Roman" w:hAnsi="Times New Roman"/>
        </w:rPr>
        <w:t xml:space="preserve"> the authoring institutions themselves</w:t>
      </w:r>
      <w:r w:rsidRPr="0054287C">
        <w:rPr>
          <w:rFonts w:ascii="Times New Roman" w:hAnsi="Times New Roman"/>
          <w:vertAlign w:val="superscript"/>
        </w:rPr>
        <w:footnoteReference w:id="26"/>
      </w:r>
      <w:r>
        <w:rPr>
          <w:rFonts w:ascii="Times New Roman" w:hAnsi="Times New Roman"/>
        </w:rPr>
        <w:t xml:space="preserve">. In some cases, codes of conduct, guidelines, best practices </w:t>
      </w:r>
      <w:r w:rsidR="00BE1CF9">
        <w:rPr>
          <w:rFonts w:ascii="Times New Roman" w:hAnsi="Times New Roman"/>
        </w:rPr>
        <w:t>and</w:t>
      </w:r>
      <w:r w:rsidR="00BE1CF9">
        <w:rPr>
          <w:rFonts w:ascii="Times New Roman" w:hAnsi="Times New Roman" w:hint="eastAsia"/>
          <w:lang w:eastAsia="ja-JP"/>
        </w:rPr>
        <w:t xml:space="preserve"> standards </w:t>
      </w:r>
      <w:r>
        <w:rPr>
          <w:rFonts w:ascii="Times New Roman" w:hAnsi="Times New Roman"/>
        </w:rPr>
        <w:t>contain links to or include model contractual clauses</w:t>
      </w:r>
      <w:r>
        <w:rPr>
          <w:rStyle w:val="af"/>
          <w:rFonts w:ascii="Times New Roman" w:hAnsi="Times New Roman"/>
        </w:rPr>
        <w:footnoteReference w:id="27"/>
      </w:r>
      <w:r>
        <w:rPr>
          <w:rFonts w:ascii="Times New Roman" w:hAnsi="Times New Roman"/>
        </w:rPr>
        <w:t>. In addition, various analyses have considered particular model contractual clauses, and/or the use and utility of model agreements more broadly</w:t>
      </w:r>
      <w:r w:rsidRPr="00BD01B7">
        <w:rPr>
          <w:rStyle w:val="af"/>
          <w:rFonts w:ascii="Times New Roman" w:hAnsi="Times New Roman"/>
        </w:rPr>
        <w:footnoteReference w:id="28"/>
      </w:r>
      <w:r w:rsidRPr="00BD01B7">
        <w:rPr>
          <w:rFonts w:ascii="Times New Roman" w:hAnsi="Times New Roman"/>
        </w:rPr>
        <w:t>.</w:t>
      </w:r>
      <w:r>
        <w:rPr>
          <w:rFonts w:ascii="Times New Roman" w:hAnsi="Times New Roman"/>
        </w:rPr>
        <w:t xml:space="preserve"> </w:t>
      </w:r>
    </w:p>
    <w:p w:rsidR="0080559A" w:rsidRPr="00855ABE" w:rsidRDefault="0080559A" w:rsidP="002A373A">
      <w:pPr>
        <w:jc w:val="both"/>
        <w:rPr>
          <w:rFonts w:ascii="Times New Roman" w:hAnsi="Times New Roman"/>
          <w:i/>
        </w:rPr>
      </w:pPr>
      <w:r>
        <w:rPr>
          <w:rFonts w:ascii="Times New Roman" w:hAnsi="Times New Roman"/>
          <w:i/>
        </w:rPr>
        <w:t xml:space="preserve">Implications of the Convention and Protocol for Model Contractual Clauses </w:t>
      </w:r>
    </w:p>
    <w:p w:rsidR="003C7E7D" w:rsidRDefault="0080559A" w:rsidP="002A373A">
      <w:pPr>
        <w:jc w:val="both"/>
        <w:rPr>
          <w:rFonts w:ascii="Times New Roman" w:hAnsi="Times New Roman"/>
        </w:rPr>
      </w:pPr>
      <w:r>
        <w:rPr>
          <w:rFonts w:ascii="Times New Roman" w:hAnsi="Times New Roman"/>
        </w:rPr>
        <w:t xml:space="preserve">Model contractual clauses, on the whole, are intended to guide </w:t>
      </w:r>
      <w:r w:rsidR="003C7E7D">
        <w:rPr>
          <w:rFonts w:ascii="Times New Roman" w:hAnsi="Times New Roman"/>
        </w:rPr>
        <w:t>parties in the negotiation of ABS agreements that meet the requirements of the Convention and the Nagoya Protocol.</w:t>
      </w:r>
    </w:p>
    <w:p w:rsidR="0080559A" w:rsidRDefault="0080559A" w:rsidP="002A373A">
      <w:pPr>
        <w:jc w:val="both"/>
        <w:rPr>
          <w:rFonts w:ascii="Times New Roman" w:hAnsi="Times New Roman"/>
        </w:rPr>
      </w:pPr>
      <w:r>
        <w:rPr>
          <w:rFonts w:ascii="Times New Roman" w:hAnsi="Times New Roman"/>
        </w:rPr>
        <w:t xml:space="preserve">Taking only the Convention into account, core functions that an </w:t>
      </w:r>
      <w:r w:rsidR="00A43B3C">
        <w:rPr>
          <w:rFonts w:ascii="Times New Roman" w:hAnsi="Times New Roman"/>
        </w:rPr>
        <w:t>ABS</w:t>
      </w:r>
      <w:r>
        <w:rPr>
          <w:rFonts w:ascii="Times New Roman" w:hAnsi="Times New Roman"/>
        </w:rPr>
        <w:t xml:space="preserve"> arrangement must achieve include to: </w:t>
      </w:r>
    </w:p>
    <w:p w:rsidR="0080559A" w:rsidRPr="00580725" w:rsidRDefault="0080559A" w:rsidP="00855ABE">
      <w:pPr>
        <w:pStyle w:val="a3"/>
        <w:numPr>
          <w:ilvl w:val="0"/>
          <w:numId w:val="16"/>
        </w:numPr>
        <w:jc w:val="both"/>
        <w:rPr>
          <w:rFonts w:ascii="Times New Roman" w:hAnsi="Times New Roman"/>
        </w:rPr>
      </w:pPr>
      <w:r w:rsidRPr="00580725">
        <w:rPr>
          <w:rFonts w:ascii="Times New Roman" w:hAnsi="Times New Roman"/>
        </w:rPr>
        <w:t xml:space="preserve">Establish the </w:t>
      </w:r>
      <w:r w:rsidR="00A43B3C">
        <w:rPr>
          <w:rFonts w:ascii="Times New Roman" w:hAnsi="Times New Roman"/>
        </w:rPr>
        <w:t>PIC</w:t>
      </w:r>
      <w:r w:rsidRPr="00580725">
        <w:rPr>
          <w:rFonts w:ascii="Times New Roman" w:hAnsi="Times New Roman"/>
        </w:rPr>
        <w:t xml:space="preserve"> of the </w:t>
      </w:r>
      <w:r w:rsidRPr="00835331">
        <w:rPr>
          <w:rFonts w:ascii="Times New Roman" w:hAnsi="Times New Roman"/>
        </w:rPr>
        <w:t>Party</w:t>
      </w:r>
      <w:r>
        <w:rPr>
          <w:rFonts w:ascii="Times New Roman" w:hAnsi="Times New Roman"/>
        </w:rPr>
        <w:t xml:space="preserve"> </w:t>
      </w:r>
      <w:r w:rsidRPr="00580725">
        <w:rPr>
          <w:rFonts w:ascii="Times New Roman" w:hAnsi="Times New Roman"/>
        </w:rPr>
        <w:t>provid</w:t>
      </w:r>
      <w:r>
        <w:rPr>
          <w:rFonts w:ascii="Times New Roman" w:hAnsi="Times New Roman"/>
        </w:rPr>
        <w:t>ing</w:t>
      </w:r>
      <w:r w:rsidRPr="00580725">
        <w:rPr>
          <w:rFonts w:ascii="Times New Roman" w:hAnsi="Times New Roman"/>
        </w:rPr>
        <w:t xml:space="preserve"> the </w:t>
      </w:r>
      <w:r>
        <w:rPr>
          <w:rFonts w:ascii="Times New Roman" w:hAnsi="Times New Roman"/>
        </w:rPr>
        <w:t xml:space="preserve">genetic </w:t>
      </w:r>
      <w:r w:rsidRPr="00580725">
        <w:rPr>
          <w:rFonts w:ascii="Times New Roman" w:hAnsi="Times New Roman"/>
        </w:rPr>
        <w:t>resources</w:t>
      </w:r>
      <w:r>
        <w:rPr>
          <w:rStyle w:val="af"/>
          <w:rFonts w:ascii="Times New Roman" w:hAnsi="Times New Roman"/>
        </w:rPr>
        <w:footnoteReference w:id="29"/>
      </w:r>
      <w:r>
        <w:rPr>
          <w:rFonts w:ascii="Times New Roman" w:hAnsi="Times New Roman"/>
        </w:rPr>
        <w:t>, for access based</w:t>
      </w:r>
      <w:r w:rsidRPr="00580725">
        <w:rPr>
          <w:rFonts w:ascii="Times New Roman" w:hAnsi="Times New Roman"/>
        </w:rPr>
        <w:t xml:space="preserve"> on mutually agreed terms</w:t>
      </w:r>
      <w:r>
        <w:rPr>
          <w:rStyle w:val="af"/>
          <w:rFonts w:ascii="Times New Roman" w:hAnsi="Times New Roman"/>
        </w:rPr>
        <w:footnoteReference w:id="30"/>
      </w:r>
      <w:r>
        <w:rPr>
          <w:rFonts w:ascii="Times New Roman" w:hAnsi="Times New Roman"/>
        </w:rPr>
        <w:t>;</w:t>
      </w:r>
    </w:p>
    <w:p w:rsidR="0080559A" w:rsidRPr="00580725" w:rsidRDefault="0080559A" w:rsidP="00855ABE">
      <w:pPr>
        <w:pStyle w:val="a3"/>
        <w:numPr>
          <w:ilvl w:val="0"/>
          <w:numId w:val="16"/>
        </w:numPr>
        <w:jc w:val="both"/>
        <w:rPr>
          <w:rFonts w:ascii="Times New Roman" w:hAnsi="Times New Roman"/>
        </w:rPr>
      </w:pPr>
      <w:r w:rsidRPr="00580725">
        <w:rPr>
          <w:rFonts w:ascii="Times New Roman" w:hAnsi="Times New Roman"/>
        </w:rPr>
        <w:lastRenderedPageBreak/>
        <w:t xml:space="preserve">Establish </w:t>
      </w:r>
      <w:r w:rsidRPr="00855ABE">
        <w:rPr>
          <w:rFonts w:ascii="Times New Roman" w:hAnsi="Times New Roman"/>
        </w:rPr>
        <w:t>arrangements</w:t>
      </w:r>
      <w:r w:rsidRPr="00580725">
        <w:rPr>
          <w:rFonts w:ascii="Times New Roman" w:hAnsi="Times New Roman"/>
        </w:rPr>
        <w:t xml:space="preserve"> for fair and equitable benefit</w:t>
      </w:r>
      <w:r>
        <w:rPr>
          <w:rFonts w:ascii="Times New Roman" w:hAnsi="Times New Roman"/>
        </w:rPr>
        <w:t>-</w:t>
      </w:r>
      <w:r w:rsidRPr="00580725">
        <w:rPr>
          <w:rFonts w:ascii="Times New Roman" w:hAnsi="Times New Roman"/>
        </w:rPr>
        <w:t>sharing with the Party who is the provider</w:t>
      </w:r>
      <w:r>
        <w:rPr>
          <w:rFonts w:ascii="Times New Roman" w:hAnsi="Times New Roman"/>
        </w:rPr>
        <w:t xml:space="preserve"> of genetic resources</w:t>
      </w:r>
      <w:r w:rsidRPr="00580725">
        <w:rPr>
          <w:rFonts w:ascii="Times New Roman" w:hAnsi="Times New Roman"/>
        </w:rPr>
        <w:t>, on mutually agreed terms</w:t>
      </w:r>
      <w:r>
        <w:rPr>
          <w:rStyle w:val="af"/>
          <w:rFonts w:ascii="Times New Roman" w:hAnsi="Times New Roman"/>
        </w:rPr>
        <w:footnoteReference w:id="31"/>
      </w:r>
      <w:r>
        <w:rPr>
          <w:rFonts w:ascii="Times New Roman" w:hAnsi="Times New Roman"/>
        </w:rPr>
        <w:t>;</w:t>
      </w:r>
    </w:p>
    <w:p w:rsidR="0080559A" w:rsidRPr="00AE6BC9" w:rsidRDefault="006A4FF2" w:rsidP="0047234C">
      <w:pPr>
        <w:pStyle w:val="a3"/>
        <w:numPr>
          <w:ilvl w:val="0"/>
          <w:numId w:val="16"/>
        </w:numPr>
        <w:jc w:val="both"/>
        <w:rPr>
          <w:rFonts w:ascii="Times New Roman" w:hAnsi="Times New Roman"/>
        </w:rPr>
      </w:pPr>
      <w:r>
        <w:rPr>
          <w:rFonts w:ascii="Times New Roman" w:hAnsi="Times New Roman"/>
        </w:rPr>
        <w:t>R</w:t>
      </w:r>
      <w:r w:rsidR="0047234C" w:rsidRPr="0047234C">
        <w:rPr>
          <w:rFonts w:ascii="Times New Roman" w:hAnsi="Times New Roman"/>
        </w:rPr>
        <w:t>espect, preserve and maintain knowledge, innovations and practices of indigenous and local communities embodying traditional lifestyles relevant for the conservation and sustainable use of biological diversity and promote their wider application with the approval and involvement of the holders of such knowledge, innovations and practices and encourage the equitable sharing of the benefits arising from the utilization of such knowledge, innovations and practices;</w:t>
      </w:r>
      <w:r w:rsidR="0080559A">
        <w:rPr>
          <w:rStyle w:val="af"/>
          <w:rFonts w:ascii="Times New Roman" w:hAnsi="Times New Roman"/>
        </w:rPr>
        <w:footnoteReference w:id="32"/>
      </w:r>
      <w:r w:rsidR="0080559A">
        <w:rPr>
          <w:rFonts w:ascii="Times New Roman" w:hAnsi="Times New Roman"/>
        </w:rPr>
        <w:t xml:space="preserve"> </w:t>
      </w:r>
    </w:p>
    <w:p w:rsidR="0080559A" w:rsidRPr="00AE6BC9" w:rsidRDefault="0080559A" w:rsidP="00855ABE">
      <w:pPr>
        <w:pStyle w:val="a3"/>
        <w:numPr>
          <w:ilvl w:val="0"/>
          <w:numId w:val="16"/>
        </w:numPr>
        <w:jc w:val="both"/>
        <w:rPr>
          <w:rFonts w:ascii="Times New Roman" w:hAnsi="Times New Roman"/>
        </w:rPr>
      </w:pPr>
      <w:r w:rsidRPr="00AE6BC9">
        <w:rPr>
          <w:rFonts w:ascii="Times New Roman" w:hAnsi="Times New Roman"/>
        </w:rPr>
        <w:t>Support the sustainable use</w:t>
      </w:r>
      <w:r w:rsidR="00AE50F9">
        <w:rPr>
          <w:rFonts w:ascii="Times New Roman" w:hAnsi="Times New Roman"/>
        </w:rPr>
        <w:t xml:space="preserve"> and conservation</w:t>
      </w:r>
      <w:r w:rsidRPr="00AE6BC9">
        <w:rPr>
          <w:rFonts w:ascii="Times New Roman" w:hAnsi="Times New Roman"/>
        </w:rPr>
        <w:t xml:space="preserve"> objective</w:t>
      </w:r>
      <w:r w:rsidR="00AE50F9">
        <w:rPr>
          <w:rFonts w:ascii="Times New Roman" w:hAnsi="Times New Roman"/>
        </w:rPr>
        <w:t>s</w:t>
      </w:r>
      <w:r w:rsidRPr="00AE6BC9">
        <w:rPr>
          <w:rFonts w:ascii="Times New Roman" w:hAnsi="Times New Roman"/>
        </w:rPr>
        <w:t xml:space="preserve"> and provisions of the Convention</w:t>
      </w:r>
      <w:r>
        <w:rPr>
          <w:rFonts w:ascii="Times New Roman" w:hAnsi="Times New Roman"/>
        </w:rPr>
        <w:t>; and,</w:t>
      </w:r>
    </w:p>
    <w:p w:rsidR="0080559A" w:rsidRPr="00AE6BC9" w:rsidRDefault="0080559A" w:rsidP="00855ABE">
      <w:pPr>
        <w:pStyle w:val="a3"/>
        <w:numPr>
          <w:ilvl w:val="0"/>
          <w:numId w:val="16"/>
        </w:numPr>
        <w:jc w:val="both"/>
        <w:rPr>
          <w:rFonts w:ascii="Times New Roman" w:hAnsi="Times New Roman"/>
        </w:rPr>
      </w:pPr>
      <w:r w:rsidRPr="00AE6BC9">
        <w:rPr>
          <w:rFonts w:ascii="Times New Roman" w:hAnsi="Times New Roman"/>
        </w:rPr>
        <w:t>Support the technology transfer provisions of the Convention.</w:t>
      </w:r>
    </w:p>
    <w:p w:rsidR="0080559A" w:rsidRDefault="0080559A" w:rsidP="002A373A">
      <w:pPr>
        <w:jc w:val="both"/>
        <w:rPr>
          <w:rFonts w:ascii="Times New Roman" w:hAnsi="Times New Roman"/>
        </w:rPr>
      </w:pPr>
      <w:r>
        <w:rPr>
          <w:rFonts w:ascii="Times New Roman" w:hAnsi="Times New Roman"/>
        </w:rPr>
        <w:t>Certain o</w:t>
      </w:r>
      <w:r w:rsidRPr="00D46CD6">
        <w:rPr>
          <w:rFonts w:ascii="Times New Roman" w:hAnsi="Times New Roman"/>
        </w:rPr>
        <w:t xml:space="preserve">ther </w:t>
      </w:r>
      <w:r>
        <w:rPr>
          <w:rFonts w:ascii="Times New Roman" w:hAnsi="Times New Roman"/>
        </w:rPr>
        <w:t xml:space="preserve">specific </w:t>
      </w:r>
      <w:r w:rsidRPr="00D46CD6">
        <w:rPr>
          <w:rFonts w:ascii="Times New Roman" w:hAnsi="Times New Roman"/>
        </w:rPr>
        <w:t>provisions of the Convention may also be relevant depending on conte</w:t>
      </w:r>
      <w:r>
        <w:rPr>
          <w:rFonts w:ascii="Times New Roman" w:hAnsi="Times New Roman"/>
        </w:rPr>
        <w:t>xt, such as Article 15(6) on</w:t>
      </w:r>
      <w:r w:rsidRPr="00D46CD6">
        <w:rPr>
          <w:rFonts w:ascii="Times New Roman" w:hAnsi="Times New Roman"/>
        </w:rPr>
        <w:t xml:space="preserve"> the role of the provider country in </w:t>
      </w:r>
      <w:r>
        <w:rPr>
          <w:rFonts w:ascii="Times New Roman" w:hAnsi="Times New Roman"/>
        </w:rPr>
        <w:t xml:space="preserve">research </w:t>
      </w:r>
      <w:r w:rsidRPr="00D46CD6">
        <w:rPr>
          <w:rFonts w:ascii="Times New Roman" w:hAnsi="Times New Roman"/>
        </w:rPr>
        <w:t>collaboration</w:t>
      </w:r>
      <w:r>
        <w:rPr>
          <w:rStyle w:val="af"/>
          <w:rFonts w:ascii="Times New Roman" w:hAnsi="Times New Roman"/>
        </w:rPr>
        <w:footnoteReference w:id="33"/>
      </w:r>
      <w:r w:rsidRPr="00D46CD6">
        <w:rPr>
          <w:rFonts w:ascii="Times New Roman" w:hAnsi="Times New Roman"/>
        </w:rPr>
        <w:t>.</w:t>
      </w:r>
      <w:r>
        <w:rPr>
          <w:rFonts w:ascii="Times New Roman" w:hAnsi="Times New Roman"/>
        </w:rPr>
        <w:t xml:space="preserve">    </w:t>
      </w:r>
    </w:p>
    <w:p w:rsidR="0080559A" w:rsidRDefault="0080559A" w:rsidP="002A373A">
      <w:pPr>
        <w:spacing w:before="120" w:after="120"/>
        <w:jc w:val="both"/>
        <w:rPr>
          <w:rFonts w:ascii="Times New Roman" w:hAnsi="Times New Roman"/>
        </w:rPr>
      </w:pPr>
      <w:r>
        <w:rPr>
          <w:rFonts w:ascii="Times New Roman" w:hAnsi="Times New Roman"/>
        </w:rPr>
        <w:t>With the adoption of the Nagoya Protocol, and reflecting that one of the drivers of the Protocol was to provide greater legal certainty for users and providers</w:t>
      </w:r>
      <w:r>
        <w:rPr>
          <w:rStyle w:val="af"/>
          <w:rFonts w:ascii="Times New Roman" w:hAnsi="Times New Roman"/>
        </w:rPr>
        <w:footnoteReference w:id="34"/>
      </w:r>
      <w:r>
        <w:rPr>
          <w:rFonts w:ascii="Times New Roman" w:hAnsi="Times New Roman"/>
        </w:rPr>
        <w:t xml:space="preserve">, the obligations of </w:t>
      </w:r>
      <w:r w:rsidRPr="00C01C64">
        <w:rPr>
          <w:rFonts w:ascii="Times New Roman" w:hAnsi="Times New Roman"/>
        </w:rPr>
        <w:t>Parties</w:t>
      </w:r>
      <w:r>
        <w:rPr>
          <w:rFonts w:ascii="Times New Roman" w:hAnsi="Times New Roman"/>
        </w:rPr>
        <w:t xml:space="preserve"> concerning </w:t>
      </w:r>
      <w:r w:rsidR="00A43B3C">
        <w:rPr>
          <w:rFonts w:ascii="Times New Roman" w:hAnsi="Times New Roman"/>
        </w:rPr>
        <w:t>ABS</w:t>
      </w:r>
      <w:r>
        <w:rPr>
          <w:rFonts w:ascii="Times New Roman" w:hAnsi="Times New Roman"/>
        </w:rPr>
        <w:t xml:space="preserve"> have now been further defined</w:t>
      </w:r>
      <w:r>
        <w:rPr>
          <w:rStyle w:val="af"/>
          <w:rFonts w:ascii="Times New Roman" w:hAnsi="Times New Roman"/>
        </w:rPr>
        <w:footnoteReference w:id="35"/>
      </w:r>
      <w:r>
        <w:rPr>
          <w:rFonts w:ascii="Times New Roman" w:hAnsi="Times New Roman"/>
        </w:rPr>
        <w:t xml:space="preserve">. While the basic core functions required by a model </w:t>
      </w:r>
      <w:r w:rsidR="00A43B3C">
        <w:rPr>
          <w:rFonts w:ascii="Times New Roman" w:hAnsi="Times New Roman"/>
        </w:rPr>
        <w:t>ABS</w:t>
      </w:r>
      <w:r>
        <w:rPr>
          <w:rFonts w:ascii="Times New Roman" w:hAnsi="Times New Roman"/>
        </w:rPr>
        <w:t xml:space="preserve"> arrangement that has been developed consistent with the Convention still apply, the Protocol’s provisions have a number of implications for both the development and scope of model contractual clauses. </w:t>
      </w:r>
    </w:p>
    <w:p w:rsidR="0080559A" w:rsidRDefault="0080559A" w:rsidP="00855ABE">
      <w:pPr>
        <w:spacing w:before="120" w:after="120"/>
        <w:jc w:val="both"/>
        <w:rPr>
          <w:rFonts w:ascii="Times New Roman" w:hAnsi="Times New Roman"/>
        </w:rPr>
      </w:pPr>
      <w:r>
        <w:rPr>
          <w:rFonts w:ascii="Times New Roman" w:hAnsi="Times New Roman"/>
        </w:rPr>
        <w:t>The Protocol’s main implications for model contractual clauses result</w:t>
      </w:r>
      <w:r w:rsidR="00AE50F9">
        <w:rPr>
          <w:rFonts w:ascii="Times New Roman" w:hAnsi="Times New Roman"/>
        </w:rPr>
        <w:t xml:space="preserve"> in particular</w:t>
      </w:r>
      <w:r>
        <w:rPr>
          <w:rFonts w:ascii="Times New Roman" w:hAnsi="Times New Roman"/>
        </w:rPr>
        <w:t xml:space="preserve"> from its provisions on access to genetic resources, benefit-sharing, special considerations, traditional knowledge, </w:t>
      </w:r>
      <w:r w:rsidR="000E34C1">
        <w:rPr>
          <w:rFonts w:ascii="Times New Roman" w:hAnsi="Times New Roman"/>
        </w:rPr>
        <w:t xml:space="preserve">monitoring, </w:t>
      </w:r>
      <w:r>
        <w:rPr>
          <w:rFonts w:ascii="Times New Roman" w:hAnsi="Times New Roman"/>
        </w:rPr>
        <w:t xml:space="preserve">compliance with mutually agreed terms, </w:t>
      </w:r>
      <w:r w:rsidR="000E34C1">
        <w:rPr>
          <w:rFonts w:ascii="Times New Roman" w:hAnsi="Times New Roman"/>
        </w:rPr>
        <w:t>capacity,</w:t>
      </w:r>
      <w:r w:rsidR="000E34C1" w:rsidDel="000E34C1">
        <w:rPr>
          <w:rFonts w:ascii="Times New Roman" w:hAnsi="Times New Roman"/>
        </w:rPr>
        <w:t xml:space="preserve"> </w:t>
      </w:r>
      <w:r>
        <w:rPr>
          <w:rFonts w:ascii="Times New Roman" w:hAnsi="Times New Roman"/>
        </w:rPr>
        <w:t>technology transfer, collaboration</w:t>
      </w:r>
      <w:r w:rsidR="000E34C1">
        <w:rPr>
          <w:rFonts w:ascii="Times New Roman" w:hAnsi="Times New Roman"/>
        </w:rPr>
        <w:t xml:space="preserve"> and</w:t>
      </w:r>
      <w:r>
        <w:rPr>
          <w:rFonts w:ascii="Times New Roman" w:hAnsi="Times New Roman"/>
        </w:rPr>
        <w:t xml:space="preserve"> cooperation. These are summarized as follows. </w:t>
      </w:r>
    </w:p>
    <w:p w:rsidR="0080559A" w:rsidRPr="00855ABE" w:rsidRDefault="0080559A" w:rsidP="00855ABE">
      <w:pPr>
        <w:pStyle w:val="a3"/>
        <w:numPr>
          <w:ilvl w:val="0"/>
          <w:numId w:val="107"/>
        </w:numPr>
        <w:spacing w:before="120" w:after="120"/>
        <w:jc w:val="both"/>
        <w:rPr>
          <w:rFonts w:ascii="Times New Roman" w:hAnsi="Times New Roman"/>
        </w:rPr>
      </w:pPr>
      <w:r>
        <w:rPr>
          <w:rFonts w:ascii="Times New Roman" w:hAnsi="Times New Roman"/>
        </w:rPr>
        <w:t>On a</w:t>
      </w:r>
      <w:r w:rsidRPr="00855ABE">
        <w:rPr>
          <w:rFonts w:ascii="Times New Roman" w:hAnsi="Times New Roman"/>
        </w:rPr>
        <w:t>ccess to genetic resources and fair and equitable benefit</w:t>
      </w:r>
      <w:r w:rsidR="000E34C1">
        <w:rPr>
          <w:rFonts w:ascii="Times New Roman" w:hAnsi="Times New Roman"/>
        </w:rPr>
        <w:t>-</w:t>
      </w:r>
      <w:r w:rsidRPr="00855ABE">
        <w:rPr>
          <w:rFonts w:ascii="Times New Roman" w:hAnsi="Times New Roman"/>
        </w:rPr>
        <w:t>sharing</w:t>
      </w:r>
      <w:r>
        <w:rPr>
          <w:rFonts w:ascii="Times New Roman" w:hAnsi="Times New Roman"/>
        </w:rPr>
        <w:t>:</w:t>
      </w:r>
    </w:p>
    <w:p w:rsidR="0080559A" w:rsidRPr="00855ABE" w:rsidRDefault="0080559A" w:rsidP="00855ABE">
      <w:pPr>
        <w:pStyle w:val="a3"/>
        <w:numPr>
          <w:ilvl w:val="0"/>
          <w:numId w:val="112"/>
        </w:numPr>
        <w:spacing w:before="120" w:after="120"/>
        <w:jc w:val="both"/>
        <w:rPr>
          <w:rFonts w:ascii="Times New Roman" w:hAnsi="Times New Roman"/>
        </w:rPr>
      </w:pPr>
      <w:r w:rsidRPr="00855ABE">
        <w:rPr>
          <w:rFonts w:ascii="Times New Roman" w:hAnsi="Times New Roman"/>
        </w:rPr>
        <w:t>The Protocol</w:t>
      </w:r>
      <w:r>
        <w:rPr>
          <w:rFonts w:ascii="Times New Roman" w:hAnsi="Times New Roman"/>
        </w:rPr>
        <w:t xml:space="preserve"> </w:t>
      </w:r>
      <w:r w:rsidR="004647D3">
        <w:rPr>
          <w:rFonts w:ascii="Times New Roman" w:hAnsi="Times New Roman"/>
        </w:rPr>
        <w:t>obliges</w:t>
      </w:r>
      <w:r w:rsidRPr="00855ABE">
        <w:rPr>
          <w:rFonts w:ascii="Times New Roman" w:hAnsi="Times New Roman"/>
          <w:lang w:eastAsia="fr-CH"/>
        </w:rPr>
        <w:t xml:space="preserve"> each Party requir</w:t>
      </w:r>
      <w:r>
        <w:rPr>
          <w:rFonts w:ascii="Times New Roman" w:hAnsi="Times New Roman"/>
          <w:lang w:eastAsia="fr-CH"/>
        </w:rPr>
        <w:t xml:space="preserve">ing </w:t>
      </w:r>
      <w:r w:rsidR="00A43B3C">
        <w:rPr>
          <w:rFonts w:ascii="Times New Roman" w:hAnsi="Times New Roman"/>
          <w:lang w:eastAsia="fr-CH"/>
        </w:rPr>
        <w:t>PIC</w:t>
      </w:r>
      <w:r w:rsidRPr="00855ABE">
        <w:rPr>
          <w:rFonts w:ascii="Times New Roman" w:hAnsi="Times New Roman"/>
          <w:lang w:eastAsia="fr-CH"/>
        </w:rPr>
        <w:t xml:space="preserve"> </w:t>
      </w:r>
      <w:r w:rsidR="00FF323F">
        <w:rPr>
          <w:rFonts w:ascii="Times New Roman" w:hAnsi="Times New Roman"/>
          <w:lang w:eastAsia="fr-CH"/>
        </w:rPr>
        <w:t xml:space="preserve">to </w:t>
      </w:r>
      <w:r w:rsidRPr="00855ABE">
        <w:rPr>
          <w:rFonts w:ascii="Times New Roman" w:hAnsi="Times New Roman"/>
          <w:lang w:eastAsia="fr-CH"/>
        </w:rPr>
        <w:t>take the necessary legislative, administrative or policy measures, as appropriate, to</w:t>
      </w:r>
      <w:r w:rsidRPr="00855ABE">
        <w:rPr>
          <w:rFonts w:ascii="Times New Roman" w:hAnsi="Times New Roman"/>
        </w:rPr>
        <w:t xml:space="preserve"> establish clear rules and procedures for requiring and establishing mutuall</w:t>
      </w:r>
      <w:r>
        <w:rPr>
          <w:rFonts w:ascii="Times New Roman" w:hAnsi="Times New Roman"/>
        </w:rPr>
        <w:t>y agreed terms. Such terms are to</w:t>
      </w:r>
      <w:r w:rsidRPr="00855ABE">
        <w:rPr>
          <w:rFonts w:ascii="Times New Roman" w:hAnsi="Times New Roman"/>
        </w:rPr>
        <w:t xml:space="preserve"> be set out in writing and may include a dispute settlement clause; t</w:t>
      </w:r>
      <w:r>
        <w:rPr>
          <w:rFonts w:ascii="Times New Roman" w:hAnsi="Times New Roman"/>
        </w:rPr>
        <w:t>erms for</w:t>
      </w:r>
      <w:r w:rsidRPr="00855ABE">
        <w:rPr>
          <w:rFonts w:ascii="Times New Roman" w:hAnsi="Times New Roman"/>
        </w:rPr>
        <w:t xml:space="preserve"> benefit-sharing, including in relation to intellectual property rights, sub</w:t>
      </w:r>
      <w:r>
        <w:rPr>
          <w:rFonts w:ascii="Times New Roman" w:hAnsi="Times New Roman"/>
        </w:rPr>
        <w:t>sequent third-party use,</w:t>
      </w:r>
      <w:r w:rsidRPr="00855ABE">
        <w:rPr>
          <w:rFonts w:ascii="Times New Roman" w:hAnsi="Times New Roman"/>
        </w:rPr>
        <w:t xml:space="preserve"> and changes of intent</w:t>
      </w:r>
      <w:r>
        <w:rPr>
          <w:rStyle w:val="af"/>
          <w:rFonts w:ascii="Times New Roman" w:hAnsi="Times New Roman"/>
        </w:rPr>
        <w:footnoteReference w:id="36"/>
      </w:r>
      <w:r w:rsidRPr="00855ABE">
        <w:rPr>
          <w:rFonts w:ascii="Times New Roman" w:hAnsi="Times New Roman"/>
        </w:rPr>
        <w:t xml:space="preserve">. Model contractual clauses developed to facilitate implementation of such legislative, administrative or policy measures may </w:t>
      </w:r>
      <w:r>
        <w:rPr>
          <w:rFonts w:ascii="Times New Roman" w:hAnsi="Times New Roman"/>
        </w:rPr>
        <w:t>thus cover these issues, as appropriate to context</w:t>
      </w:r>
      <w:r w:rsidRPr="00855ABE">
        <w:rPr>
          <w:rFonts w:ascii="Times New Roman" w:hAnsi="Times New Roman"/>
        </w:rPr>
        <w:t xml:space="preserve">. </w:t>
      </w:r>
    </w:p>
    <w:p w:rsidR="0080559A" w:rsidRPr="00855ABE" w:rsidRDefault="0080559A" w:rsidP="00855ABE">
      <w:pPr>
        <w:pStyle w:val="a3"/>
        <w:numPr>
          <w:ilvl w:val="0"/>
          <w:numId w:val="112"/>
        </w:numPr>
        <w:jc w:val="both"/>
        <w:rPr>
          <w:rFonts w:ascii="Times New Roman" w:hAnsi="Times New Roman"/>
        </w:rPr>
      </w:pPr>
      <w:r>
        <w:rPr>
          <w:rFonts w:ascii="Times New Roman" w:hAnsi="Times New Roman"/>
        </w:rPr>
        <w:t>T</w:t>
      </w:r>
      <w:r w:rsidRPr="00855ABE">
        <w:rPr>
          <w:rFonts w:ascii="Times New Roman" w:hAnsi="Times New Roman"/>
        </w:rPr>
        <w:t xml:space="preserve">he Protocol’s Annex provides an indicative list of the types of </w:t>
      </w:r>
      <w:r>
        <w:rPr>
          <w:rFonts w:ascii="Times New Roman" w:hAnsi="Times New Roman"/>
        </w:rPr>
        <w:t xml:space="preserve">monetary and non-monetary </w:t>
      </w:r>
      <w:r w:rsidRPr="00855ABE">
        <w:rPr>
          <w:rFonts w:ascii="Times New Roman" w:hAnsi="Times New Roman"/>
        </w:rPr>
        <w:t>benefits that might be shared, so providing guidance for the scope of benefits that might be c</w:t>
      </w:r>
      <w:r>
        <w:rPr>
          <w:rFonts w:ascii="Times New Roman" w:hAnsi="Times New Roman"/>
        </w:rPr>
        <w:t>onsidered within model contractual clauses</w:t>
      </w:r>
      <w:r w:rsidRPr="00855ABE">
        <w:rPr>
          <w:rFonts w:ascii="Times New Roman" w:hAnsi="Times New Roman"/>
        </w:rPr>
        <w:t xml:space="preserve">. </w:t>
      </w:r>
    </w:p>
    <w:p w:rsidR="000E34C1" w:rsidRPr="00422AFB" w:rsidRDefault="000E34C1" w:rsidP="000E34C1">
      <w:pPr>
        <w:pStyle w:val="a3"/>
        <w:numPr>
          <w:ilvl w:val="0"/>
          <w:numId w:val="107"/>
        </w:numPr>
        <w:spacing w:before="120" w:after="120"/>
        <w:jc w:val="both"/>
        <w:rPr>
          <w:rFonts w:ascii="Times New Roman" w:hAnsi="Times New Roman"/>
        </w:rPr>
      </w:pPr>
      <w:r>
        <w:rPr>
          <w:rFonts w:ascii="Times New Roman" w:hAnsi="Times New Roman"/>
        </w:rPr>
        <w:t>On special considerations:</w:t>
      </w:r>
    </w:p>
    <w:p w:rsidR="000E34C1" w:rsidRPr="00855ABE" w:rsidRDefault="000E34C1" w:rsidP="000E34C1">
      <w:pPr>
        <w:pStyle w:val="a3"/>
        <w:numPr>
          <w:ilvl w:val="0"/>
          <w:numId w:val="115"/>
        </w:numPr>
        <w:spacing w:before="120" w:after="120"/>
        <w:jc w:val="both"/>
        <w:rPr>
          <w:rFonts w:ascii="Times New Roman" w:hAnsi="Times New Roman"/>
        </w:rPr>
      </w:pPr>
      <w:r w:rsidRPr="00855ABE">
        <w:rPr>
          <w:rFonts w:ascii="Times New Roman" w:hAnsi="Times New Roman"/>
        </w:rPr>
        <w:lastRenderedPageBreak/>
        <w:t>T</w:t>
      </w:r>
      <w:r>
        <w:rPr>
          <w:rFonts w:ascii="Times New Roman" w:hAnsi="Times New Roman"/>
        </w:rPr>
        <w:t>he Protocol provides</w:t>
      </w:r>
      <w:r w:rsidRPr="00855ABE">
        <w:rPr>
          <w:rFonts w:ascii="Times New Roman" w:hAnsi="Times New Roman"/>
        </w:rPr>
        <w:t xml:space="preserve"> that each Party </w:t>
      </w:r>
      <w:r>
        <w:rPr>
          <w:rFonts w:ascii="Times New Roman" w:hAnsi="Times New Roman"/>
        </w:rPr>
        <w:t xml:space="preserve">is to </w:t>
      </w:r>
      <w:r w:rsidRPr="00855ABE">
        <w:rPr>
          <w:rFonts w:ascii="Times New Roman" w:hAnsi="Times New Roman"/>
        </w:rPr>
        <w:t>create conditions to promote and encourage research which contributes to the conservation and sustainable use of biodiversity, including through simplified measures on access for non-commercial research purposes, and taking into account the need to address change</w:t>
      </w:r>
      <w:r>
        <w:rPr>
          <w:rFonts w:ascii="Times New Roman" w:hAnsi="Times New Roman"/>
        </w:rPr>
        <w:t>s</w:t>
      </w:r>
      <w:r w:rsidRPr="00855ABE">
        <w:rPr>
          <w:rFonts w:ascii="Times New Roman" w:hAnsi="Times New Roman"/>
        </w:rPr>
        <w:t xml:space="preserve"> of intent for such research</w:t>
      </w:r>
      <w:r>
        <w:rPr>
          <w:rStyle w:val="af"/>
          <w:rFonts w:ascii="Times New Roman" w:hAnsi="Times New Roman"/>
        </w:rPr>
        <w:footnoteReference w:id="37"/>
      </w:r>
      <w:r w:rsidRPr="00855ABE">
        <w:rPr>
          <w:rFonts w:ascii="Times New Roman" w:hAnsi="Times New Roman"/>
        </w:rPr>
        <w:t xml:space="preserve">. Model contractual clauses and arrangements may </w:t>
      </w:r>
      <w:r>
        <w:rPr>
          <w:rFonts w:ascii="Times New Roman" w:hAnsi="Times New Roman"/>
        </w:rPr>
        <w:t>be developed such that they embody</w:t>
      </w:r>
      <w:r w:rsidRPr="00855ABE">
        <w:rPr>
          <w:rFonts w:ascii="Times New Roman" w:hAnsi="Times New Roman"/>
        </w:rPr>
        <w:t xml:space="preserve"> a simplified approach and incorporate processes for addressing a change of intent. </w:t>
      </w:r>
    </w:p>
    <w:p w:rsidR="0080559A" w:rsidRDefault="0080559A" w:rsidP="00855ABE">
      <w:pPr>
        <w:pStyle w:val="a3"/>
        <w:numPr>
          <w:ilvl w:val="0"/>
          <w:numId w:val="107"/>
        </w:numPr>
        <w:spacing w:before="120" w:after="120"/>
        <w:jc w:val="both"/>
        <w:rPr>
          <w:rFonts w:ascii="Times New Roman" w:hAnsi="Times New Roman"/>
        </w:rPr>
      </w:pPr>
      <w:r>
        <w:rPr>
          <w:rFonts w:ascii="Times New Roman" w:hAnsi="Times New Roman"/>
        </w:rPr>
        <w:t>On traditional knowledge associated with genetic resources and access to genetic resources held by indigenous and local communities:</w:t>
      </w:r>
    </w:p>
    <w:p w:rsidR="0080559A" w:rsidRPr="00855ABE" w:rsidRDefault="0080559A" w:rsidP="00855ABE">
      <w:pPr>
        <w:pStyle w:val="a3"/>
        <w:numPr>
          <w:ilvl w:val="0"/>
          <w:numId w:val="113"/>
        </w:numPr>
        <w:jc w:val="both"/>
        <w:rPr>
          <w:rFonts w:ascii="Times New Roman" w:hAnsi="Times New Roman"/>
        </w:rPr>
      </w:pPr>
      <w:r w:rsidRPr="00855ABE">
        <w:rPr>
          <w:rFonts w:ascii="Times New Roman" w:hAnsi="Times New Roman"/>
        </w:rPr>
        <w:t>The Protoco</w:t>
      </w:r>
      <w:r>
        <w:rPr>
          <w:rFonts w:ascii="Times New Roman" w:hAnsi="Times New Roman"/>
        </w:rPr>
        <w:t>l requires that each Party</w:t>
      </w:r>
      <w:r w:rsidRPr="00855ABE">
        <w:rPr>
          <w:rFonts w:ascii="Times New Roman" w:hAnsi="Times New Roman"/>
        </w:rPr>
        <w:t xml:space="preserve"> take legislative, administrative or policy measures, as appropriate, with the aim of ensuring that benefits arising from the utilization of genetic resources that are held by i</w:t>
      </w:r>
      <w:r>
        <w:rPr>
          <w:rFonts w:ascii="Times New Roman" w:hAnsi="Times New Roman"/>
        </w:rPr>
        <w:t>ndigenous and local communities</w:t>
      </w:r>
      <w:r>
        <w:rPr>
          <w:rStyle w:val="af"/>
          <w:rFonts w:ascii="Times New Roman" w:hAnsi="Times New Roman"/>
        </w:rPr>
        <w:footnoteReference w:id="38"/>
      </w:r>
      <w:r>
        <w:rPr>
          <w:rFonts w:ascii="Times New Roman" w:hAnsi="Times New Roman"/>
        </w:rPr>
        <w:t xml:space="preserve"> and traditional knowledge associated with genetic resources </w:t>
      </w:r>
      <w:r w:rsidRPr="00855ABE">
        <w:rPr>
          <w:rFonts w:ascii="Times New Roman" w:hAnsi="Times New Roman"/>
        </w:rPr>
        <w:t xml:space="preserve">are shared in a fair and equitable way with indigenous and local communities </w:t>
      </w:r>
      <w:r>
        <w:rPr>
          <w:rFonts w:ascii="Times New Roman" w:hAnsi="Times New Roman"/>
        </w:rPr>
        <w:t xml:space="preserve">holding such knowledge, on </w:t>
      </w:r>
      <w:r w:rsidRPr="00855ABE">
        <w:rPr>
          <w:rFonts w:ascii="Times New Roman" w:hAnsi="Times New Roman"/>
        </w:rPr>
        <w:t>mutually agreed terms</w:t>
      </w:r>
      <w:r>
        <w:rPr>
          <w:rStyle w:val="af"/>
          <w:rFonts w:ascii="Times New Roman" w:hAnsi="Times New Roman"/>
        </w:rPr>
        <w:footnoteReference w:id="39"/>
      </w:r>
      <w:r w:rsidRPr="00855ABE">
        <w:rPr>
          <w:rFonts w:ascii="Times New Roman" w:hAnsi="Times New Roman"/>
        </w:rPr>
        <w:t>.</w:t>
      </w:r>
      <w:r w:rsidR="004647D3">
        <w:rPr>
          <w:rFonts w:ascii="Times New Roman" w:hAnsi="Times New Roman"/>
        </w:rPr>
        <w:t xml:space="preserve"> </w:t>
      </w:r>
      <w:r>
        <w:rPr>
          <w:rFonts w:ascii="Times New Roman" w:hAnsi="Times New Roman"/>
        </w:rPr>
        <w:t>T</w:t>
      </w:r>
      <w:r w:rsidRPr="00855ABE">
        <w:rPr>
          <w:rFonts w:ascii="Times New Roman" w:hAnsi="Times New Roman"/>
        </w:rPr>
        <w:t xml:space="preserve">he Protocol </w:t>
      </w:r>
      <w:r>
        <w:rPr>
          <w:rFonts w:ascii="Times New Roman" w:hAnsi="Times New Roman"/>
        </w:rPr>
        <w:t xml:space="preserve">also </w:t>
      </w:r>
      <w:r w:rsidRPr="00855ABE">
        <w:rPr>
          <w:rFonts w:ascii="Times New Roman" w:hAnsi="Times New Roman"/>
        </w:rPr>
        <w:t>requires that, in accordance with domestic law, each Party take measures, as appropriate</w:t>
      </w:r>
      <w:r>
        <w:rPr>
          <w:rFonts w:ascii="Times New Roman" w:hAnsi="Times New Roman"/>
        </w:rPr>
        <w:t xml:space="preserve">, with the aim of ensuring that the </w:t>
      </w:r>
      <w:r w:rsidR="00A43B3C">
        <w:rPr>
          <w:rFonts w:ascii="Times New Roman" w:hAnsi="Times New Roman"/>
        </w:rPr>
        <w:t>PIC</w:t>
      </w:r>
      <w:r>
        <w:rPr>
          <w:rFonts w:ascii="Times New Roman" w:hAnsi="Times New Roman"/>
        </w:rPr>
        <w:t xml:space="preserve"> or approval and involvement of indigenous and local communities is obtained for access to genetic resources wher</w:t>
      </w:r>
      <w:r w:rsidR="004647D3">
        <w:rPr>
          <w:rFonts w:ascii="Times New Roman" w:hAnsi="Times New Roman"/>
        </w:rPr>
        <w:t>e</w:t>
      </w:r>
      <w:r>
        <w:rPr>
          <w:rFonts w:ascii="Times New Roman" w:hAnsi="Times New Roman"/>
        </w:rPr>
        <w:t xml:space="preserve"> they have the established right to grant access to such resources</w:t>
      </w:r>
      <w:r>
        <w:rPr>
          <w:rStyle w:val="af"/>
          <w:rFonts w:ascii="Times New Roman" w:hAnsi="Times New Roman"/>
        </w:rPr>
        <w:footnoteReference w:id="40"/>
      </w:r>
      <w:r>
        <w:rPr>
          <w:rFonts w:ascii="Times New Roman" w:hAnsi="Times New Roman"/>
        </w:rPr>
        <w:t xml:space="preserve">. It further requires that Parties take measures in accordance with domestic law, with the aim of ensuring that </w:t>
      </w:r>
      <w:r w:rsidRPr="00855ABE">
        <w:rPr>
          <w:rFonts w:ascii="Times New Roman" w:hAnsi="Times New Roman"/>
        </w:rPr>
        <w:t>traditional knowledge associate</w:t>
      </w:r>
      <w:r>
        <w:rPr>
          <w:rFonts w:ascii="Times New Roman" w:hAnsi="Times New Roman"/>
        </w:rPr>
        <w:t>d with genetic resources</w:t>
      </w:r>
      <w:r w:rsidRPr="00855ABE">
        <w:rPr>
          <w:rFonts w:ascii="Times New Roman" w:hAnsi="Times New Roman"/>
        </w:rPr>
        <w:t xml:space="preserve"> held by indigenous and local communities is accessed with the </w:t>
      </w:r>
      <w:r w:rsidR="00A43B3C">
        <w:rPr>
          <w:rFonts w:ascii="Times New Roman" w:hAnsi="Times New Roman"/>
        </w:rPr>
        <w:t>PIC</w:t>
      </w:r>
      <w:r w:rsidRPr="00855ABE">
        <w:rPr>
          <w:rFonts w:ascii="Times New Roman" w:hAnsi="Times New Roman"/>
        </w:rPr>
        <w:t xml:space="preserve"> or</w:t>
      </w:r>
      <w:r>
        <w:rPr>
          <w:rFonts w:ascii="Times New Roman" w:hAnsi="Times New Roman"/>
        </w:rPr>
        <w:t xml:space="preserve"> approval and involvement of tho</w:t>
      </w:r>
      <w:r w:rsidRPr="00855ABE">
        <w:rPr>
          <w:rFonts w:ascii="Times New Roman" w:hAnsi="Times New Roman"/>
        </w:rPr>
        <w:t>s</w:t>
      </w:r>
      <w:r>
        <w:rPr>
          <w:rFonts w:ascii="Times New Roman" w:hAnsi="Times New Roman"/>
        </w:rPr>
        <w:t>e</w:t>
      </w:r>
      <w:r w:rsidRPr="00855ABE">
        <w:rPr>
          <w:rFonts w:ascii="Times New Roman" w:hAnsi="Times New Roman"/>
        </w:rPr>
        <w:t xml:space="preserve"> indigenous and local communities, and that mutually agreed terms have been established</w:t>
      </w:r>
      <w:r>
        <w:rPr>
          <w:rStyle w:val="af"/>
          <w:rFonts w:ascii="Times New Roman" w:hAnsi="Times New Roman"/>
        </w:rPr>
        <w:footnoteReference w:id="41"/>
      </w:r>
      <w:r w:rsidRPr="00855ABE">
        <w:rPr>
          <w:rFonts w:ascii="Times New Roman" w:hAnsi="Times New Roman"/>
        </w:rPr>
        <w:t>.</w:t>
      </w:r>
      <w:r>
        <w:rPr>
          <w:rFonts w:ascii="Times New Roman" w:hAnsi="Times New Roman"/>
        </w:rPr>
        <w:t xml:space="preserve"> In each of these cases, m</w:t>
      </w:r>
      <w:r w:rsidRPr="00B85F23">
        <w:rPr>
          <w:rFonts w:ascii="Times New Roman" w:hAnsi="Times New Roman"/>
        </w:rPr>
        <w:t xml:space="preserve">odel contractual clauses </w:t>
      </w:r>
      <w:r>
        <w:rPr>
          <w:rFonts w:ascii="Times New Roman" w:hAnsi="Times New Roman"/>
        </w:rPr>
        <w:t>to give effect to such measures could be designed.</w:t>
      </w:r>
    </w:p>
    <w:p w:rsidR="0080559A" w:rsidRPr="00855ABE" w:rsidRDefault="0080559A" w:rsidP="00855ABE">
      <w:pPr>
        <w:pStyle w:val="a3"/>
        <w:numPr>
          <w:ilvl w:val="0"/>
          <w:numId w:val="113"/>
        </w:numPr>
        <w:spacing w:before="120" w:after="120"/>
        <w:jc w:val="both"/>
        <w:rPr>
          <w:rFonts w:ascii="Times New Roman" w:hAnsi="Times New Roman"/>
        </w:rPr>
      </w:pPr>
      <w:r>
        <w:rPr>
          <w:rFonts w:ascii="Times New Roman" w:hAnsi="Times New Roman"/>
        </w:rPr>
        <w:t>Note that t</w:t>
      </w:r>
      <w:r w:rsidRPr="00855ABE">
        <w:rPr>
          <w:rFonts w:ascii="Times New Roman" w:hAnsi="Times New Roman"/>
        </w:rPr>
        <w:t xml:space="preserve">he Protocol </w:t>
      </w:r>
      <w:r>
        <w:rPr>
          <w:rFonts w:ascii="Times New Roman" w:hAnsi="Times New Roman"/>
        </w:rPr>
        <w:t>expressly provides</w:t>
      </w:r>
      <w:r w:rsidRPr="00855ABE">
        <w:rPr>
          <w:rFonts w:ascii="Times New Roman" w:hAnsi="Times New Roman"/>
        </w:rPr>
        <w:t xml:space="preserve"> that </w:t>
      </w:r>
      <w:r>
        <w:rPr>
          <w:rFonts w:ascii="Times New Roman" w:hAnsi="Times New Roman"/>
        </w:rPr>
        <w:t>Parties are to</w:t>
      </w:r>
      <w:r w:rsidRPr="00855ABE">
        <w:rPr>
          <w:rFonts w:ascii="Times New Roman" w:hAnsi="Times New Roman"/>
        </w:rPr>
        <w:t xml:space="preserve"> endeavor to support, as appropriate, the development by indigenous and local communities, including women within these communities, of model contractual clauses for benefit-sharing arising from the utilization of traditional knowledge associated with genetic resources</w:t>
      </w:r>
      <w:r>
        <w:rPr>
          <w:rStyle w:val="af"/>
          <w:rFonts w:ascii="Times New Roman" w:hAnsi="Times New Roman"/>
        </w:rPr>
        <w:footnoteReference w:id="42"/>
      </w:r>
      <w:r w:rsidRPr="00855ABE">
        <w:rPr>
          <w:rFonts w:ascii="Times New Roman" w:hAnsi="Times New Roman"/>
        </w:rPr>
        <w:t>.</w:t>
      </w:r>
      <w:r>
        <w:rPr>
          <w:rFonts w:ascii="Times New Roman" w:hAnsi="Times New Roman"/>
        </w:rPr>
        <w:t xml:space="preserve"> This provision guides Parties as to </w:t>
      </w:r>
      <w:r w:rsidR="004647D3">
        <w:rPr>
          <w:rFonts w:ascii="Times New Roman" w:hAnsi="Times New Roman"/>
        </w:rPr>
        <w:t xml:space="preserve">the </w:t>
      </w:r>
      <w:r>
        <w:rPr>
          <w:rFonts w:ascii="Times New Roman" w:hAnsi="Times New Roman"/>
        </w:rPr>
        <w:t xml:space="preserve">appropriate process for the development of model contractual clauses concerning traditional knowledge. </w:t>
      </w:r>
    </w:p>
    <w:p w:rsidR="0080559A" w:rsidRDefault="0080559A" w:rsidP="00855ABE">
      <w:pPr>
        <w:pStyle w:val="a3"/>
        <w:numPr>
          <w:ilvl w:val="0"/>
          <w:numId w:val="107"/>
        </w:numPr>
        <w:spacing w:before="120" w:after="120"/>
        <w:jc w:val="both"/>
        <w:rPr>
          <w:rFonts w:ascii="Times New Roman" w:hAnsi="Times New Roman"/>
        </w:rPr>
      </w:pPr>
      <w:r>
        <w:rPr>
          <w:rFonts w:ascii="Times New Roman" w:hAnsi="Times New Roman"/>
        </w:rPr>
        <w:t>On monitoring the utilization of genetic resources:</w:t>
      </w:r>
    </w:p>
    <w:p w:rsidR="0080559A" w:rsidRDefault="0080559A" w:rsidP="00855ABE">
      <w:pPr>
        <w:pStyle w:val="a3"/>
        <w:numPr>
          <w:ilvl w:val="0"/>
          <w:numId w:val="114"/>
        </w:numPr>
        <w:spacing w:before="120" w:after="120"/>
        <w:jc w:val="both"/>
        <w:rPr>
          <w:rFonts w:ascii="Times New Roman" w:hAnsi="Times New Roman"/>
        </w:rPr>
      </w:pPr>
      <w:r>
        <w:rPr>
          <w:rFonts w:ascii="Times New Roman" w:hAnsi="Times New Roman"/>
        </w:rPr>
        <w:t xml:space="preserve">The Protocol provides that, to support compliance, each Party is to take measures, as appropriate, to monitor and to enhance transparency about the utilization of genetic resources. Measures to support compliance are to include the designation of one or more checkpoints to collect or receive, as appropriate, relevant information related to: </w:t>
      </w:r>
      <w:r w:rsidR="00A43B3C">
        <w:rPr>
          <w:rFonts w:ascii="Times New Roman" w:hAnsi="Times New Roman"/>
        </w:rPr>
        <w:t>PIC</w:t>
      </w:r>
      <w:r>
        <w:rPr>
          <w:rFonts w:ascii="Times New Roman" w:hAnsi="Times New Roman"/>
        </w:rPr>
        <w:t>; the source of the genetic resource; the establishment of mutually agreed terms; and/or to the utilization of genetic resources, as appropriate</w:t>
      </w:r>
      <w:r>
        <w:rPr>
          <w:rStyle w:val="af"/>
          <w:rFonts w:ascii="Times New Roman" w:hAnsi="Times New Roman"/>
        </w:rPr>
        <w:footnoteReference w:id="43"/>
      </w:r>
      <w:r>
        <w:rPr>
          <w:rFonts w:ascii="Times New Roman" w:hAnsi="Times New Roman"/>
        </w:rPr>
        <w:t xml:space="preserve">. These requirements, alongside the Protocol’s requirements as to the </w:t>
      </w:r>
      <w:r w:rsidRPr="004C4E14">
        <w:rPr>
          <w:rFonts w:ascii="Times New Roman" w:hAnsi="Times New Roman"/>
        </w:rPr>
        <w:t>minimum information to be included within an internationally recognized certificate of compliance</w:t>
      </w:r>
      <w:r w:rsidRPr="004C4E14">
        <w:rPr>
          <w:rFonts w:ascii="Times New Roman" w:hAnsi="Times New Roman"/>
          <w:vertAlign w:val="superscript"/>
        </w:rPr>
        <w:footnoteReference w:id="44"/>
      </w:r>
      <w:r>
        <w:rPr>
          <w:rFonts w:ascii="Times New Roman" w:hAnsi="Times New Roman"/>
        </w:rPr>
        <w:t>,</w:t>
      </w:r>
      <w:r w:rsidRPr="004C4E14">
        <w:rPr>
          <w:rFonts w:ascii="Times New Roman" w:hAnsi="Times New Roman"/>
        </w:rPr>
        <w:t xml:space="preserve"> </w:t>
      </w:r>
      <w:r>
        <w:rPr>
          <w:rFonts w:ascii="Times New Roman" w:hAnsi="Times New Roman"/>
        </w:rPr>
        <w:t xml:space="preserve"> have implications for the type of information that might be required from users, as provided for within model contractual clauses.</w:t>
      </w:r>
    </w:p>
    <w:p w:rsidR="0080559A" w:rsidRDefault="0080559A" w:rsidP="00855ABE">
      <w:pPr>
        <w:pStyle w:val="a3"/>
        <w:numPr>
          <w:ilvl w:val="0"/>
          <w:numId w:val="114"/>
        </w:numPr>
        <w:spacing w:before="120" w:after="120"/>
        <w:jc w:val="both"/>
        <w:rPr>
          <w:rFonts w:ascii="Times New Roman" w:hAnsi="Times New Roman"/>
        </w:rPr>
      </w:pPr>
      <w:r>
        <w:rPr>
          <w:rFonts w:ascii="Times New Roman" w:hAnsi="Times New Roman"/>
        </w:rPr>
        <w:lastRenderedPageBreak/>
        <w:t>That such measures are to encourage</w:t>
      </w:r>
      <w:r w:rsidRPr="00664B49">
        <w:rPr>
          <w:rFonts w:ascii="Times New Roman" w:hAnsi="Times New Roman"/>
        </w:rPr>
        <w:t xml:space="preserve"> users and providers of genetic resources to include provisions in mutually agreed terms to share information on the implementation of such terms, including through reporting requirements</w:t>
      </w:r>
      <w:r>
        <w:rPr>
          <w:rStyle w:val="af"/>
          <w:rFonts w:ascii="Times New Roman" w:hAnsi="Times New Roman"/>
        </w:rPr>
        <w:footnoteReference w:id="45"/>
      </w:r>
      <w:r>
        <w:rPr>
          <w:rFonts w:ascii="Times New Roman" w:hAnsi="Times New Roman"/>
        </w:rPr>
        <w:t xml:space="preserve"> also has implications for the design of model contractual clauses.</w:t>
      </w:r>
    </w:p>
    <w:p w:rsidR="0080559A" w:rsidRDefault="0080559A" w:rsidP="00855ABE">
      <w:pPr>
        <w:pStyle w:val="a3"/>
        <w:numPr>
          <w:ilvl w:val="0"/>
          <w:numId w:val="107"/>
        </w:numPr>
        <w:spacing w:before="120" w:after="120"/>
        <w:jc w:val="both"/>
        <w:rPr>
          <w:rFonts w:ascii="Times New Roman" w:hAnsi="Times New Roman"/>
        </w:rPr>
      </w:pPr>
      <w:r>
        <w:rPr>
          <w:rFonts w:ascii="Times New Roman" w:hAnsi="Times New Roman"/>
        </w:rPr>
        <w:t>On compliance with mutually agreed terms</w:t>
      </w:r>
      <w:r w:rsidR="004647D3">
        <w:rPr>
          <w:rFonts w:ascii="Times New Roman" w:hAnsi="Times New Roman"/>
        </w:rPr>
        <w:t>:</w:t>
      </w:r>
      <w:r>
        <w:rPr>
          <w:rFonts w:ascii="Times New Roman" w:hAnsi="Times New Roman"/>
        </w:rPr>
        <w:t xml:space="preserve"> </w:t>
      </w:r>
    </w:p>
    <w:p w:rsidR="0080559A" w:rsidRPr="00855ABE" w:rsidRDefault="0080559A" w:rsidP="00855ABE">
      <w:pPr>
        <w:pStyle w:val="a3"/>
        <w:numPr>
          <w:ilvl w:val="0"/>
          <w:numId w:val="116"/>
        </w:numPr>
        <w:spacing w:before="120" w:after="120"/>
        <w:jc w:val="both"/>
        <w:rPr>
          <w:rFonts w:ascii="Times New Roman" w:hAnsi="Times New Roman"/>
        </w:rPr>
      </w:pPr>
      <w:r w:rsidRPr="00855ABE">
        <w:rPr>
          <w:rFonts w:ascii="Times New Roman" w:hAnsi="Times New Roman"/>
        </w:rPr>
        <w:t xml:space="preserve">The Protocol states that each </w:t>
      </w:r>
      <w:r>
        <w:rPr>
          <w:rFonts w:ascii="Times New Roman" w:hAnsi="Times New Roman"/>
        </w:rPr>
        <w:t>P</w:t>
      </w:r>
      <w:r w:rsidRPr="00855ABE">
        <w:rPr>
          <w:rFonts w:ascii="Times New Roman" w:hAnsi="Times New Roman"/>
        </w:rPr>
        <w:t xml:space="preserve">arty shall encourage providers and users of genetic resources and/or traditional knowledge </w:t>
      </w:r>
      <w:r>
        <w:rPr>
          <w:rFonts w:ascii="Times New Roman" w:hAnsi="Times New Roman"/>
        </w:rPr>
        <w:t xml:space="preserve">to </w:t>
      </w:r>
      <w:r w:rsidRPr="00855ABE">
        <w:rPr>
          <w:rFonts w:ascii="Times New Roman" w:hAnsi="Times New Roman"/>
        </w:rPr>
        <w:t>include provis</w:t>
      </w:r>
      <w:r>
        <w:rPr>
          <w:rFonts w:ascii="Times New Roman" w:hAnsi="Times New Roman"/>
        </w:rPr>
        <w:t>ions in mutually agreed terms that cover</w:t>
      </w:r>
      <w:r w:rsidRPr="00855ABE">
        <w:rPr>
          <w:rFonts w:ascii="Times New Roman" w:hAnsi="Times New Roman"/>
        </w:rPr>
        <w:t xml:space="preserve"> dispute resolution</w:t>
      </w:r>
      <w:r w:rsidR="003B117A">
        <w:rPr>
          <w:rFonts w:ascii="Times New Roman" w:hAnsi="Times New Roman"/>
        </w:rPr>
        <w:t>, including the jurisdiction to which they will subject any dispute resolution processes, the applicable law and options for alternative dispute resolution, such as mediation or arbitration</w:t>
      </w:r>
      <w:r>
        <w:rPr>
          <w:rStyle w:val="af"/>
          <w:rFonts w:ascii="Times New Roman" w:hAnsi="Times New Roman"/>
        </w:rPr>
        <w:footnoteReference w:id="46"/>
      </w:r>
      <w:r>
        <w:rPr>
          <w:rFonts w:ascii="Times New Roman" w:hAnsi="Times New Roman"/>
        </w:rPr>
        <w:t>.</w:t>
      </w:r>
      <w:r w:rsidRPr="00855ABE">
        <w:rPr>
          <w:rFonts w:ascii="Times New Roman" w:hAnsi="Times New Roman"/>
        </w:rPr>
        <w:t xml:space="preserve"> Model contractual clauses might </w:t>
      </w:r>
      <w:r>
        <w:rPr>
          <w:rFonts w:ascii="Times New Roman" w:hAnsi="Times New Roman"/>
        </w:rPr>
        <w:t xml:space="preserve">thus </w:t>
      </w:r>
      <w:r w:rsidRPr="00855ABE">
        <w:rPr>
          <w:rFonts w:ascii="Times New Roman" w:hAnsi="Times New Roman"/>
        </w:rPr>
        <w:t xml:space="preserve">cover dispute resolution.  </w:t>
      </w:r>
    </w:p>
    <w:p w:rsidR="003B117A" w:rsidRDefault="00215997" w:rsidP="00855ABE">
      <w:pPr>
        <w:pStyle w:val="a3"/>
        <w:numPr>
          <w:ilvl w:val="0"/>
          <w:numId w:val="107"/>
        </w:numPr>
        <w:spacing w:before="120" w:after="120"/>
        <w:jc w:val="both"/>
        <w:rPr>
          <w:rFonts w:ascii="Times New Roman" w:hAnsi="Times New Roman"/>
        </w:rPr>
      </w:pPr>
      <w:r>
        <w:rPr>
          <w:rFonts w:ascii="Times New Roman" w:hAnsi="Times New Roman"/>
        </w:rPr>
        <w:t xml:space="preserve"> </w:t>
      </w:r>
      <w:r w:rsidR="003B117A">
        <w:rPr>
          <w:rFonts w:ascii="Times New Roman" w:hAnsi="Times New Roman"/>
        </w:rPr>
        <w:t>On capacity</w:t>
      </w:r>
      <w:r w:rsidR="00A43B3C">
        <w:rPr>
          <w:rFonts w:ascii="Times New Roman" w:hAnsi="Times New Roman"/>
        </w:rPr>
        <w:t xml:space="preserve"> building</w:t>
      </w:r>
      <w:r w:rsidR="003B117A">
        <w:rPr>
          <w:rFonts w:ascii="Times New Roman" w:hAnsi="Times New Roman"/>
        </w:rPr>
        <w:t>:</w:t>
      </w:r>
    </w:p>
    <w:p w:rsidR="003B117A" w:rsidRDefault="003B117A" w:rsidP="00A86195">
      <w:pPr>
        <w:pStyle w:val="a3"/>
        <w:numPr>
          <w:ilvl w:val="0"/>
          <w:numId w:val="123"/>
        </w:numPr>
        <w:spacing w:before="120" w:after="120"/>
        <w:ind w:left="720"/>
        <w:jc w:val="both"/>
        <w:rPr>
          <w:rFonts w:ascii="Times New Roman" w:hAnsi="Times New Roman"/>
        </w:rPr>
      </w:pPr>
      <w:r>
        <w:rPr>
          <w:rFonts w:ascii="Times New Roman" w:hAnsi="Times New Roman"/>
        </w:rPr>
        <w:t>M</w:t>
      </w:r>
      <w:r w:rsidRPr="00855ABE">
        <w:rPr>
          <w:rFonts w:ascii="Times New Roman" w:hAnsi="Times New Roman"/>
        </w:rPr>
        <w:t xml:space="preserve">odel contractual clauses can have a role in furthering implementation of the Protocol’s capacity building goals, </w:t>
      </w:r>
      <w:r>
        <w:rPr>
          <w:rFonts w:ascii="Times New Roman" w:hAnsi="Times New Roman"/>
        </w:rPr>
        <w:t>namely by enhancing capacity to negotiate mutually agreed terms and by including options that further</w:t>
      </w:r>
      <w:r w:rsidRPr="00855ABE">
        <w:rPr>
          <w:rFonts w:ascii="Times New Roman" w:hAnsi="Times New Roman"/>
        </w:rPr>
        <w:t xml:space="preserve"> the capacity of countries to develop their endogenous research capabilities to add value to their own genetic resources</w:t>
      </w:r>
      <w:r>
        <w:rPr>
          <w:rStyle w:val="af"/>
          <w:rFonts w:ascii="Times New Roman" w:hAnsi="Times New Roman"/>
        </w:rPr>
        <w:footnoteReference w:id="47"/>
      </w:r>
      <w:r w:rsidRPr="00855ABE">
        <w:rPr>
          <w:rFonts w:ascii="Times New Roman" w:hAnsi="Times New Roman"/>
        </w:rPr>
        <w:t>.</w:t>
      </w:r>
    </w:p>
    <w:p w:rsidR="0080559A" w:rsidRDefault="00215997" w:rsidP="00855ABE">
      <w:pPr>
        <w:pStyle w:val="a3"/>
        <w:numPr>
          <w:ilvl w:val="0"/>
          <w:numId w:val="107"/>
        </w:numPr>
        <w:spacing w:before="120" w:after="120"/>
        <w:jc w:val="both"/>
        <w:rPr>
          <w:rFonts w:ascii="Times New Roman" w:hAnsi="Times New Roman"/>
        </w:rPr>
      </w:pPr>
      <w:r>
        <w:rPr>
          <w:rFonts w:ascii="Times New Roman" w:hAnsi="Times New Roman"/>
        </w:rPr>
        <w:t>On t</w:t>
      </w:r>
      <w:r w:rsidR="0080559A">
        <w:rPr>
          <w:rFonts w:ascii="Times New Roman" w:hAnsi="Times New Roman"/>
        </w:rPr>
        <w:t xml:space="preserve">echnology transfer, collaboration </w:t>
      </w:r>
      <w:r w:rsidR="003B117A">
        <w:rPr>
          <w:rFonts w:ascii="Times New Roman" w:hAnsi="Times New Roman"/>
        </w:rPr>
        <w:t xml:space="preserve">and </w:t>
      </w:r>
      <w:r w:rsidR="0080559A">
        <w:rPr>
          <w:rFonts w:ascii="Times New Roman" w:hAnsi="Times New Roman"/>
        </w:rPr>
        <w:t>cooperation:</w:t>
      </w:r>
    </w:p>
    <w:p w:rsidR="0080559A" w:rsidRPr="00A86195" w:rsidRDefault="0080559A" w:rsidP="00763E61">
      <w:pPr>
        <w:pStyle w:val="a3"/>
        <w:numPr>
          <w:ilvl w:val="0"/>
          <w:numId w:val="116"/>
        </w:numPr>
        <w:spacing w:before="120" w:after="120"/>
        <w:jc w:val="both"/>
        <w:rPr>
          <w:rFonts w:ascii="Times New Roman" w:hAnsi="Times New Roman"/>
        </w:rPr>
      </w:pPr>
      <w:r w:rsidRPr="00855ABE">
        <w:rPr>
          <w:rFonts w:ascii="Times New Roman" w:hAnsi="Times New Roman"/>
        </w:rPr>
        <w:t xml:space="preserve">The Protocol provides that </w:t>
      </w:r>
      <w:r>
        <w:rPr>
          <w:rFonts w:ascii="Times New Roman" w:hAnsi="Times New Roman"/>
        </w:rPr>
        <w:t xml:space="preserve">Parties </w:t>
      </w:r>
      <w:r w:rsidR="00215997">
        <w:rPr>
          <w:rFonts w:ascii="Times New Roman" w:hAnsi="Times New Roman"/>
        </w:rPr>
        <w:t>are to</w:t>
      </w:r>
      <w:r w:rsidR="00215997" w:rsidRPr="00855ABE">
        <w:rPr>
          <w:rFonts w:ascii="Times New Roman" w:hAnsi="Times New Roman"/>
        </w:rPr>
        <w:t xml:space="preserve"> </w:t>
      </w:r>
      <w:r w:rsidRPr="00855ABE">
        <w:rPr>
          <w:rFonts w:ascii="Times New Roman" w:hAnsi="Times New Roman"/>
        </w:rPr>
        <w:t>collaborate and cooperate in technical and scientific research and development programs, including biotechnological research activities</w:t>
      </w:r>
      <w:r w:rsidR="0047234C">
        <w:rPr>
          <w:rFonts w:ascii="Times New Roman" w:hAnsi="Times New Roman"/>
        </w:rPr>
        <w:t>, and to promote and encourage access to technology by, and the transfer of technology to, developing country Parties, in particular the least developed countries and small island developing States among them, and Parties with economies in transition, in order to enable the development and strengthening of a sound and viable technological and scientific base for the attainment of the objectives of the Convention and Protocol. Where possible and appropriate such activities are to take place in and with a Party or the Parties providing genetic resources that is the country or that are the countries of origin of such resources or a Party of Parties that have acquired the genetic resources in accordance with the Convention</w:t>
      </w:r>
      <w:r>
        <w:rPr>
          <w:rStyle w:val="af"/>
          <w:rFonts w:ascii="Times New Roman" w:hAnsi="Times New Roman"/>
        </w:rPr>
        <w:footnoteReference w:id="48"/>
      </w:r>
      <w:r w:rsidRPr="00855ABE">
        <w:rPr>
          <w:rFonts w:ascii="Times New Roman" w:hAnsi="Times New Roman"/>
        </w:rPr>
        <w:t xml:space="preserve">. Such goals can potentially be furthered through collaborative arrangements captured </w:t>
      </w:r>
      <w:r>
        <w:rPr>
          <w:rFonts w:ascii="Times New Roman" w:hAnsi="Times New Roman"/>
        </w:rPr>
        <w:t>by</w:t>
      </w:r>
      <w:r w:rsidRPr="00855ABE">
        <w:rPr>
          <w:rFonts w:ascii="Times New Roman" w:hAnsi="Times New Roman"/>
        </w:rPr>
        <w:t xml:space="preserve"> model contractual clauses</w:t>
      </w:r>
      <w:r>
        <w:rPr>
          <w:rFonts w:ascii="Times New Roman" w:hAnsi="Times New Roman"/>
        </w:rPr>
        <w:t xml:space="preserve"> and agreements.</w:t>
      </w:r>
    </w:p>
    <w:p w:rsidR="0080559A" w:rsidRDefault="0080559A" w:rsidP="00855ABE">
      <w:pPr>
        <w:spacing w:before="120" w:after="120"/>
        <w:rPr>
          <w:rFonts w:ascii="Times New Roman" w:hAnsi="Times New Roman"/>
        </w:rPr>
      </w:pPr>
      <w:r w:rsidRPr="006169AF">
        <w:rPr>
          <w:rFonts w:ascii="Times New Roman" w:hAnsi="Times New Roman"/>
          <w:i/>
        </w:rPr>
        <w:t>Overview of Model Contractual Clauses</w:t>
      </w:r>
    </w:p>
    <w:p w:rsidR="0080559A" w:rsidRDefault="0080559A" w:rsidP="00A86195">
      <w:pPr>
        <w:pStyle w:val="a3"/>
        <w:spacing w:before="120" w:after="120"/>
        <w:ind w:left="0"/>
        <w:jc w:val="both"/>
        <w:rPr>
          <w:rFonts w:ascii="Times New Roman" w:hAnsi="Times New Roman"/>
        </w:rPr>
      </w:pPr>
      <w:r>
        <w:rPr>
          <w:rFonts w:ascii="Times New Roman" w:hAnsi="Times New Roman"/>
        </w:rPr>
        <w:t xml:space="preserve">A selection of model agreements are examined in detail in Annex I, each one containing several model contractual clauses. </w:t>
      </w:r>
      <w:r w:rsidRPr="00CE04F9">
        <w:rPr>
          <w:rFonts w:ascii="Times New Roman" w:hAnsi="Times New Roman"/>
        </w:rPr>
        <w:t xml:space="preserve"> </w:t>
      </w:r>
      <w:r>
        <w:rPr>
          <w:rFonts w:ascii="Times New Roman" w:hAnsi="Times New Roman"/>
        </w:rPr>
        <w:t xml:space="preserve">Following from this detailed examination, a number of observations are offered, as follows. </w:t>
      </w:r>
    </w:p>
    <w:p w:rsidR="0080559A" w:rsidRDefault="0080559A" w:rsidP="00133D07">
      <w:pPr>
        <w:shd w:val="clear" w:color="auto" w:fill="FFFFFF"/>
        <w:spacing w:before="120" w:after="120"/>
        <w:jc w:val="both"/>
        <w:rPr>
          <w:rFonts w:ascii="Times New Roman" w:hAnsi="Times New Roman"/>
        </w:rPr>
      </w:pPr>
      <w:r>
        <w:rPr>
          <w:rFonts w:ascii="Times New Roman" w:hAnsi="Times New Roman"/>
        </w:rPr>
        <w:t>Those model agreements currently available include examples from each of the following groups</w:t>
      </w:r>
      <w:r w:rsidR="004647D3">
        <w:rPr>
          <w:rFonts w:ascii="Times New Roman" w:hAnsi="Times New Roman"/>
        </w:rPr>
        <w:t>:</w:t>
      </w:r>
      <w:r>
        <w:rPr>
          <w:rFonts w:ascii="Times New Roman" w:hAnsi="Times New Roman"/>
        </w:rPr>
        <w:t xml:space="preserve"> </w:t>
      </w:r>
    </w:p>
    <w:p w:rsidR="0080559A" w:rsidRPr="00B85F23" w:rsidRDefault="0080559A" w:rsidP="00133D07">
      <w:pPr>
        <w:pStyle w:val="a3"/>
        <w:numPr>
          <w:ilvl w:val="0"/>
          <w:numId w:val="15"/>
        </w:numPr>
        <w:spacing w:before="120" w:after="120"/>
        <w:jc w:val="both"/>
        <w:rPr>
          <w:rFonts w:ascii="Times New Roman" w:hAnsi="Times New Roman"/>
        </w:rPr>
      </w:pPr>
      <w:r>
        <w:rPr>
          <w:rFonts w:ascii="Times New Roman" w:hAnsi="Times New Roman"/>
        </w:rPr>
        <w:t>A</w:t>
      </w:r>
      <w:r w:rsidRPr="005D54B0">
        <w:rPr>
          <w:rFonts w:ascii="Times New Roman" w:hAnsi="Times New Roman"/>
        </w:rPr>
        <w:t xml:space="preserve">uthored by </w:t>
      </w:r>
      <w:r>
        <w:rPr>
          <w:rFonts w:ascii="Times New Roman" w:hAnsi="Times New Roman"/>
        </w:rPr>
        <w:t xml:space="preserve">a public or private sector institution not expected to be a party to the agreement, and taking the form of a broad template designed to be adapted and applied across sectors or in a given context, and applicable across jurisdictions. May be restricted to non-commercial or commercially focused research, or may apply to both. May be accompanied by a code of conduct, </w:t>
      </w:r>
      <w:r w:rsidRPr="00B85F23">
        <w:rPr>
          <w:rFonts w:ascii="Times New Roman" w:hAnsi="Times New Roman"/>
        </w:rPr>
        <w:t>guideline</w:t>
      </w:r>
      <w:r w:rsidR="009153E4">
        <w:rPr>
          <w:rFonts w:ascii="Times New Roman" w:hAnsi="Times New Roman"/>
        </w:rPr>
        <w:t>,</w:t>
      </w:r>
      <w:r w:rsidRPr="00B85F23">
        <w:rPr>
          <w:rFonts w:ascii="Times New Roman" w:hAnsi="Times New Roman"/>
        </w:rPr>
        <w:t xml:space="preserve"> best practice</w:t>
      </w:r>
      <w:r w:rsidR="009153E4">
        <w:rPr>
          <w:rFonts w:ascii="Times New Roman" w:hAnsi="Times New Roman" w:hint="eastAsia"/>
          <w:lang w:eastAsia="ja-JP"/>
        </w:rPr>
        <w:t xml:space="preserve"> or standard</w:t>
      </w:r>
      <w:r w:rsidRPr="00B85F23">
        <w:rPr>
          <w:rStyle w:val="af"/>
          <w:rFonts w:ascii="Times New Roman" w:hAnsi="Times New Roman"/>
        </w:rPr>
        <w:footnoteReference w:id="49"/>
      </w:r>
      <w:r w:rsidRPr="00B85F23">
        <w:rPr>
          <w:rFonts w:ascii="Times New Roman" w:hAnsi="Times New Roman"/>
        </w:rPr>
        <w:t xml:space="preserve">. </w:t>
      </w:r>
    </w:p>
    <w:p w:rsidR="0080559A" w:rsidRPr="00B85F23" w:rsidRDefault="0080559A" w:rsidP="00A86195">
      <w:pPr>
        <w:pStyle w:val="a3"/>
        <w:numPr>
          <w:ilvl w:val="0"/>
          <w:numId w:val="15"/>
        </w:numPr>
        <w:spacing w:before="120" w:after="120"/>
        <w:jc w:val="both"/>
        <w:rPr>
          <w:rFonts w:ascii="Times New Roman" w:hAnsi="Times New Roman"/>
        </w:rPr>
      </w:pPr>
      <w:r w:rsidRPr="00B85F23">
        <w:rPr>
          <w:rFonts w:ascii="Times New Roman" w:hAnsi="Times New Roman"/>
        </w:rPr>
        <w:lastRenderedPageBreak/>
        <w:t>Authored by governments and linked to the fulfillment of legislative or other regulatory requirements</w:t>
      </w:r>
      <w:r w:rsidRPr="00B85F23">
        <w:rPr>
          <w:rStyle w:val="af"/>
          <w:rFonts w:ascii="Times New Roman" w:hAnsi="Times New Roman"/>
        </w:rPr>
        <w:footnoteReference w:id="50"/>
      </w:r>
      <w:r w:rsidRPr="00B85F23">
        <w:rPr>
          <w:rFonts w:ascii="Times New Roman" w:hAnsi="Times New Roman"/>
        </w:rPr>
        <w:t xml:space="preserve">. </w:t>
      </w:r>
    </w:p>
    <w:p w:rsidR="0080559A" w:rsidRPr="004E691D" w:rsidRDefault="0080559A" w:rsidP="00133D07">
      <w:pPr>
        <w:pStyle w:val="a3"/>
        <w:numPr>
          <w:ilvl w:val="0"/>
          <w:numId w:val="15"/>
        </w:numPr>
        <w:spacing w:before="120" w:after="120"/>
        <w:jc w:val="both"/>
        <w:rPr>
          <w:rFonts w:ascii="Times New Roman" w:hAnsi="Times New Roman"/>
        </w:rPr>
      </w:pPr>
      <w:r w:rsidRPr="00B85F23">
        <w:rPr>
          <w:rFonts w:ascii="Times New Roman" w:hAnsi="Times New Roman"/>
        </w:rPr>
        <w:t>Authored by a potenti</w:t>
      </w:r>
      <w:r>
        <w:rPr>
          <w:rFonts w:ascii="Times New Roman" w:hAnsi="Times New Roman"/>
        </w:rPr>
        <w:t>al party to the agreement, such as</w:t>
      </w:r>
      <w:r w:rsidRPr="00B85F23">
        <w:rPr>
          <w:rFonts w:ascii="Times New Roman" w:hAnsi="Times New Roman"/>
        </w:rPr>
        <w:t xml:space="preserve"> a research or collection institution, and focus</w:t>
      </w:r>
      <w:r>
        <w:rPr>
          <w:rFonts w:ascii="Times New Roman" w:hAnsi="Times New Roman"/>
        </w:rPr>
        <w:t>ed</w:t>
      </w:r>
      <w:r w:rsidRPr="00B85F23">
        <w:rPr>
          <w:rFonts w:ascii="Times New Roman" w:hAnsi="Times New Roman"/>
        </w:rPr>
        <w:t xml:space="preserve"> on either commercial or non-commercial research or both. May cover either </w:t>
      </w:r>
      <w:r>
        <w:rPr>
          <w:rFonts w:ascii="Times New Roman" w:hAnsi="Times New Roman"/>
          <w:i/>
        </w:rPr>
        <w:t>ex situ</w:t>
      </w:r>
      <w:r w:rsidRPr="00B85F23">
        <w:rPr>
          <w:rFonts w:ascii="Times New Roman" w:hAnsi="Times New Roman"/>
          <w:i/>
        </w:rPr>
        <w:t xml:space="preserve"> </w:t>
      </w:r>
      <w:r w:rsidRPr="00B85F23">
        <w:rPr>
          <w:rFonts w:ascii="Times New Roman" w:hAnsi="Times New Roman"/>
        </w:rPr>
        <w:t xml:space="preserve">or </w:t>
      </w:r>
      <w:r>
        <w:rPr>
          <w:rFonts w:ascii="Times New Roman" w:hAnsi="Times New Roman"/>
          <w:i/>
        </w:rPr>
        <w:t>in situ</w:t>
      </w:r>
      <w:r w:rsidRPr="00B85F23">
        <w:rPr>
          <w:rFonts w:ascii="Times New Roman" w:hAnsi="Times New Roman"/>
        </w:rPr>
        <w:t xml:space="preserve"> resources, or be applicable to both. May set out the terms of </w:t>
      </w:r>
      <w:proofErr w:type="gramStart"/>
      <w:r w:rsidRPr="00B85F23">
        <w:rPr>
          <w:rFonts w:ascii="Times New Roman" w:hAnsi="Times New Roman"/>
        </w:rPr>
        <w:t>a research</w:t>
      </w:r>
      <w:proofErr w:type="gramEnd"/>
      <w:r w:rsidRPr="00B85F23">
        <w:rPr>
          <w:rFonts w:ascii="Times New Roman" w:hAnsi="Times New Roman"/>
        </w:rPr>
        <w:t xml:space="preserve"> collaboration between the provid</w:t>
      </w:r>
      <w:r w:rsidR="003B117A">
        <w:rPr>
          <w:rFonts w:ascii="Times New Roman" w:hAnsi="Times New Roman"/>
        </w:rPr>
        <w:t>er</w:t>
      </w:r>
      <w:r w:rsidRPr="00B85F23">
        <w:rPr>
          <w:rFonts w:ascii="Times New Roman" w:hAnsi="Times New Roman"/>
        </w:rPr>
        <w:t xml:space="preserve"> and user institution</w:t>
      </w:r>
      <w:r w:rsidRPr="00B85F23">
        <w:rPr>
          <w:rStyle w:val="af"/>
          <w:rFonts w:ascii="Times New Roman" w:hAnsi="Times New Roman"/>
        </w:rPr>
        <w:footnoteReference w:id="51"/>
      </w:r>
      <w:r w:rsidRPr="00B85F23">
        <w:rPr>
          <w:rFonts w:ascii="Times New Roman" w:hAnsi="Times New Roman"/>
        </w:rPr>
        <w:t>.</w:t>
      </w:r>
      <w:r>
        <w:rPr>
          <w:rFonts w:ascii="Times New Roman" w:hAnsi="Times New Roman"/>
        </w:rPr>
        <w:t xml:space="preserve"> </w:t>
      </w:r>
    </w:p>
    <w:p w:rsidR="0080559A" w:rsidRPr="00855ABE" w:rsidRDefault="0080559A" w:rsidP="00A86195">
      <w:pPr>
        <w:pStyle w:val="a3"/>
        <w:numPr>
          <w:ilvl w:val="0"/>
          <w:numId w:val="15"/>
        </w:numPr>
        <w:spacing w:before="120" w:after="120"/>
        <w:jc w:val="both"/>
        <w:rPr>
          <w:rFonts w:ascii="Times New Roman" w:hAnsi="Times New Roman"/>
        </w:rPr>
      </w:pPr>
      <w:r>
        <w:rPr>
          <w:rFonts w:ascii="Times New Roman" w:hAnsi="Times New Roman"/>
        </w:rPr>
        <w:t>Actual</w:t>
      </w:r>
      <w:r w:rsidRPr="005D54B0">
        <w:rPr>
          <w:rFonts w:ascii="Times New Roman" w:hAnsi="Times New Roman"/>
        </w:rPr>
        <w:t xml:space="preserve"> agre</w:t>
      </w:r>
      <w:r>
        <w:rPr>
          <w:rFonts w:ascii="Times New Roman" w:hAnsi="Times New Roman"/>
        </w:rPr>
        <w:t>ements, from a range of sources and applicable to a range of contexts,</w:t>
      </w:r>
      <w:r w:rsidRPr="005D54B0">
        <w:rPr>
          <w:rFonts w:ascii="Times New Roman" w:hAnsi="Times New Roman"/>
        </w:rPr>
        <w:t xml:space="preserve"> that have been made model contracts retrospectively through the removal of the names of one or both parties to the agreement</w:t>
      </w:r>
      <w:r>
        <w:rPr>
          <w:rStyle w:val="af"/>
          <w:rFonts w:ascii="Times New Roman" w:hAnsi="Times New Roman"/>
        </w:rPr>
        <w:footnoteReference w:id="52"/>
      </w:r>
      <w:r>
        <w:rPr>
          <w:rFonts w:ascii="Times New Roman" w:hAnsi="Times New Roman"/>
        </w:rPr>
        <w:t xml:space="preserve">. </w:t>
      </w:r>
    </w:p>
    <w:p w:rsidR="00D355A7" w:rsidRDefault="00D355A7" w:rsidP="002A373A">
      <w:pPr>
        <w:spacing w:before="120" w:after="120"/>
        <w:jc w:val="both"/>
        <w:rPr>
          <w:rFonts w:ascii="Times New Roman" w:hAnsi="Times New Roman"/>
        </w:rPr>
      </w:pPr>
      <w:r>
        <w:rPr>
          <w:rFonts w:ascii="Times New Roman" w:hAnsi="Times New Roman"/>
        </w:rPr>
        <w:t xml:space="preserve">Although </w:t>
      </w:r>
      <w:r w:rsidR="000A4A35">
        <w:rPr>
          <w:rFonts w:ascii="Times New Roman" w:hAnsi="Times New Roman"/>
        </w:rPr>
        <w:t>a key element of the implementation</w:t>
      </w:r>
      <w:r>
        <w:rPr>
          <w:rFonts w:ascii="Times New Roman" w:hAnsi="Times New Roman"/>
        </w:rPr>
        <w:t xml:space="preserve"> of another </w:t>
      </w:r>
      <w:r w:rsidR="00FF323F">
        <w:rPr>
          <w:rFonts w:ascii="Times New Roman" w:hAnsi="Times New Roman"/>
        </w:rPr>
        <w:t>treaty</w:t>
      </w:r>
      <w:r>
        <w:rPr>
          <w:rFonts w:ascii="Times New Roman" w:hAnsi="Times New Roman"/>
        </w:rPr>
        <w:t xml:space="preserve">, </w:t>
      </w:r>
      <w:r w:rsidR="000A4A35">
        <w:rPr>
          <w:rFonts w:ascii="Times New Roman" w:hAnsi="Times New Roman"/>
        </w:rPr>
        <w:t xml:space="preserve">the model provided by </w:t>
      </w:r>
      <w:r>
        <w:rPr>
          <w:rFonts w:ascii="Times New Roman" w:hAnsi="Times New Roman"/>
        </w:rPr>
        <w:t>the</w:t>
      </w:r>
      <w:r w:rsidR="000A4A35">
        <w:rPr>
          <w:rFonts w:ascii="Times New Roman" w:hAnsi="Times New Roman"/>
        </w:rPr>
        <w:t xml:space="preserve"> S</w:t>
      </w:r>
      <w:r>
        <w:rPr>
          <w:rFonts w:ascii="Times New Roman" w:hAnsi="Times New Roman"/>
        </w:rPr>
        <w:t>tandard</w:t>
      </w:r>
      <w:r w:rsidR="000A4A35">
        <w:rPr>
          <w:rFonts w:ascii="Times New Roman" w:hAnsi="Times New Roman"/>
        </w:rPr>
        <w:t xml:space="preserve"> Material Transfer Agreement</w:t>
      </w:r>
      <w:r w:rsidR="003B117A">
        <w:rPr>
          <w:rFonts w:ascii="Times New Roman" w:hAnsi="Times New Roman"/>
        </w:rPr>
        <w:t xml:space="preserve"> (SMTA)</w:t>
      </w:r>
      <w:r w:rsidR="000A4A35">
        <w:rPr>
          <w:rFonts w:ascii="Times New Roman" w:hAnsi="Times New Roman"/>
        </w:rPr>
        <w:t xml:space="preserve"> </w:t>
      </w:r>
      <w:r w:rsidR="00FF323F">
        <w:rPr>
          <w:rFonts w:ascii="Times New Roman" w:hAnsi="Times New Roman"/>
        </w:rPr>
        <w:t>of</w:t>
      </w:r>
      <w:r w:rsidR="00462C6A">
        <w:rPr>
          <w:rFonts w:ascii="Times New Roman" w:hAnsi="Times New Roman"/>
        </w:rPr>
        <w:t xml:space="preserve"> </w:t>
      </w:r>
      <w:r w:rsidR="000A4A35" w:rsidRPr="000A4A35">
        <w:rPr>
          <w:rFonts w:ascii="Times New Roman" w:hAnsi="Times New Roman"/>
        </w:rPr>
        <w:t>the International Treaty on Plant Genetic Res</w:t>
      </w:r>
      <w:r w:rsidR="000A4A35">
        <w:rPr>
          <w:rFonts w:ascii="Times New Roman" w:hAnsi="Times New Roman"/>
        </w:rPr>
        <w:t>ources for Food and Agriculture</w:t>
      </w:r>
      <w:r w:rsidR="005812E5">
        <w:rPr>
          <w:rFonts w:ascii="Times New Roman" w:hAnsi="Times New Roman"/>
        </w:rPr>
        <w:t xml:space="preserve"> (ITPGRFA)</w:t>
      </w:r>
      <w:r w:rsidR="00FF323F">
        <w:rPr>
          <w:rFonts w:ascii="Times New Roman" w:hAnsi="Times New Roman"/>
        </w:rPr>
        <w:t xml:space="preserve"> is also relevant, particularly to the plant breeding sector</w:t>
      </w:r>
      <w:r w:rsidR="000A4A35">
        <w:rPr>
          <w:rFonts w:ascii="Times New Roman" w:hAnsi="Times New Roman"/>
        </w:rPr>
        <w:t>.</w:t>
      </w:r>
      <w:r w:rsidR="00FF323F">
        <w:rPr>
          <w:rStyle w:val="af"/>
          <w:rFonts w:ascii="Times New Roman" w:hAnsi="Times New Roman"/>
        </w:rPr>
        <w:footnoteReference w:id="53"/>
      </w:r>
      <w:r w:rsidR="000A4A35">
        <w:rPr>
          <w:rFonts w:ascii="Times New Roman" w:hAnsi="Times New Roman"/>
        </w:rPr>
        <w:t xml:space="preserve"> </w:t>
      </w:r>
      <w:r>
        <w:rPr>
          <w:rFonts w:ascii="Times New Roman" w:hAnsi="Times New Roman"/>
        </w:rPr>
        <w:t xml:space="preserve"> </w:t>
      </w:r>
      <w:r w:rsidR="005812E5">
        <w:rPr>
          <w:rFonts w:ascii="Times New Roman" w:hAnsi="Times New Roman"/>
        </w:rPr>
        <w:t>The SMTA</w:t>
      </w:r>
      <w:r w:rsidR="004F69C4">
        <w:rPr>
          <w:rFonts w:ascii="Times New Roman" w:hAnsi="Times New Roman"/>
        </w:rPr>
        <w:t xml:space="preserve"> was negotiated by governments and adopted by the Governing Body of the ITPGRFA in order to provide access to and benefit-sharing from the</w:t>
      </w:r>
      <w:r w:rsidR="00D61E3A">
        <w:rPr>
          <w:rFonts w:ascii="Times New Roman" w:hAnsi="Times New Roman"/>
        </w:rPr>
        <w:t xml:space="preserve"> </w:t>
      </w:r>
      <w:r w:rsidR="003B117A">
        <w:rPr>
          <w:rFonts w:ascii="Times New Roman" w:hAnsi="Times New Roman"/>
        </w:rPr>
        <w:t>plant genetic resources for food and agriculture</w:t>
      </w:r>
      <w:r w:rsidR="003B117A" w:rsidRPr="00D61E3A">
        <w:rPr>
          <w:rFonts w:ascii="Times New Roman" w:hAnsi="Times New Roman"/>
        </w:rPr>
        <w:t xml:space="preserve"> </w:t>
      </w:r>
      <w:r w:rsidR="004F69C4">
        <w:rPr>
          <w:rFonts w:ascii="Times New Roman" w:hAnsi="Times New Roman"/>
        </w:rPr>
        <w:t>in</w:t>
      </w:r>
      <w:r w:rsidR="004F69C4" w:rsidRPr="00D61E3A">
        <w:rPr>
          <w:rFonts w:ascii="Times New Roman" w:hAnsi="Times New Roman"/>
        </w:rPr>
        <w:t xml:space="preserve"> </w:t>
      </w:r>
      <w:r w:rsidR="00D61E3A" w:rsidRPr="00D61E3A">
        <w:rPr>
          <w:rFonts w:ascii="Times New Roman" w:hAnsi="Times New Roman"/>
        </w:rPr>
        <w:t xml:space="preserve">the Multilateral System </w:t>
      </w:r>
      <w:r w:rsidR="004F69C4">
        <w:rPr>
          <w:rFonts w:ascii="Times New Roman" w:hAnsi="Times New Roman"/>
        </w:rPr>
        <w:t>established by the Treaty</w:t>
      </w:r>
      <w:r w:rsidR="00D61E3A" w:rsidRPr="00D61E3A">
        <w:rPr>
          <w:rFonts w:ascii="Times New Roman" w:hAnsi="Times New Roman"/>
        </w:rPr>
        <w:t xml:space="preserve">. </w:t>
      </w:r>
      <w:r w:rsidR="004F69C4">
        <w:rPr>
          <w:rFonts w:ascii="Times New Roman" w:hAnsi="Times New Roman"/>
        </w:rPr>
        <w:t>Use of</w:t>
      </w:r>
      <w:r w:rsidR="00D61E3A" w:rsidRPr="00D61E3A">
        <w:rPr>
          <w:rFonts w:ascii="Times New Roman" w:hAnsi="Times New Roman"/>
        </w:rPr>
        <w:t xml:space="preserve"> </w:t>
      </w:r>
      <w:r w:rsidR="004F69C4">
        <w:rPr>
          <w:rFonts w:ascii="Times New Roman" w:hAnsi="Times New Roman"/>
        </w:rPr>
        <w:t>t</w:t>
      </w:r>
      <w:r w:rsidR="005812E5" w:rsidRPr="005812E5">
        <w:rPr>
          <w:rFonts w:ascii="Times New Roman" w:hAnsi="Times New Roman"/>
        </w:rPr>
        <w:t>he SMT</w:t>
      </w:r>
      <w:r w:rsidR="003B117A">
        <w:rPr>
          <w:rFonts w:ascii="Times New Roman" w:hAnsi="Times New Roman"/>
        </w:rPr>
        <w:t>A</w:t>
      </w:r>
      <w:r w:rsidR="005812E5" w:rsidRPr="005812E5">
        <w:rPr>
          <w:rFonts w:ascii="Times New Roman" w:hAnsi="Times New Roman"/>
        </w:rPr>
        <w:t xml:space="preserve"> is mandatory </w:t>
      </w:r>
      <w:r w:rsidR="004F69C4">
        <w:rPr>
          <w:rFonts w:ascii="Times New Roman" w:hAnsi="Times New Roman"/>
        </w:rPr>
        <w:t>for accessing material in the Multilateral System</w:t>
      </w:r>
      <w:r w:rsidR="005812E5">
        <w:rPr>
          <w:rFonts w:ascii="Times New Roman" w:hAnsi="Times New Roman"/>
        </w:rPr>
        <w:t>, and</w:t>
      </w:r>
      <w:r w:rsidR="005812E5" w:rsidRPr="005812E5">
        <w:rPr>
          <w:rFonts w:ascii="Times New Roman" w:hAnsi="Times New Roman"/>
        </w:rPr>
        <w:t xml:space="preserve"> </w:t>
      </w:r>
      <w:r w:rsidR="005812E5">
        <w:rPr>
          <w:rFonts w:ascii="Times New Roman" w:hAnsi="Times New Roman"/>
        </w:rPr>
        <w:t>w</w:t>
      </w:r>
      <w:r w:rsidR="00D61E3A">
        <w:rPr>
          <w:rFonts w:ascii="Times New Roman" w:hAnsi="Times New Roman"/>
        </w:rPr>
        <w:t>hile certain descriptive details are specific to each agreement</w:t>
      </w:r>
      <w:r w:rsidR="004F69C4">
        <w:rPr>
          <w:rFonts w:ascii="Times New Roman" w:hAnsi="Times New Roman"/>
        </w:rPr>
        <w:t xml:space="preserve"> (e.g. the names of the provider and recipient of the material)</w:t>
      </w:r>
      <w:r w:rsidR="00D61E3A">
        <w:rPr>
          <w:rFonts w:ascii="Times New Roman" w:hAnsi="Times New Roman"/>
        </w:rPr>
        <w:t xml:space="preserve">, the </w:t>
      </w:r>
      <w:r w:rsidR="004F69C4">
        <w:rPr>
          <w:rFonts w:ascii="Times New Roman" w:hAnsi="Times New Roman"/>
        </w:rPr>
        <w:t>standard terms of the SMTA otherwise</w:t>
      </w:r>
      <w:r w:rsidR="00D61E3A">
        <w:rPr>
          <w:rFonts w:ascii="Times New Roman" w:hAnsi="Times New Roman"/>
        </w:rPr>
        <w:t xml:space="preserve"> appl</w:t>
      </w:r>
      <w:r w:rsidR="004F69C4">
        <w:rPr>
          <w:rFonts w:ascii="Times New Roman" w:hAnsi="Times New Roman"/>
        </w:rPr>
        <w:t>y</w:t>
      </w:r>
      <w:r w:rsidR="00D61E3A">
        <w:rPr>
          <w:rFonts w:ascii="Times New Roman" w:hAnsi="Times New Roman"/>
        </w:rPr>
        <w:t xml:space="preserve"> without scope for modification.</w:t>
      </w:r>
      <w:r w:rsidR="005812E5">
        <w:rPr>
          <w:rFonts w:ascii="Times New Roman" w:hAnsi="Times New Roman"/>
        </w:rPr>
        <w:t xml:space="preserve"> </w:t>
      </w:r>
      <w:r w:rsidR="006E3E21">
        <w:rPr>
          <w:rFonts w:ascii="Times New Roman" w:hAnsi="Times New Roman"/>
        </w:rPr>
        <w:t xml:space="preserve">Although designed to </w:t>
      </w:r>
      <w:r w:rsidR="00462C6A">
        <w:rPr>
          <w:rFonts w:ascii="Times New Roman" w:hAnsi="Times New Roman"/>
        </w:rPr>
        <w:t>apply in a very specific context,</w:t>
      </w:r>
      <w:r w:rsidR="006E3E21">
        <w:rPr>
          <w:rFonts w:ascii="Times New Roman" w:hAnsi="Times New Roman"/>
        </w:rPr>
        <w:t xml:space="preserve"> the SMTA </w:t>
      </w:r>
      <w:r w:rsidR="00462C6A">
        <w:rPr>
          <w:rFonts w:ascii="Times New Roman" w:hAnsi="Times New Roman"/>
        </w:rPr>
        <w:t>also serves as</w:t>
      </w:r>
      <w:r w:rsidR="006E3E21">
        <w:rPr>
          <w:rFonts w:ascii="Times New Roman" w:hAnsi="Times New Roman"/>
        </w:rPr>
        <w:t xml:space="preserve"> </w:t>
      </w:r>
      <w:r w:rsidR="00462C6A">
        <w:rPr>
          <w:rFonts w:ascii="Times New Roman" w:hAnsi="Times New Roman"/>
        </w:rPr>
        <w:t>an</w:t>
      </w:r>
      <w:r w:rsidR="006E3E21">
        <w:rPr>
          <w:rFonts w:ascii="Times New Roman" w:hAnsi="Times New Roman"/>
        </w:rPr>
        <w:t xml:space="preserve"> informative model, many elements of which could be adapted for the purpose of private agreements for </w:t>
      </w:r>
      <w:r w:rsidR="00FF3828">
        <w:rPr>
          <w:rFonts w:ascii="Times New Roman" w:hAnsi="Times New Roman"/>
        </w:rPr>
        <w:t xml:space="preserve">ABS concerning </w:t>
      </w:r>
      <w:r w:rsidR="006E3E21">
        <w:rPr>
          <w:rFonts w:ascii="Times New Roman" w:hAnsi="Times New Roman"/>
        </w:rPr>
        <w:t>genetic reso</w:t>
      </w:r>
      <w:r w:rsidR="00462C6A">
        <w:rPr>
          <w:rFonts w:ascii="Times New Roman" w:hAnsi="Times New Roman"/>
        </w:rPr>
        <w:t>urces outside the scope of the M</w:t>
      </w:r>
      <w:r w:rsidR="006E3E21">
        <w:rPr>
          <w:rFonts w:ascii="Times New Roman" w:hAnsi="Times New Roman"/>
        </w:rPr>
        <w:t>ulti</w:t>
      </w:r>
      <w:r w:rsidR="00FF3828">
        <w:rPr>
          <w:rFonts w:ascii="Times New Roman" w:hAnsi="Times New Roman"/>
        </w:rPr>
        <w:t>l</w:t>
      </w:r>
      <w:r w:rsidR="00462C6A">
        <w:rPr>
          <w:rFonts w:ascii="Times New Roman" w:hAnsi="Times New Roman"/>
        </w:rPr>
        <w:t>ateral S</w:t>
      </w:r>
      <w:r w:rsidR="00FF3828">
        <w:rPr>
          <w:rFonts w:ascii="Times New Roman" w:hAnsi="Times New Roman"/>
        </w:rPr>
        <w:t>ystem</w:t>
      </w:r>
      <w:r w:rsidR="004F69C4">
        <w:rPr>
          <w:rFonts w:ascii="Times New Roman" w:hAnsi="Times New Roman"/>
        </w:rPr>
        <w:t xml:space="preserve"> (e.g. provisions on third party transfer, applicable law and dispute settlement)</w:t>
      </w:r>
      <w:r w:rsidR="00FF3828">
        <w:rPr>
          <w:rFonts w:ascii="Times New Roman" w:hAnsi="Times New Roman"/>
        </w:rPr>
        <w:t>.</w:t>
      </w:r>
      <w:r w:rsidR="006E3E21">
        <w:rPr>
          <w:rFonts w:ascii="Times New Roman" w:hAnsi="Times New Roman"/>
        </w:rPr>
        <w:t xml:space="preserve"> </w:t>
      </w:r>
    </w:p>
    <w:p w:rsidR="0080559A" w:rsidRDefault="0080559A" w:rsidP="002A373A">
      <w:pPr>
        <w:spacing w:before="120" w:after="120"/>
        <w:jc w:val="both"/>
        <w:rPr>
          <w:rFonts w:ascii="Times New Roman" w:hAnsi="Times New Roman"/>
        </w:rPr>
      </w:pPr>
      <w:r>
        <w:rPr>
          <w:rFonts w:ascii="Times New Roman" w:hAnsi="Times New Roman"/>
        </w:rPr>
        <w:t xml:space="preserve">Depending on the </w:t>
      </w:r>
      <w:r w:rsidRPr="00604151">
        <w:rPr>
          <w:rFonts w:ascii="Times New Roman" w:hAnsi="Times New Roman"/>
        </w:rPr>
        <w:t>model used,</w:t>
      </w:r>
      <w:r>
        <w:rPr>
          <w:rFonts w:ascii="Times New Roman" w:hAnsi="Times New Roman"/>
        </w:rPr>
        <w:t xml:space="preserve"> and as illustrated by the examples set out in Annex I, </w:t>
      </w:r>
      <w:r w:rsidR="00A43B3C">
        <w:rPr>
          <w:rFonts w:ascii="Times New Roman" w:hAnsi="Times New Roman"/>
        </w:rPr>
        <w:t xml:space="preserve">ABS </w:t>
      </w:r>
      <w:r w:rsidRPr="001E4285">
        <w:rPr>
          <w:rFonts w:ascii="Times New Roman" w:hAnsi="Times New Roman"/>
        </w:rPr>
        <w:t>arrangements consistent with the obligations set out under the Convention and Protocol might b</w:t>
      </w:r>
      <w:r>
        <w:rPr>
          <w:rFonts w:ascii="Times New Roman" w:hAnsi="Times New Roman"/>
        </w:rPr>
        <w:t>e created through a single</w:t>
      </w:r>
      <w:r w:rsidRPr="001E4285">
        <w:rPr>
          <w:rFonts w:ascii="Times New Roman" w:hAnsi="Times New Roman"/>
        </w:rPr>
        <w:t xml:space="preserve"> </w:t>
      </w:r>
      <w:r>
        <w:rPr>
          <w:rFonts w:ascii="Times New Roman" w:hAnsi="Times New Roman"/>
        </w:rPr>
        <w:t>agreement</w:t>
      </w:r>
      <w:r w:rsidRPr="001E4285">
        <w:rPr>
          <w:rFonts w:ascii="Times New Roman" w:hAnsi="Times New Roman"/>
        </w:rPr>
        <w:t>, or through an interconnecting series of</w:t>
      </w:r>
      <w:r>
        <w:rPr>
          <w:rFonts w:ascii="Times New Roman" w:hAnsi="Times New Roman"/>
        </w:rPr>
        <w:t xml:space="preserve"> agreements and other</w:t>
      </w:r>
      <w:r w:rsidRPr="001E4285">
        <w:rPr>
          <w:rFonts w:ascii="Times New Roman" w:hAnsi="Times New Roman"/>
        </w:rPr>
        <w:t xml:space="preserve"> instruments</w:t>
      </w:r>
      <w:r>
        <w:rPr>
          <w:rFonts w:ascii="Times New Roman" w:hAnsi="Times New Roman"/>
        </w:rPr>
        <w:t xml:space="preserve"> that together form an </w:t>
      </w:r>
      <w:r w:rsidR="00A43B3C">
        <w:rPr>
          <w:rFonts w:ascii="Times New Roman" w:hAnsi="Times New Roman"/>
        </w:rPr>
        <w:t>ABS</w:t>
      </w:r>
      <w:r>
        <w:rPr>
          <w:rFonts w:ascii="Times New Roman" w:hAnsi="Times New Roman"/>
        </w:rPr>
        <w:t xml:space="preserve"> arrangement</w:t>
      </w:r>
      <w:r>
        <w:rPr>
          <w:rStyle w:val="af"/>
          <w:rFonts w:ascii="Times New Roman" w:hAnsi="Times New Roman"/>
        </w:rPr>
        <w:footnoteReference w:id="54"/>
      </w:r>
      <w:r w:rsidRPr="001E4285">
        <w:rPr>
          <w:rFonts w:ascii="Times New Roman" w:hAnsi="Times New Roman"/>
        </w:rPr>
        <w:t>.</w:t>
      </w:r>
      <w:r w:rsidRPr="002A373A">
        <w:rPr>
          <w:rFonts w:ascii="Times New Roman" w:hAnsi="Times New Roman"/>
        </w:rPr>
        <w:t xml:space="preserve"> </w:t>
      </w:r>
    </w:p>
    <w:p w:rsidR="0080559A" w:rsidRPr="00604151" w:rsidRDefault="0080559A" w:rsidP="00FE0388">
      <w:pPr>
        <w:jc w:val="both"/>
        <w:rPr>
          <w:rFonts w:ascii="Times New Roman" w:hAnsi="Times New Roman"/>
        </w:rPr>
      </w:pPr>
      <w:r>
        <w:rPr>
          <w:rFonts w:ascii="Times New Roman" w:hAnsi="Times New Roman"/>
        </w:rPr>
        <w:t xml:space="preserve">For example, a given </w:t>
      </w:r>
      <w:r w:rsidR="00A43B3C">
        <w:rPr>
          <w:rFonts w:ascii="Times New Roman" w:hAnsi="Times New Roman"/>
        </w:rPr>
        <w:t>ABS</w:t>
      </w:r>
      <w:r>
        <w:rPr>
          <w:rFonts w:ascii="Times New Roman" w:hAnsi="Times New Roman"/>
        </w:rPr>
        <w:t xml:space="preserve"> arrangement might involve a</w:t>
      </w:r>
      <w:r w:rsidR="008E3654" w:rsidRPr="008E3654">
        <w:rPr>
          <w:rFonts w:ascii="Times New Roman" w:hAnsi="Times New Roman"/>
        </w:rPr>
        <w:t xml:space="preserve"> </w:t>
      </w:r>
      <w:r w:rsidR="008E3654">
        <w:rPr>
          <w:rFonts w:ascii="Times New Roman" w:hAnsi="Times New Roman"/>
        </w:rPr>
        <w:t>material transfer agreement or export permit, a research</w:t>
      </w:r>
      <w:r>
        <w:rPr>
          <w:rFonts w:ascii="Times New Roman" w:hAnsi="Times New Roman"/>
        </w:rPr>
        <w:t xml:space="preserve"> permit application</w:t>
      </w:r>
      <w:r w:rsidR="008E3654">
        <w:rPr>
          <w:rFonts w:ascii="Times New Roman" w:hAnsi="Times New Roman"/>
        </w:rPr>
        <w:t xml:space="preserve"> incorporating mutually agreed terms including </w:t>
      </w:r>
      <w:r>
        <w:rPr>
          <w:rFonts w:ascii="Times New Roman" w:hAnsi="Times New Roman"/>
        </w:rPr>
        <w:t xml:space="preserve">benefit-sharing </w:t>
      </w:r>
      <w:r w:rsidR="008E3654">
        <w:rPr>
          <w:rFonts w:ascii="Times New Roman" w:hAnsi="Times New Roman"/>
        </w:rPr>
        <w:t xml:space="preserve">obligations </w:t>
      </w:r>
      <w:r>
        <w:rPr>
          <w:rFonts w:ascii="Times New Roman" w:hAnsi="Times New Roman"/>
        </w:rPr>
        <w:lastRenderedPageBreak/>
        <w:t>(executed simultaneously or triggered through the commercialization of</w:t>
      </w:r>
      <w:r w:rsidR="00623557">
        <w:rPr>
          <w:rFonts w:ascii="Times New Roman" w:hAnsi="Times New Roman"/>
        </w:rPr>
        <w:t xml:space="preserve"> </w:t>
      </w:r>
      <w:r w:rsidR="008E3654">
        <w:rPr>
          <w:rFonts w:ascii="Times New Roman" w:hAnsi="Times New Roman"/>
        </w:rPr>
        <w:t>products</w:t>
      </w:r>
      <w:r>
        <w:rPr>
          <w:rFonts w:ascii="Times New Roman" w:hAnsi="Times New Roman"/>
        </w:rPr>
        <w:t>), and a research collaboration agreement, and may be supported by one or more codes of conduct, guidelines</w:t>
      </w:r>
      <w:r w:rsidR="009153E4">
        <w:rPr>
          <w:rFonts w:ascii="Times New Roman" w:hAnsi="Times New Roman"/>
        </w:rPr>
        <w:t>,</w:t>
      </w:r>
      <w:r>
        <w:rPr>
          <w:rFonts w:ascii="Times New Roman" w:hAnsi="Times New Roman"/>
        </w:rPr>
        <w:t xml:space="preserve"> best practices</w:t>
      </w:r>
      <w:r w:rsidR="009153E4">
        <w:rPr>
          <w:rFonts w:ascii="Times New Roman" w:hAnsi="Times New Roman" w:hint="eastAsia"/>
          <w:lang w:eastAsia="ja-JP"/>
        </w:rPr>
        <w:t xml:space="preserve"> or standards</w:t>
      </w:r>
      <w:r>
        <w:rPr>
          <w:rFonts w:ascii="Times New Roman" w:hAnsi="Times New Roman"/>
        </w:rPr>
        <w:t xml:space="preserve">. If traditional knowledge from indigenous and local communities is sought, evidence of an </w:t>
      </w:r>
      <w:r w:rsidR="00484F20">
        <w:rPr>
          <w:rFonts w:ascii="Times New Roman" w:hAnsi="Times New Roman"/>
        </w:rPr>
        <w:t>ABS</w:t>
      </w:r>
      <w:r>
        <w:rPr>
          <w:rFonts w:ascii="Times New Roman" w:hAnsi="Times New Roman"/>
        </w:rPr>
        <w:t xml:space="preserve"> arrangement with the holders of that knowledge may be required. </w:t>
      </w:r>
      <w:r w:rsidRPr="006F2F8D">
        <w:rPr>
          <w:rFonts w:ascii="Times New Roman" w:hAnsi="Times New Roman"/>
        </w:rPr>
        <w:t xml:space="preserve">Note too, that legal instruments containing elements relevant to the obligations of the Convention and the Nagoya Protocol may have a central purpose that is </w:t>
      </w:r>
      <w:r w:rsidR="003D13C8">
        <w:rPr>
          <w:rFonts w:ascii="Times New Roman" w:hAnsi="Times New Roman"/>
        </w:rPr>
        <w:t xml:space="preserve">broader than but that incorporates </w:t>
      </w:r>
      <w:r w:rsidR="00484F20">
        <w:rPr>
          <w:rFonts w:ascii="Times New Roman" w:hAnsi="Times New Roman"/>
        </w:rPr>
        <w:t>ABS</w:t>
      </w:r>
      <w:r w:rsidR="003D13C8">
        <w:rPr>
          <w:rFonts w:ascii="Times New Roman" w:hAnsi="Times New Roman"/>
        </w:rPr>
        <w:t xml:space="preserve"> obligations, such as for</w:t>
      </w:r>
      <w:r w:rsidRPr="006F2F8D">
        <w:rPr>
          <w:rFonts w:ascii="Times New Roman" w:hAnsi="Times New Roman"/>
        </w:rPr>
        <w:t xml:space="preserve"> example, an agreement that defines a collaborative research process between research institutions</w:t>
      </w:r>
      <w:r w:rsidR="003D13C8">
        <w:rPr>
          <w:rFonts w:ascii="Times New Roman" w:hAnsi="Times New Roman"/>
        </w:rPr>
        <w:t xml:space="preserve">. </w:t>
      </w:r>
    </w:p>
    <w:p w:rsidR="0080559A" w:rsidRDefault="0080559A" w:rsidP="00FE0388">
      <w:pPr>
        <w:jc w:val="both"/>
        <w:rPr>
          <w:rFonts w:ascii="Times New Roman" w:hAnsi="Times New Roman"/>
        </w:rPr>
      </w:pPr>
      <w:r>
        <w:rPr>
          <w:rFonts w:ascii="Times New Roman" w:hAnsi="Times New Roman"/>
        </w:rPr>
        <w:t>Codes of conduct, guidelines</w:t>
      </w:r>
      <w:r w:rsidR="0019659E">
        <w:rPr>
          <w:rFonts w:ascii="Times New Roman" w:hAnsi="Times New Roman"/>
        </w:rPr>
        <w:t>,</w:t>
      </w:r>
      <w:r>
        <w:rPr>
          <w:rFonts w:ascii="Times New Roman" w:hAnsi="Times New Roman"/>
        </w:rPr>
        <w:t xml:space="preserve"> best practices </w:t>
      </w:r>
      <w:r w:rsidR="0019659E">
        <w:rPr>
          <w:rFonts w:ascii="Times New Roman" w:hAnsi="Times New Roman"/>
        </w:rPr>
        <w:t>and</w:t>
      </w:r>
      <w:r w:rsidR="0019659E">
        <w:rPr>
          <w:rFonts w:ascii="Times New Roman" w:hAnsi="Times New Roman" w:hint="eastAsia"/>
          <w:lang w:eastAsia="ja-JP"/>
        </w:rPr>
        <w:t xml:space="preserve"> standards </w:t>
      </w:r>
      <w:r>
        <w:rPr>
          <w:rFonts w:ascii="Times New Roman" w:hAnsi="Times New Roman"/>
        </w:rPr>
        <w:t xml:space="preserve">may support the legal arrangements that underpin </w:t>
      </w:r>
      <w:r w:rsidR="00484F20">
        <w:rPr>
          <w:rFonts w:ascii="Times New Roman" w:hAnsi="Times New Roman"/>
        </w:rPr>
        <w:t>ABS</w:t>
      </w:r>
      <w:r>
        <w:rPr>
          <w:rFonts w:ascii="Times New Roman" w:hAnsi="Times New Roman"/>
        </w:rPr>
        <w:t xml:space="preserve">, and might be relevant to the process of negotiation, the content of agreements, or both. In some cases, such support tools might be directly referred to in </w:t>
      </w:r>
      <w:r w:rsidR="00484F20">
        <w:rPr>
          <w:rFonts w:ascii="Times New Roman" w:hAnsi="Times New Roman"/>
        </w:rPr>
        <w:t>ABS</w:t>
      </w:r>
      <w:r>
        <w:rPr>
          <w:rFonts w:ascii="Times New Roman" w:hAnsi="Times New Roman"/>
        </w:rPr>
        <w:t xml:space="preserve"> agreements, and so become legally relevant to the obligations of </w:t>
      </w:r>
      <w:r w:rsidRPr="00855ABE">
        <w:rPr>
          <w:rFonts w:ascii="Times New Roman" w:hAnsi="Times New Roman"/>
        </w:rPr>
        <w:t>contracting parties</w:t>
      </w:r>
      <w:r>
        <w:rPr>
          <w:rFonts w:ascii="Times New Roman" w:hAnsi="Times New Roman"/>
        </w:rPr>
        <w:t xml:space="preserve"> under that agreement. Compliance with such codes may be encouraged in other ways also, such as through becoming the condition of a research grant</w:t>
      </w:r>
      <w:r>
        <w:rPr>
          <w:rStyle w:val="af"/>
          <w:rFonts w:ascii="Times New Roman" w:hAnsi="Times New Roman"/>
        </w:rPr>
        <w:footnoteReference w:id="55"/>
      </w:r>
      <w:r w:rsidRPr="00BD01B7">
        <w:rPr>
          <w:rFonts w:ascii="Times New Roman" w:hAnsi="Times New Roman"/>
        </w:rPr>
        <w:t>.</w:t>
      </w:r>
    </w:p>
    <w:p w:rsidR="0080559A" w:rsidRDefault="0080559A" w:rsidP="002A373A">
      <w:pPr>
        <w:jc w:val="both"/>
        <w:rPr>
          <w:rFonts w:ascii="Times New Roman" w:hAnsi="Times New Roman"/>
        </w:rPr>
      </w:pPr>
      <w:r>
        <w:rPr>
          <w:rFonts w:ascii="Times New Roman" w:hAnsi="Times New Roman"/>
        </w:rPr>
        <w:t xml:space="preserve">In most cases, the single or constellation of legal instruments evidencing a given </w:t>
      </w:r>
      <w:r w:rsidR="00484F20">
        <w:rPr>
          <w:rFonts w:ascii="Times New Roman" w:hAnsi="Times New Roman"/>
        </w:rPr>
        <w:t>ABS</w:t>
      </w:r>
      <w:r>
        <w:rPr>
          <w:rFonts w:ascii="Times New Roman" w:hAnsi="Times New Roman"/>
        </w:rPr>
        <w:t xml:space="preserve"> arrangement must, as described, fulfill a range of functions based on the requirements of the Convention, the Nagoya Protocol (when it comes into force), any national or sub-national ABS legislation or policy measures, as well as any other applicable national or sub-national legislation, for example, regulations concerning entry into</w:t>
      </w:r>
      <w:r w:rsidR="0019659E">
        <w:rPr>
          <w:rFonts w:ascii="Times New Roman" w:hAnsi="Times New Roman"/>
        </w:rPr>
        <w:t>,</w:t>
      </w:r>
      <w:r>
        <w:rPr>
          <w:rFonts w:ascii="Times New Roman" w:hAnsi="Times New Roman"/>
        </w:rPr>
        <w:t xml:space="preserve"> and the collection and taking of biological samples from protected areas</w:t>
      </w:r>
      <w:r>
        <w:rPr>
          <w:rStyle w:val="af"/>
          <w:rFonts w:ascii="Times New Roman" w:hAnsi="Times New Roman"/>
        </w:rPr>
        <w:footnoteReference w:id="56"/>
      </w:r>
      <w:r w:rsidRPr="00BD01B7">
        <w:rPr>
          <w:rFonts w:ascii="Times New Roman" w:hAnsi="Times New Roman"/>
        </w:rPr>
        <w:t>.</w:t>
      </w:r>
      <w:r>
        <w:rPr>
          <w:rFonts w:ascii="Times New Roman" w:hAnsi="Times New Roman"/>
        </w:rPr>
        <w:t xml:space="preserve">   </w:t>
      </w:r>
    </w:p>
    <w:p w:rsidR="0080559A" w:rsidRDefault="0080559A" w:rsidP="00355598">
      <w:pPr>
        <w:shd w:val="clear" w:color="auto" w:fill="FFFFFF"/>
        <w:spacing w:before="120" w:after="120"/>
        <w:jc w:val="both"/>
        <w:rPr>
          <w:rFonts w:ascii="Times New Roman" w:hAnsi="Times New Roman"/>
        </w:rPr>
      </w:pPr>
      <w:r>
        <w:rPr>
          <w:rFonts w:ascii="Times New Roman" w:hAnsi="Times New Roman"/>
        </w:rPr>
        <w:t>As reflected in the examples provided, note that although the language of the Nagoya Protocol refers to model contractual clauses, in reality most clauses are provided within the context of a complete contract that has been designed to work as an integrated whole. While some of these model contracts offer various optional clauses that represent different ways of approaching a given issue</w:t>
      </w:r>
      <w:r>
        <w:rPr>
          <w:rStyle w:val="af"/>
          <w:rFonts w:ascii="Times New Roman" w:hAnsi="Times New Roman"/>
        </w:rPr>
        <w:footnoteReference w:id="57"/>
      </w:r>
      <w:r>
        <w:rPr>
          <w:rFonts w:ascii="Times New Roman" w:hAnsi="Times New Roman"/>
        </w:rPr>
        <w:t>, many do not</w:t>
      </w:r>
      <w:r>
        <w:rPr>
          <w:rStyle w:val="af"/>
          <w:rFonts w:ascii="Times New Roman" w:hAnsi="Times New Roman"/>
        </w:rPr>
        <w:footnoteReference w:id="58"/>
      </w:r>
      <w:r>
        <w:rPr>
          <w:rFonts w:ascii="Times New Roman" w:hAnsi="Times New Roman"/>
        </w:rPr>
        <w:t>. It is thus important not only to consider model contractual clauses separately and in isolation, but model contractual agreements in their entirety.</w:t>
      </w:r>
    </w:p>
    <w:p w:rsidR="0080559A" w:rsidRDefault="0080559A">
      <w:pPr>
        <w:spacing w:before="120" w:after="120"/>
        <w:jc w:val="both"/>
        <w:rPr>
          <w:rFonts w:ascii="Times New Roman" w:hAnsi="Times New Roman"/>
        </w:rPr>
      </w:pPr>
      <w:r>
        <w:rPr>
          <w:rFonts w:ascii="Times New Roman" w:hAnsi="Times New Roman"/>
        </w:rPr>
        <w:t xml:space="preserve">Of those model contracts examined, few have been revised since the Protocol’s adoption. </w:t>
      </w:r>
      <w:r w:rsidRPr="0047108D">
        <w:rPr>
          <w:rFonts w:ascii="Times New Roman" w:hAnsi="Times New Roman"/>
        </w:rPr>
        <w:t xml:space="preserve"> </w:t>
      </w:r>
      <w:r w:rsidRPr="00B85F23">
        <w:rPr>
          <w:rFonts w:ascii="Times New Roman" w:hAnsi="Times New Roman"/>
        </w:rPr>
        <w:t xml:space="preserve">Nevertheless, elements consistent with the </w:t>
      </w:r>
      <w:r>
        <w:rPr>
          <w:rFonts w:ascii="Times New Roman" w:hAnsi="Times New Roman"/>
        </w:rPr>
        <w:t xml:space="preserve">additional </w:t>
      </w:r>
      <w:r w:rsidRPr="00B85F23">
        <w:rPr>
          <w:rFonts w:ascii="Times New Roman" w:hAnsi="Times New Roman"/>
        </w:rPr>
        <w:t xml:space="preserve">requirements of the Protocol are found in </w:t>
      </w:r>
      <w:r>
        <w:rPr>
          <w:rFonts w:ascii="Times New Roman" w:hAnsi="Times New Roman"/>
        </w:rPr>
        <w:t>certain</w:t>
      </w:r>
      <w:r w:rsidRPr="00B85F23">
        <w:rPr>
          <w:rFonts w:ascii="Times New Roman" w:hAnsi="Times New Roman"/>
        </w:rPr>
        <w:t xml:space="preserve"> model </w:t>
      </w:r>
      <w:r>
        <w:rPr>
          <w:rFonts w:ascii="Times New Roman" w:hAnsi="Times New Roman"/>
        </w:rPr>
        <w:t xml:space="preserve">contracts </w:t>
      </w:r>
      <w:r w:rsidRPr="0047108D">
        <w:rPr>
          <w:rFonts w:ascii="Times New Roman" w:hAnsi="Times New Roman"/>
        </w:rPr>
        <w:t>even though their development pre-dated the Protocol. For example, the Australian simplified procedure for non-commercial research gives effect to Article 8(a), even though it was developed prior to adoption of the Protocol</w:t>
      </w:r>
      <w:r>
        <w:rPr>
          <w:rStyle w:val="af"/>
          <w:rFonts w:ascii="Times New Roman" w:hAnsi="Times New Roman"/>
        </w:rPr>
        <w:footnoteReference w:id="59"/>
      </w:r>
      <w:r w:rsidRPr="00B85F23">
        <w:rPr>
          <w:rFonts w:ascii="Times New Roman" w:hAnsi="Times New Roman"/>
        </w:rPr>
        <w:t>.</w:t>
      </w:r>
      <w:r>
        <w:rPr>
          <w:rFonts w:ascii="Times New Roman" w:hAnsi="Times New Roman"/>
        </w:rPr>
        <w:t xml:space="preserve"> In other cases, revision of existing models in light of the Protocol may be warranted. Note, however, that a number of model contracts were developed as a way of implementing national legislation or regulations. In such cases any revision of a given model contract in light of the Protocol might need to follow from policy and/or legislative reforms that implement the Protocol in that jurisdiction.</w:t>
      </w:r>
    </w:p>
    <w:p w:rsidR="0080559A" w:rsidRPr="00855ABE" w:rsidRDefault="0080559A" w:rsidP="00855ABE">
      <w:pPr>
        <w:jc w:val="both"/>
        <w:rPr>
          <w:rFonts w:ascii="Times New Roman" w:hAnsi="Times New Roman"/>
        </w:rPr>
      </w:pPr>
      <w:r w:rsidRPr="00855ABE">
        <w:rPr>
          <w:rFonts w:ascii="Times New Roman" w:hAnsi="Times New Roman"/>
        </w:rPr>
        <w:lastRenderedPageBreak/>
        <w:t>Overall, model</w:t>
      </w:r>
      <w:r>
        <w:rPr>
          <w:rFonts w:ascii="Times New Roman" w:hAnsi="Times New Roman"/>
        </w:rPr>
        <w:t xml:space="preserve"> agreements</w:t>
      </w:r>
      <w:r w:rsidRPr="00855ABE">
        <w:rPr>
          <w:rFonts w:ascii="Times New Roman" w:hAnsi="Times New Roman"/>
        </w:rPr>
        <w:t xml:space="preserve"> tend to have several broad substantive and structural similarities, reflecting the objectives and provisions of the Convention</w:t>
      </w:r>
      <w:r>
        <w:rPr>
          <w:rFonts w:ascii="Times New Roman" w:hAnsi="Times New Roman"/>
        </w:rPr>
        <w:t xml:space="preserve"> and, in some cases, the</w:t>
      </w:r>
      <w:r w:rsidRPr="00855ABE">
        <w:rPr>
          <w:rFonts w:ascii="Times New Roman" w:hAnsi="Times New Roman"/>
        </w:rPr>
        <w:t xml:space="preserve"> Protocol. The range of issues that </w:t>
      </w:r>
      <w:r>
        <w:rPr>
          <w:rFonts w:ascii="Times New Roman" w:hAnsi="Times New Roman"/>
        </w:rPr>
        <w:t xml:space="preserve">model clauses </w:t>
      </w:r>
      <w:r w:rsidRPr="00855ABE">
        <w:rPr>
          <w:rFonts w:ascii="Times New Roman" w:hAnsi="Times New Roman"/>
        </w:rPr>
        <w:t xml:space="preserve">tend to cover, alongside ways in which they are commonly dealt with, are set out in Table 1 below.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68"/>
        <w:gridCol w:w="6332"/>
      </w:tblGrid>
      <w:tr w:rsidR="0080559A" w:rsidRPr="00B70B09" w:rsidTr="00B70B09">
        <w:trPr>
          <w:cantSplit/>
        </w:trPr>
        <w:tc>
          <w:tcPr>
            <w:tcW w:w="9500" w:type="dxa"/>
            <w:gridSpan w:val="2"/>
          </w:tcPr>
          <w:p w:rsidR="0080559A" w:rsidRPr="00B70B09" w:rsidRDefault="0080559A" w:rsidP="00B70B09">
            <w:pPr>
              <w:spacing w:after="0" w:line="240" w:lineRule="auto"/>
              <w:jc w:val="both"/>
              <w:rPr>
                <w:rFonts w:ascii="Times New Roman" w:hAnsi="Times New Roman"/>
                <w:b/>
                <w:sz w:val="20"/>
                <w:szCs w:val="20"/>
              </w:rPr>
            </w:pPr>
            <w:r w:rsidRPr="00B70B09">
              <w:rPr>
                <w:rFonts w:ascii="Times New Roman" w:hAnsi="Times New Roman"/>
                <w:b/>
                <w:sz w:val="20"/>
                <w:szCs w:val="20"/>
              </w:rPr>
              <w:t>Table 1. Issues Often Considered in Model Agreements</w:t>
            </w:r>
          </w:p>
        </w:tc>
      </w:tr>
      <w:tr w:rsidR="0080559A" w:rsidRPr="00B70B09" w:rsidTr="00B70B09">
        <w:tc>
          <w:tcPr>
            <w:tcW w:w="3168" w:type="dxa"/>
          </w:tcPr>
          <w:p w:rsidR="0080559A" w:rsidRPr="00B70B09" w:rsidRDefault="0080559A" w:rsidP="00B70B09">
            <w:pPr>
              <w:spacing w:after="0" w:line="240" w:lineRule="auto"/>
              <w:jc w:val="both"/>
              <w:rPr>
                <w:rFonts w:ascii="Times New Roman" w:hAnsi="Times New Roman"/>
                <w:b/>
                <w:sz w:val="20"/>
                <w:szCs w:val="20"/>
              </w:rPr>
            </w:pPr>
            <w:r w:rsidRPr="00B70B09">
              <w:rPr>
                <w:rFonts w:ascii="Times New Roman" w:hAnsi="Times New Roman"/>
                <w:b/>
                <w:sz w:val="20"/>
                <w:szCs w:val="20"/>
              </w:rPr>
              <w:t>Issue</w:t>
            </w:r>
          </w:p>
        </w:tc>
        <w:tc>
          <w:tcPr>
            <w:tcW w:w="6332" w:type="dxa"/>
          </w:tcPr>
          <w:p w:rsidR="0080559A" w:rsidRPr="00B70B09" w:rsidRDefault="0080559A" w:rsidP="00B70B09">
            <w:pPr>
              <w:spacing w:after="0" w:line="240" w:lineRule="auto"/>
              <w:jc w:val="both"/>
              <w:rPr>
                <w:rFonts w:ascii="Times New Roman" w:hAnsi="Times New Roman"/>
                <w:b/>
                <w:sz w:val="20"/>
                <w:szCs w:val="20"/>
              </w:rPr>
            </w:pPr>
            <w:r w:rsidRPr="00B70B09">
              <w:rPr>
                <w:rFonts w:ascii="Times New Roman" w:hAnsi="Times New Roman"/>
                <w:b/>
                <w:sz w:val="20"/>
                <w:szCs w:val="20"/>
              </w:rPr>
              <w:t>Description</w:t>
            </w:r>
          </w:p>
        </w:tc>
      </w:tr>
      <w:tr w:rsidR="0080559A" w:rsidRPr="00B70B09" w:rsidTr="00B70B09">
        <w:tc>
          <w:tcPr>
            <w:tcW w:w="3168" w:type="dxa"/>
          </w:tcPr>
          <w:p w:rsidR="0080559A" w:rsidRPr="00B70B09" w:rsidRDefault="0080559A" w:rsidP="00B70B09">
            <w:pPr>
              <w:pStyle w:val="a3"/>
              <w:spacing w:after="0" w:line="240" w:lineRule="auto"/>
              <w:ind w:left="0"/>
              <w:rPr>
                <w:rFonts w:ascii="Times New Roman" w:hAnsi="Times New Roman"/>
                <w:sz w:val="20"/>
                <w:szCs w:val="20"/>
              </w:rPr>
            </w:pPr>
            <w:r w:rsidRPr="00B70B09">
              <w:rPr>
                <w:rFonts w:ascii="Times New Roman" w:hAnsi="Times New Roman"/>
                <w:sz w:val="20"/>
                <w:szCs w:val="20"/>
              </w:rPr>
              <w:t>Identification of parties</w:t>
            </w:r>
          </w:p>
          <w:p w:rsidR="0080559A" w:rsidRPr="00B70B09" w:rsidRDefault="0080559A" w:rsidP="00B70B09">
            <w:pPr>
              <w:spacing w:after="0" w:line="240" w:lineRule="auto"/>
              <w:rPr>
                <w:rFonts w:ascii="Times New Roman" w:hAnsi="Times New Roman"/>
                <w:sz w:val="20"/>
                <w:szCs w:val="20"/>
              </w:rPr>
            </w:pPr>
          </w:p>
        </w:tc>
        <w:tc>
          <w:tcPr>
            <w:tcW w:w="6332" w:type="dxa"/>
          </w:tcPr>
          <w:p w:rsidR="0080559A" w:rsidRPr="00B70B09" w:rsidRDefault="0080559A" w:rsidP="00B70B09">
            <w:pPr>
              <w:pStyle w:val="a3"/>
              <w:spacing w:after="0" w:line="240" w:lineRule="auto"/>
              <w:ind w:left="0"/>
              <w:rPr>
                <w:rFonts w:ascii="Times New Roman" w:hAnsi="Times New Roman"/>
                <w:sz w:val="20"/>
                <w:szCs w:val="20"/>
              </w:rPr>
            </w:pPr>
            <w:r w:rsidRPr="00B70B09">
              <w:rPr>
                <w:rFonts w:ascii="Times New Roman" w:hAnsi="Times New Roman"/>
                <w:sz w:val="20"/>
                <w:szCs w:val="20"/>
              </w:rPr>
              <w:t xml:space="preserve">Generally the provider and user. There may be scope for additional parties to the agreement, such as traditional knowledge holders. Alternately, a separate agreement may be required. </w:t>
            </w:r>
          </w:p>
        </w:tc>
      </w:tr>
      <w:tr w:rsidR="0080559A" w:rsidRPr="00B70B09" w:rsidTr="00B70B09">
        <w:tc>
          <w:tcPr>
            <w:tcW w:w="3168" w:type="dxa"/>
          </w:tcPr>
          <w:p w:rsidR="0080559A" w:rsidRPr="00B70B09" w:rsidRDefault="0080559A" w:rsidP="00B70B09">
            <w:pPr>
              <w:pStyle w:val="a3"/>
              <w:spacing w:after="0" w:line="240" w:lineRule="auto"/>
              <w:ind w:left="0"/>
              <w:rPr>
                <w:rFonts w:ascii="Times New Roman" w:hAnsi="Times New Roman"/>
                <w:sz w:val="20"/>
                <w:szCs w:val="20"/>
              </w:rPr>
            </w:pPr>
            <w:r w:rsidRPr="00B70B09">
              <w:rPr>
                <w:rFonts w:ascii="Times New Roman" w:hAnsi="Times New Roman"/>
                <w:sz w:val="20"/>
                <w:szCs w:val="20"/>
              </w:rPr>
              <w:t>Duration of agreement</w:t>
            </w:r>
          </w:p>
          <w:p w:rsidR="0080559A" w:rsidRPr="00B70B09" w:rsidRDefault="0080559A" w:rsidP="00B70B09">
            <w:pPr>
              <w:spacing w:after="0" w:line="240" w:lineRule="auto"/>
              <w:rPr>
                <w:rFonts w:ascii="Times New Roman" w:hAnsi="Times New Roman"/>
                <w:sz w:val="20"/>
                <w:szCs w:val="20"/>
              </w:rPr>
            </w:pPr>
          </w:p>
        </w:tc>
        <w:tc>
          <w:tcPr>
            <w:tcW w:w="6332" w:type="dxa"/>
          </w:tcPr>
          <w:p w:rsidR="0080559A" w:rsidRPr="00B70B09" w:rsidRDefault="0080559A" w:rsidP="00B70B09">
            <w:pPr>
              <w:pStyle w:val="a3"/>
              <w:spacing w:after="0" w:line="240" w:lineRule="auto"/>
              <w:ind w:left="0"/>
              <w:rPr>
                <w:rFonts w:ascii="Times New Roman" w:hAnsi="Times New Roman"/>
                <w:sz w:val="20"/>
                <w:szCs w:val="20"/>
              </w:rPr>
            </w:pPr>
            <w:r w:rsidRPr="00B70B09">
              <w:rPr>
                <w:rFonts w:ascii="Times New Roman" w:hAnsi="Times New Roman"/>
                <w:sz w:val="20"/>
                <w:szCs w:val="20"/>
              </w:rPr>
              <w:t>Will vary according to the specific circumstances of the research. Model agreements may provide for a given duration but allow the agreement to be renewed, or allow for the duration of the agree</w:t>
            </w:r>
            <w:r w:rsidR="00861CBE">
              <w:rPr>
                <w:rFonts w:ascii="Times New Roman" w:hAnsi="Times New Roman"/>
                <w:sz w:val="20"/>
                <w:szCs w:val="20"/>
              </w:rPr>
              <w:t>ment to be determined on a case-by-</w:t>
            </w:r>
            <w:r w:rsidRPr="00B70B09">
              <w:rPr>
                <w:rFonts w:ascii="Times New Roman" w:hAnsi="Times New Roman"/>
                <w:sz w:val="20"/>
                <w:szCs w:val="20"/>
              </w:rPr>
              <w:t xml:space="preserve">case basis. </w:t>
            </w:r>
          </w:p>
        </w:tc>
      </w:tr>
      <w:tr w:rsidR="0080559A" w:rsidRPr="00B70B09" w:rsidTr="00B70B09">
        <w:trPr>
          <w:cantSplit/>
        </w:trPr>
        <w:tc>
          <w:tcPr>
            <w:tcW w:w="3168" w:type="dxa"/>
          </w:tcPr>
          <w:p w:rsidR="0080559A" w:rsidRPr="00B70B09" w:rsidRDefault="0080559A" w:rsidP="00B70B09">
            <w:pPr>
              <w:pStyle w:val="a3"/>
              <w:spacing w:after="0" w:line="240" w:lineRule="auto"/>
              <w:ind w:left="0"/>
              <w:rPr>
                <w:sz w:val="20"/>
                <w:szCs w:val="20"/>
              </w:rPr>
            </w:pPr>
            <w:r w:rsidRPr="00B70B09">
              <w:rPr>
                <w:rFonts w:ascii="Times New Roman" w:hAnsi="Times New Roman"/>
                <w:sz w:val="20"/>
                <w:szCs w:val="20"/>
              </w:rPr>
              <w:t>Definition of terms</w:t>
            </w:r>
          </w:p>
        </w:tc>
        <w:tc>
          <w:tcPr>
            <w:tcW w:w="6332" w:type="dxa"/>
          </w:tcPr>
          <w:p w:rsidR="0080559A" w:rsidRPr="00B70B09" w:rsidRDefault="0080559A" w:rsidP="00B70B09">
            <w:pPr>
              <w:spacing w:after="0" w:line="240" w:lineRule="auto"/>
              <w:rPr>
                <w:rFonts w:ascii="Times New Roman" w:hAnsi="Times New Roman"/>
                <w:sz w:val="20"/>
                <w:szCs w:val="20"/>
              </w:rPr>
            </w:pPr>
            <w:r w:rsidRPr="00B70B09">
              <w:rPr>
                <w:rFonts w:ascii="Times New Roman" w:hAnsi="Times New Roman"/>
                <w:sz w:val="20"/>
                <w:szCs w:val="20"/>
              </w:rPr>
              <w:t>Defines how terms are to be used in the specific context of the agreement.</w:t>
            </w:r>
          </w:p>
        </w:tc>
      </w:tr>
      <w:tr w:rsidR="0080559A" w:rsidRPr="00B70B09" w:rsidTr="00B70B09">
        <w:trPr>
          <w:cantSplit/>
        </w:trPr>
        <w:tc>
          <w:tcPr>
            <w:tcW w:w="3168" w:type="dxa"/>
          </w:tcPr>
          <w:p w:rsidR="0080559A" w:rsidRPr="00B70B09" w:rsidRDefault="0080559A" w:rsidP="00B70B09">
            <w:pPr>
              <w:pStyle w:val="a3"/>
              <w:spacing w:after="0" w:line="240" w:lineRule="auto"/>
              <w:ind w:left="0"/>
              <w:rPr>
                <w:rFonts w:ascii="Times New Roman" w:hAnsi="Times New Roman"/>
                <w:sz w:val="20"/>
                <w:szCs w:val="20"/>
              </w:rPr>
            </w:pPr>
            <w:r w:rsidRPr="00B70B09">
              <w:rPr>
                <w:rFonts w:ascii="Times New Roman" w:hAnsi="Times New Roman"/>
                <w:sz w:val="20"/>
                <w:szCs w:val="20"/>
              </w:rPr>
              <w:t>Statements as to scope of agreement</w:t>
            </w:r>
          </w:p>
          <w:p w:rsidR="0080559A" w:rsidRPr="00B70B09" w:rsidRDefault="0080559A" w:rsidP="00B70B09">
            <w:pPr>
              <w:spacing w:after="0" w:line="240" w:lineRule="auto"/>
              <w:rPr>
                <w:rFonts w:ascii="Times New Roman" w:hAnsi="Times New Roman"/>
                <w:sz w:val="20"/>
                <w:szCs w:val="20"/>
              </w:rPr>
            </w:pPr>
          </w:p>
        </w:tc>
        <w:tc>
          <w:tcPr>
            <w:tcW w:w="6332" w:type="dxa"/>
          </w:tcPr>
          <w:p w:rsidR="0080559A" w:rsidRPr="00B70B09" w:rsidRDefault="0080559A" w:rsidP="00B70B09">
            <w:pPr>
              <w:pStyle w:val="a3"/>
              <w:spacing w:after="0" w:line="240" w:lineRule="auto"/>
              <w:ind w:left="0"/>
              <w:rPr>
                <w:rFonts w:ascii="Times New Roman" w:hAnsi="Times New Roman"/>
                <w:sz w:val="20"/>
                <w:szCs w:val="20"/>
              </w:rPr>
            </w:pPr>
            <w:r w:rsidRPr="00B70B09">
              <w:rPr>
                <w:rFonts w:ascii="Times New Roman" w:hAnsi="Times New Roman"/>
                <w:sz w:val="20"/>
                <w:szCs w:val="20"/>
              </w:rPr>
              <w:t xml:space="preserve">Going to issues such as whether the agreement covers biological resources or genetic resources more specifically, whether certain types of resources are excluded, and whether derivatives are covered by the agreement. </w:t>
            </w:r>
          </w:p>
        </w:tc>
      </w:tr>
      <w:tr w:rsidR="0080559A" w:rsidRPr="00B70B09" w:rsidTr="00B70B09">
        <w:tc>
          <w:tcPr>
            <w:tcW w:w="3168" w:type="dxa"/>
            <w:shd w:val="clear" w:color="auto" w:fill="FFFFFF"/>
          </w:tcPr>
          <w:p w:rsidR="0080559A" w:rsidRPr="00B70B09" w:rsidRDefault="0080559A" w:rsidP="00B70B09">
            <w:pPr>
              <w:pStyle w:val="a3"/>
              <w:spacing w:after="0" w:line="240" w:lineRule="auto"/>
              <w:ind w:left="0"/>
              <w:rPr>
                <w:rFonts w:ascii="Times New Roman" w:hAnsi="Times New Roman"/>
                <w:sz w:val="20"/>
                <w:szCs w:val="20"/>
              </w:rPr>
            </w:pPr>
            <w:r w:rsidRPr="00B70B09">
              <w:rPr>
                <w:rFonts w:ascii="Times New Roman" w:hAnsi="Times New Roman"/>
                <w:sz w:val="20"/>
                <w:szCs w:val="20"/>
              </w:rPr>
              <w:t xml:space="preserve">Statements as to commercial or non-commercial intent </w:t>
            </w:r>
          </w:p>
        </w:tc>
        <w:tc>
          <w:tcPr>
            <w:tcW w:w="6332" w:type="dxa"/>
            <w:shd w:val="clear" w:color="auto" w:fill="FFFFFF"/>
          </w:tcPr>
          <w:p w:rsidR="0080559A" w:rsidRPr="00B70B09" w:rsidRDefault="0080559A" w:rsidP="00B70B09">
            <w:pPr>
              <w:pStyle w:val="a3"/>
              <w:spacing w:after="0" w:line="240" w:lineRule="auto"/>
              <w:ind w:left="0"/>
              <w:rPr>
                <w:rFonts w:ascii="Times New Roman" w:hAnsi="Times New Roman"/>
                <w:sz w:val="20"/>
                <w:szCs w:val="20"/>
              </w:rPr>
            </w:pPr>
            <w:r w:rsidRPr="00B70B09">
              <w:rPr>
                <w:rFonts w:ascii="Times New Roman" w:hAnsi="Times New Roman"/>
                <w:sz w:val="20"/>
                <w:szCs w:val="20"/>
              </w:rPr>
              <w:t>Defines whether the agreement covers commercial or non-commercial research, and detailing requirements in the case of a change of intent. For example, a new agreement might need to be concluded if the research becomes commercially oriented at a given point.</w:t>
            </w:r>
          </w:p>
        </w:tc>
      </w:tr>
      <w:tr w:rsidR="0080559A" w:rsidRPr="00B70B09" w:rsidTr="00B70B09">
        <w:trPr>
          <w:trHeight w:val="1075"/>
        </w:trPr>
        <w:tc>
          <w:tcPr>
            <w:tcW w:w="3168" w:type="dxa"/>
          </w:tcPr>
          <w:p w:rsidR="0080559A" w:rsidRPr="00B70B09" w:rsidRDefault="0080559A" w:rsidP="00B70B09">
            <w:pPr>
              <w:pStyle w:val="a3"/>
              <w:spacing w:after="0" w:line="240" w:lineRule="auto"/>
              <w:ind w:left="0"/>
              <w:rPr>
                <w:sz w:val="20"/>
                <w:szCs w:val="20"/>
              </w:rPr>
            </w:pPr>
            <w:r w:rsidRPr="00B70B09">
              <w:rPr>
                <w:rFonts w:ascii="Times New Roman" w:hAnsi="Times New Roman"/>
                <w:sz w:val="20"/>
                <w:szCs w:val="20"/>
              </w:rPr>
              <w:t>Statement as to the exact material to which the agreement applies, and the intended process of analysis</w:t>
            </w:r>
          </w:p>
        </w:tc>
        <w:tc>
          <w:tcPr>
            <w:tcW w:w="6332" w:type="dxa"/>
          </w:tcPr>
          <w:p w:rsidR="0080559A" w:rsidRPr="00B70B09" w:rsidRDefault="0080559A" w:rsidP="00B70B09">
            <w:pPr>
              <w:pStyle w:val="a3"/>
              <w:spacing w:after="0" w:line="240" w:lineRule="auto"/>
              <w:ind w:left="0"/>
              <w:rPr>
                <w:rFonts w:ascii="Times New Roman" w:hAnsi="Times New Roman"/>
                <w:sz w:val="20"/>
                <w:szCs w:val="20"/>
              </w:rPr>
            </w:pPr>
            <w:r w:rsidRPr="00B70B09">
              <w:rPr>
                <w:rFonts w:ascii="Times New Roman" w:hAnsi="Times New Roman"/>
                <w:sz w:val="20"/>
                <w:szCs w:val="20"/>
              </w:rPr>
              <w:t xml:space="preserve">Generally, parties to list, for example, the genus or species and the quantity of the material that may be collected. Often to be listed in a schedule to the agreement. The process via which the samples are to be analyzed may also need to be described. </w:t>
            </w:r>
          </w:p>
        </w:tc>
      </w:tr>
      <w:tr w:rsidR="0080559A" w:rsidRPr="00B70B09" w:rsidTr="00B70B09">
        <w:tc>
          <w:tcPr>
            <w:tcW w:w="3168" w:type="dxa"/>
          </w:tcPr>
          <w:p w:rsidR="0080559A" w:rsidRPr="00B70B09" w:rsidRDefault="0080559A" w:rsidP="00B70B09">
            <w:pPr>
              <w:pStyle w:val="a3"/>
              <w:spacing w:after="0" w:line="240" w:lineRule="auto"/>
              <w:ind w:left="0"/>
              <w:rPr>
                <w:rFonts w:ascii="Times New Roman" w:hAnsi="Times New Roman"/>
                <w:sz w:val="20"/>
                <w:szCs w:val="20"/>
              </w:rPr>
            </w:pPr>
            <w:r w:rsidRPr="00B70B09">
              <w:rPr>
                <w:rFonts w:ascii="Times New Roman" w:hAnsi="Times New Roman"/>
                <w:sz w:val="20"/>
                <w:szCs w:val="20"/>
              </w:rPr>
              <w:t>Status of unused material</w:t>
            </w:r>
          </w:p>
          <w:p w:rsidR="0080559A" w:rsidRPr="00B70B09" w:rsidRDefault="0080559A" w:rsidP="00B70B09">
            <w:pPr>
              <w:spacing w:after="0" w:line="240" w:lineRule="auto"/>
              <w:rPr>
                <w:rFonts w:ascii="Times New Roman" w:hAnsi="Times New Roman"/>
                <w:sz w:val="20"/>
                <w:szCs w:val="20"/>
              </w:rPr>
            </w:pPr>
          </w:p>
        </w:tc>
        <w:tc>
          <w:tcPr>
            <w:tcW w:w="6332" w:type="dxa"/>
          </w:tcPr>
          <w:p w:rsidR="0080559A" w:rsidRPr="00B70B09" w:rsidRDefault="0080559A" w:rsidP="00B70B09">
            <w:pPr>
              <w:pStyle w:val="a3"/>
              <w:spacing w:after="0" w:line="240" w:lineRule="auto"/>
              <w:ind w:left="0"/>
              <w:rPr>
                <w:rFonts w:ascii="Times New Roman" w:hAnsi="Times New Roman"/>
                <w:sz w:val="20"/>
                <w:szCs w:val="20"/>
              </w:rPr>
            </w:pPr>
            <w:r w:rsidRPr="00B70B09">
              <w:rPr>
                <w:rFonts w:ascii="Times New Roman" w:hAnsi="Times New Roman"/>
                <w:sz w:val="20"/>
                <w:szCs w:val="20"/>
              </w:rPr>
              <w:t xml:space="preserve">Determines how material that is unused at the conclusion of the agreement is to be handled, for example, whether it should be destroyed or returned to the providing party. </w:t>
            </w:r>
          </w:p>
        </w:tc>
      </w:tr>
      <w:tr w:rsidR="0080559A" w:rsidRPr="00B70B09" w:rsidTr="00B70B09">
        <w:tc>
          <w:tcPr>
            <w:tcW w:w="3168" w:type="dxa"/>
          </w:tcPr>
          <w:p w:rsidR="0080559A" w:rsidRPr="00B70B09" w:rsidRDefault="0080559A" w:rsidP="00B70B09">
            <w:pPr>
              <w:pStyle w:val="a3"/>
              <w:spacing w:after="0" w:line="240" w:lineRule="auto"/>
              <w:ind w:left="0"/>
              <w:rPr>
                <w:rFonts w:ascii="Times New Roman" w:hAnsi="Times New Roman"/>
                <w:sz w:val="20"/>
                <w:szCs w:val="20"/>
              </w:rPr>
            </w:pPr>
            <w:r w:rsidRPr="00B70B09">
              <w:rPr>
                <w:rFonts w:ascii="Times New Roman" w:hAnsi="Times New Roman"/>
                <w:sz w:val="20"/>
                <w:szCs w:val="20"/>
              </w:rPr>
              <w:t>Requirements upon transfer of material or research</w:t>
            </w:r>
            <w:r w:rsidR="00D32E2B">
              <w:rPr>
                <w:rFonts w:ascii="Times New Roman" w:hAnsi="Times New Roman"/>
                <w:sz w:val="20"/>
                <w:szCs w:val="20"/>
              </w:rPr>
              <w:t xml:space="preserve"> information</w:t>
            </w:r>
            <w:r w:rsidRPr="00B70B09">
              <w:rPr>
                <w:rFonts w:ascii="Times New Roman" w:hAnsi="Times New Roman"/>
                <w:sz w:val="20"/>
                <w:szCs w:val="20"/>
              </w:rPr>
              <w:t xml:space="preserve"> to third parties </w:t>
            </w:r>
          </w:p>
          <w:p w:rsidR="0080559A" w:rsidRPr="00B70B09" w:rsidRDefault="0080559A" w:rsidP="00B70B09">
            <w:pPr>
              <w:spacing w:after="0" w:line="240" w:lineRule="auto"/>
              <w:rPr>
                <w:rFonts w:ascii="Times New Roman" w:hAnsi="Times New Roman"/>
                <w:sz w:val="20"/>
                <w:szCs w:val="20"/>
              </w:rPr>
            </w:pPr>
          </w:p>
        </w:tc>
        <w:tc>
          <w:tcPr>
            <w:tcW w:w="6332" w:type="dxa"/>
          </w:tcPr>
          <w:p w:rsidR="0080559A" w:rsidRPr="00B70B09" w:rsidRDefault="0080559A" w:rsidP="00B70B09">
            <w:pPr>
              <w:pStyle w:val="a3"/>
              <w:spacing w:after="0" w:line="240" w:lineRule="auto"/>
              <w:ind w:left="0"/>
              <w:rPr>
                <w:rFonts w:ascii="Times New Roman" w:hAnsi="Times New Roman"/>
                <w:sz w:val="20"/>
                <w:szCs w:val="20"/>
              </w:rPr>
            </w:pPr>
            <w:r w:rsidRPr="00B70B09">
              <w:rPr>
                <w:rFonts w:ascii="Times New Roman" w:hAnsi="Times New Roman"/>
                <w:sz w:val="20"/>
                <w:szCs w:val="20"/>
              </w:rPr>
              <w:t xml:space="preserve">Concerning whether material or information resulting from the research can be provided to a third party and under what conditions. Conditions might include, for example, conclusion of an additional agreement between the provider and the third party, the requirement that the third party be bound by the terms of the agreement between the user or provider, or a prohibition of transfer of material to a third party. </w:t>
            </w:r>
          </w:p>
        </w:tc>
      </w:tr>
      <w:tr w:rsidR="0080559A" w:rsidRPr="00B70B09" w:rsidTr="00B70B09">
        <w:tc>
          <w:tcPr>
            <w:tcW w:w="3168" w:type="dxa"/>
          </w:tcPr>
          <w:p w:rsidR="0080559A" w:rsidRPr="00B70B09" w:rsidRDefault="0080559A" w:rsidP="00B70B09">
            <w:pPr>
              <w:pStyle w:val="a3"/>
              <w:spacing w:after="0" w:line="240" w:lineRule="auto"/>
              <w:ind w:left="0"/>
              <w:rPr>
                <w:rFonts w:ascii="Times New Roman" w:hAnsi="Times New Roman"/>
                <w:sz w:val="20"/>
                <w:szCs w:val="20"/>
              </w:rPr>
            </w:pPr>
            <w:r w:rsidRPr="00B70B09">
              <w:rPr>
                <w:rFonts w:ascii="Times New Roman" w:hAnsi="Times New Roman"/>
                <w:sz w:val="20"/>
                <w:szCs w:val="20"/>
              </w:rPr>
              <w:t>Statement as to any ancillary related instruments to comply with or requirements that must be met</w:t>
            </w:r>
          </w:p>
        </w:tc>
        <w:tc>
          <w:tcPr>
            <w:tcW w:w="6332" w:type="dxa"/>
          </w:tcPr>
          <w:p w:rsidR="0080559A" w:rsidRPr="00B70B09" w:rsidRDefault="0080559A" w:rsidP="00B70B09">
            <w:pPr>
              <w:pStyle w:val="a3"/>
              <w:spacing w:after="0" w:line="240" w:lineRule="auto"/>
              <w:ind w:left="0"/>
              <w:rPr>
                <w:rFonts w:ascii="Times New Roman" w:hAnsi="Times New Roman"/>
                <w:sz w:val="20"/>
                <w:szCs w:val="20"/>
              </w:rPr>
            </w:pPr>
            <w:r w:rsidRPr="00B70B09">
              <w:rPr>
                <w:rFonts w:ascii="Times New Roman" w:hAnsi="Times New Roman"/>
                <w:sz w:val="20"/>
                <w:szCs w:val="20"/>
              </w:rPr>
              <w:t xml:space="preserve">For example, permits that must be sought, codes of conduct or standards that must be respected. </w:t>
            </w:r>
          </w:p>
        </w:tc>
      </w:tr>
      <w:tr w:rsidR="0080559A" w:rsidRPr="00B70B09" w:rsidTr="00B70B09">
        <w:tc>
          <w:tcPr>
            <w:tcW w:w="3168" w:type="dxa"/>
          </w:tcPr>
          <w:p w:rsidR="0080559A" w:rsidRPr="00B70B09" w:rsidRDefault="0080559A" w:rsidP="00B70B09">
            <w:pPr>
              <w:pStyle w:val="a3"/>
              <w:spacing w:after="0" w:line="240" w:lineRule="auto"/>
              <w:ind w:left="0"/>
              <w:rPr>
                <w:sz w:val="20"/>
                <w:szCs w:val="20"/>
              </w:rPr>
            </w:pPr>
            <w:r w:rsidRPr="00B70B09">
              <w:rPr>
                <w:rFonts w:ascii="Times New Roman" w:hAnsi="Times New Roman"/>
                <w:sz w:val="20"/>
                <w:szCs w:val="20"/>
              </w:rPr>
              <w:t>Evidence of the prior informed consent of the providing party</w:t>
            </w:r>
          </w:p>
        </w:tc>
        <w:tc>
          <w:tcPr>
            <w:tcW w:w="6332" w:type="dxa"/>
          </w:tcPr>
          <w:p w:rsidR="0080559A" w:rsidRPr="00B70B09" w:rsidRDefault="0080559A" w:rsidP="00484F20">
            <w:pPr>
              <w:pStyle w:val="a3"/>
              <w:spacing w:after="0" w:line="240" w:lineRule="auto"/>
              <w:ind w:left="0"/>
              <w:rPr>
                <w:rFonts w:ascii="Times New Roman" w:hAnsi="Times New Roman"/>
                <w:sz w:val="20"/>
                <w:szCs w:val="20"/>
              </w:rPr>
            </w:pPr>
            <w:r w:rsidRPr="00B70B09">
              <w:rPr>
                <w:rFonts w:ascii="Times New Roman" w:hAnsi="Times New Roman"/>
                <w:sz w:val="20"/>
                <w:szCs w:val="20"/>
              </w:rPr>
              <w:t xml:space="preserve">Signing of the agreement by the provider may imply </w:t>
            </w:r>
            <w:r w:rsidR="00484F20">
              <w:rPr>
                <w:rFonts w:ascii="Times New Roman" w:hAnsi="Times New Roman"/>
                <w:sz w:val="20"/>
                <w:szCs w:val="20"/>
              </w:rPr>
              <w:t>PIC</w:t>
            </w:r>
            <w:r w:rsidRPr="00B70B09">
              <w:rPr>
                <w:rFonts w:ascii="Times New Roman" w:hAnsi="Times New Roman"/>
                <w:sz w:val="20"/>
                <w:szCs w:val="20"/>
              </w:rPr>
              <w:t xml:space="preserve"> or specific PIC requirements may need to be met – such as a separate attestation of </w:t>
            </w:r>
            <w:r w:rsidR="00484F20">
              <w:rPr>
                <w:rFonts w:ascii="Times New Roman" w:hAnsi="Times New Roman"/>
                <w:sz w:val="20"/>
                <w:szCs w:val="20"/>
              </w:rPr>
              <w:t>PIC</w:t>
            </w:r>
            <w:r w:rsidRPr="00B70B09">
              <w:rPr>
                <w:rFonts w:ascii="Times New Roman" w:hAnsi="Times New Roman"/>
                <w:sz w:val="20"/>
                <w:szCs w:val="20"/>
              </w:rPr>
              <w:t xml:space="preserve"> </w:t>
            </w:r>
          </w:p>
        </w:tc>
      </w:tr>
      <w:tr w:rsidR="0080559A" w:rsidRPr="00B70B09" w:rsidTr="00B70B09">
        <w:trPr>
          <w:cantSplit/>
        </w:trPr>
        <w:tc>
          <w:tcPr>
            <w:tcW w:w="3168" w:type="dxa"/>
          </w:tcPr>
          <w:p w:rsidR="0080559A" w:rsidRPr="00B70B09" w:rsidRDefault="0080559A" w:rsidP="00B70B09">
            <w:pPr>
              <w:pStyle w:val="a3"/>
              <w:spacing w:after="0" w:line="240" w:lineRule="auto"/>
              <w:ind w:left="0"/>
              <w:rPr>
                <w:sz w:val="20"/>
                <w:szCs w:val="20"/>
              </w:rPr>
            </w:pPr>
            <w:r w:rsidRPr="00B70B09">
              <w:rPr>
                <w:rFonts w:ascii="Times New Roman" w:hAnsi="Times New Roman"/>
                <w:sz w:val="20"/>
                <w:szCs w:val="20"/>
              </w:rPr>
              <w:t>Statement of principle that benefits are to be shared</w:t>
            </w:r>
          </w:p>
        </w:tc>
        <w:tc>
          <w:tcPr>
            <w:tcW w:w="6332" w:type="dxa"/>
          </w:tcPr>
          <w:p w:rsidR="0080559A" w:rsidRPr="00B70B09" w:rsidRDefault="0080559A" w:rsidP="00B70B09">
            <w:pPr>
              <w:spacing w:after="0" w:line="240" w:lineRule="auto"/>
              <w:rPr>
                <w:rFonts w:ascii="Times New Roman" w:hAnsi="Times New Roman"/>
                <w:sz w:val="20"/>
                <w:szCs w:val="20"/>
              </w:rPr>
            </w:pPr>
            <w:r w:rsidRPr="00B70B09">
              <w:rPr>
                <w:rFonts w:ascii="Times New Roman" w:hAnsi="Times New Roman"/>
                <w:sz w:val="20"/>
                <w:szCs w:val="20"/>
              </w:rPr>
              <w:t>General statement indicating that benefits are to be shared.</w:t>
            </w:r>
          </w:p>
        </w:tc>
      </w:tr>
      <w:tr w:rsidR="0080559A" w:rsidRPr="00B70B09" w:rsidTr="00B70B09">
        <w:tc>
          <w:tcPr>
            <w:tcW w:w="3168" w:type="dxa"/>
          </w:tcPr>
          <w:p w:rsidR="0080559A" w:rsidRPr="00B70B09" w:rsidRDefault="0080559A" w:rsidP="00B70B09">
            <w:pPr>
              <w:pStyle w:val="a3"/>
              <w:spacing w:after="0" w:line="240" w:lineRule="auto"/>
              <w:ind w:left="0"/>
              <w:rPr>
                <w:rFonts w:ascii="Times New Roman" w:hAnsi="Times New Roman"/>
                <w:sz w:val="20"/>
                <w:szCs w:val="20"/>
              </w:rPr>
            </w:pPr>
            <w:r w:rsidRPr="00B70B09">
              <w:rPr>
                <w:rFonts w:ascii="Times New Roman" w:hAnsi="Times New Roman"/>
                <w:sz w:val="20"/>
                <w:szCs w:val="20"/>
              </w:rPr>
              <w:t>Statement as to intellectual property rights</w:t>
            </w:r>
          </w:p>
        </w:tc>
        <w:tc>
          <w:tcPr>
            <w:tcW w:w="6332" w:type="dxa"/>
          </w:tcPr>
          <w:p w:rsidR="0080559A" w:rsidRPr="00B70B09" w:rsidRDefault="0080559A" w:rsidP="00B70B09">
            <w:pPr>
              <w:pStyle w:val="a3"/>
              <w:spacing w:after="0" w:line="240" w:lineRule="auto"/>
              <w:ind w:left="0"/>
              <w:rPr>
                <w:rFonts w:ascii="Times New Roman" w:hAnsi="Times New Roman"/>
                <w:sz w:val="20"/>
                <w:szCs w:val="20"/>
              </w:rPr>
            </w:pPr>
            <w:r w:rsidRPr="00B70B09">
              <w:rPr>
                <w:rFonts w:ascii="Times New Roman" w:hAnsi="Times New Roman"/>
                <w:sz w:val="20"/>
                <w:szCs w:val="20"/>
              </w:rPr>
              <w:t xml:space="preserve">Defines the respective intellectual property rights of the parties to the agreement. </w:t>
            </w:r>
          </w:p>
        </w:tc>
      </w:tr>
      <w:tr w:rsidR="0080559A" w:rsidRPr="00B70B09" w:rsidTr="00B70B09">
        <w:tc>
          <w:tcPr>
            <w:tcW w:w="3168" w:type="dxa"/>
          </w:tcPr>
          <w:p w:rsidR="0080559A" w:rsidRPr="00B70B09" w:rsidRDefault="0080559A" w:rsidP="00B70B09">
            <w:pPr>
              <w:pStyle w:val="a3"/>
              <w:spacing w:after="0" w:line="240" w:lineRule="auto"/>
              <w:ind w:left="0"/>
              <w:rPr>
                <w:rFonts w:ascii="Times New Roman" w:hAnsi="Times New Roman"/>
                <w:sz w:val="20"/>
                <w:szCs w:val="20"/>
              </w:rPr>
            </w:pPr>
            <w:r w:rsidRPr="00B70B09">
              <w:rPr>
                <w:rFonts w:ascii="Times New Roman" w:hAnsi="Times New Roman"/>
                <w:sz w:val="20"/>
                <w:szCs w:val="20"/>
              </w:rPr>
              <w:t>Statements as to fixed benefits to be shared</w:t>
            </w:r>
          </w:p>
          <w:p w:rsidR="0080559A" w:rsidRPr="00B70B09" w:rsidRDefault="0080559A" w:rsidP="00B70B09">
            <w:pPr>
              <w:pStyle w:val="a3"/>
              <w:spacing w:after="0" w:line="240" w:lineRule="auto"/>
              <w:rPr>
                <w:rFonts w:ascii="Times New Roman" w:hAnsi="Times New Roman"/>
                <w:sz w:val="20"/>
                <w:szCs w:val="20"/>
              </w:rPr>
            </w:pPr>
          </w:p>
        </w:tc>
        <w:tc>
          <w:tcPr>
            <w:tcW w:w="6332" w:type="dxa"/>
          </w:tcPr>
          <w:p w:rsidR="0080559A" w:rsidRPr="00B70B09" w:rsidRDefault="0080559A" w:rsidP="00B70B09">
            <w:pPr>
              <w:pStyle w:val="a3"/>
              <w:spacing w:after="0" w:line="240" w:lineRule="auto"/>
              <w:ind w:left="0"/>
              <w:rPr>
                <w:rFonts w:ascii="Times New Roman" w:hAnsi="Times New Roman"/>
                <w:sz w:val="20"/>
                <w:szCs w:val="20"/>
              </w:rPr>
            </w:pPr>
            <w:r w:rsidRPr="00B70B09">
              <w:rPr>
                <w:rFonts w:ascii="Times New Roman" w:hAnsi="Times New Roman"/>
                <w:sz w:val="20"/>
                <w:szCs w:val="20"/>
              </w:rPr>
              <w:t>Generally in the main body of the agreement, statements as to the standard, generally non-monetary, benefits that must accrue to the provider, such as co-authorship of publications. Even where the provider is not the state, certain benefits may be identified as directly accruing to the state, for example that the state should be provided copies of publication</w:t>
            </w:r>
            <w:r w:rsidR="00623557">
              <w:rPr>
                <w:rFonts w:ascii="Times New Roman" w:hAnsi="Times New Roman"/>
                <w:sz w:val="20"/>
                <w:szCs w:val="20"/>
              </w:rPr>
              <w:t>s</w:t>
            </w:r>
            <w:r w:rsidRPr="00B70B09">
              <w:rPr>
                <w:rFonts w:ascii="Times New Roman" w:hAnsi="Times New Roman"/>
                <w:sz w:val="20"/>
                <w:szCs w:val="20"/>
              </w:rPr>
              <w:t xml:space="preserve"> or reports, a requirement that some of the research be done in the country of origin, a requirement to identify in publications the source of origin of the genetic material in question, or a requirement to provide taxonomic samples to the government or a research institution. Note that many fixed benefits accrue even in the context of non-commercial research. These benefits often do not </w:t>
            </w:r>
            <w:r w:rsidRPr="00B70B09">
              <w:rPr>
                <w:rFonts w:ascii="Times New Roman" w:hAnsi="Times New Roman"/>
                <w:sz w:val="20"/>
                <w:szCs w:val="20"/>
              </w:rPr>
              <w:lastRenderedPageBreak/>
              <w:t xml:space="preserve">rely on any particular research outcome and for the provider are often certain, direct, and immediate. </w:t>
            </w:r>
          </w:p>
        </w:tc>
      </w:tr>
      <w:tr w:rsidR="0080559A" w:rsidRPr="00B70B09" w:rsidTr="00B70B09">
        <w:tc>
          <w:tcPr>
            <w:tcW w:w="3168" w:type="dxa"/>
          </w:tcPr>
          <w:p w:rsidR="0080559A" w:rsidRPr="00B70B09" w:rsidRDefault="0080559A" w:rsidP="00B70B09">
            <w:pPr>
              <w:pStyle w:val="a3"/>
              <w:spacing w:after="0" w:line="240" w:lineRule="auto"/>
              <w:ind w:left="0"/>
              <w:rPr>
                <w:rFonts w:ascii="Times New Roman" w:hAnsi="Times New Roman"/>
                <w:sz w:val="20"/>
                <w:szCs w:val="20"/>
              </w:rPr>
            </w:pPr>
            <w:r w:rsidRPr="00B70B09">
              <w:rPr>
                <w:rFonts w:ascii="Times New Roman" w:hAnsi="Times New Roman"/>
                <w:sz w:val="20"/>
                <w:szCs w:val="20"/>
              </w:rPr>
              <w:lastRenderedPageBreak/>
              <w:t>Description of variable benefits to be shared</w:t>
            </w:r>
          </w:p>
          <w:p w:rsidR="0080559A" w:rsidRPr="00B70B09" w:rsidRDefault="0080559A" w:rsidP="00B70B09">
            <w:pPr>
              <w:pStyle w:val="a3"/>
              <w:spacing w:after="0" w:line="240" w:lineRule="auto"/>
              <w:rPr>
                <w:rFonts w:ascii="Times New Roman" w:hAnsi="Times New Roman"/>
                <w:sz w:val="20"/>
                <w:szCs w:val="20"/>
              </w:rPr>
            </w:pPr>
          </w:p>
        </w:tc>
        <w:tc>
          <w:tcPr>
            <w:tcW w:w="6332" w:type="dxa"/>
          </w:tcPr>
          <w:p w:rsidR="0080559A" w:rsidRPr="00B70B09" w:rsidRDefault="0080559A" w:rsidP="00B70B09">
            <w:pPr>
              <w:pStyle w:val="a3"/>
              <w:spacing w:after="0" w:line="240" w:lineRule="auto"/>
              <w:ind w:left="0"/>
              <w:rPr>
                <w:rFonts w:ascii="Times New Roman" w:hAnsi="Times New Roman"/>
                <w:sz w:val="20"/>
                <w:szCs w:val="20"/>
              </w:rPr>
            </w:pPr>
            <w:r w:rsidRPr="00B70B09">
              <w:rPr>
                <w:rFonts w:ascii="Times New Roman" w:hAnsi="Times New Roman"/>
                <w:sz w:val="20"/>
                <w:szCs w:val="20"/>
              </w:rPr>
              <w:t>Describes those monetary and non-monetary benefits to be shared subject to negotiation between the parties. May be included within the body of the agreement, or as a schedule. Generally, in the case of model agreements, an illustrative list of the types of benefits that might be considered is included. A sliding scale of monetary benefits to be provided, depending on revenue, may be applied. In the case of agreements covering only non-commercial research, a model agreement may only identify the trigger point at which a separate benefit-sharing agreement should be negotiated.</w:t>
            </w:r>
          </w:p>
        </w:tc>
      </w:tr>
      <w:tr w:rsidR="0080559A" w:rsidRPr="00B70B09" w:rsidTr="00B70B09">
        <w:tc>
          <w:tcPr>
            <w:tcW w:w="3168" w:type="dxa"/>
          </w:tcPr>
          <w:p w:rsidR="0080559A" w:rsidRPr="00B70B09" w:rsidRDefault="0080559A" w:rsidP="00B70B09">
            <w:pPr>
              <w:pStyle w:val="a3"/>
              <w:spacing w:after="0" w:line="240" w:lineRule="auto"/>
              <w:ind w:left="0"/>
              <w:rPr>
                <w:rFonts w:ascii="Times New Roman" w:hAnsi="Times New Roman"/>
                <w:sz w:val="20"/>
                <w:szCs w:val="20"/>
              </w:rPr>
            </w:pPr>
            <w:r w:rsidRPr="00B70B09">
              <w:rPr>
                <w:rFonts w:ascii="Times New Roman" w:hAnsi="Times New Roman"/>
                <w:sz w:val="20"/>
                <w:szCs w:val="20"/>
              </w:rPr>
              <w:t xml:space="preserve">Traditional knowledge </w:t>
            </w:r>
          </w:p>
          <w:p w:rsidR="0080559A" w:rsidRPr="00B70B09" w:rsidRDefault="0080559A" w:rsidP="00B70B09">
            <w:pPr>
              <w:pStyle w:val="a3"/>
              <w:spacing w:after="0" w:line="240" w:lineRule="auto"/>
              <w:rPr>
                <w:rFonts w:ascii="Times New Roman" w:hAnsi="Times New Roman"/>
                <w:sz w:val="20"/>
                <w:szCs w:val="20"/>
              </w:rPr>
            </w:pPr>
          </w:p>
        </w:tc>
        <w:tc>
          <w:tcPr>
            <w:tcW w:w="6332" w:type="dxa"/>
          </w:tcPr>
          <w:p w:rsidR="0080559A" w:rsidRPr="00B70B09" w:rsidRDefault="0080559A" w:rsidP="00484F20">
            <w:pPr>
              <w:pStyle w:val="a3"/>
              <w:spacing w:after="0" w:line="240" w:lineRule="auto"/>
              <w:ind w:left="0"/>
              <w:rPr>
                <w:rFonts w:ascii="Times New Roman" w:hAnsi="Times New Roman"/>
                <w:sz w:val="20"/>
                <w:szCs w:val="20"/>
              </w:rPr>
            </w:pPr>
            <w:r w:rsidRPr="00B70B09">
              <w:rPr>
                <w:rFonts w:ascii="Times New Roman" w:hAnsi="Times New Roman"/>
                <w:sz w:val="20"/>
                <w:szCs w:val="20"/>
              </w:rPr>
              <w:t xml:space="preserve">General statements as to respect for the knowledge, innovations and practices of indigenous and local communities, the utilization of such knowledge with the </w:t>
            </w:r>
            <w:r w:rsidR="00484F20">
              <w:rPr>
                <w:rFonts w:ascii="Times New Roman" w:hAnsi="Times New Roman"/>
                <w:sz w:val="20"/>
                <w:szCs w:val="20"/>
              </w:rPr>
              <w:t>PIC</w:t>
            </w:r>
            <w:r w:rsidRPr="00B70B09">
              <w:rPr>
                <w:rFonts w:ascii="Times New Roman" w:hAnsi="Times New Roman"/>
                <w:sz w:val="20"/>
                <w:szCs w:val="20"/>
              </w:rPr>
              <w:t xml:space="preserve"> or approval and involvement of the holders of such knowledge and the requirement that benefits be shared, and/or statements reflecting the related language of the Protocol on traditional knowledge and access to genetic resources held by indigenous and local communities. These take various forms depending on the model contract in question, such as requirements to comply with applicable codes of conduct, to recognize the source of the knowledge in publications and reports, to provide documentary evidence of </w:t>
            </w:r>
            <w:r w:rsidR="00484F20">
              <w:rPr>
                <w:rFonts w:ascii="Times New Roman" w:hAnsi="Times New Roman"/>
                <w:sz w:val="20"/>
                <w:szCs w:val="20"/>
              </w:rPr>
              <w:t>PIC</w:t>
            </w:r>
            <w:r w:rsidRPr="00B70B09">
              <w:rPr>
                <w:rFonts w:ascii="Times New Roman" w:hAnsi="Times New Roman"/>
                <w:sz w:val="20"/>
                <w:szCs w:val="20"/>
              </w:rPr>
              <w:t xml:space="preserve"> and benefit-sharing, to include the knowledge holder as a party to the contract or a requirement that a separate benefit-sharing agreement be concluded with the holder of any such knowledge. </w:t>
            </w:r>
          </w:p>
        </w:tc>
      </w:tr>
      <w:tr w:rsidR="0080559A" w:rsidRPr="00B70B09" w:rsidTr="00B70B09">
        <w:tc>
          <w:tcPr>
            <w:tcW w:w="3168" w:type="dxa"/>
          </w:tcPr>
          <w:p w:rsidR="0080559A" w:rsidRPr="00B70B09" w:rsidRDefault="0080559A" w:rsidP="00B70B09">
            <w:pPr>
              <w:pStyle w:val="a3"/>
              <w:spacing w:after="0" w:line="240" w:lineRule="auto"/>
              <w:ind w:left="0"/>
              <w:rPr>
                <w:rFonts w:ascii="Times New Roman" w:hAnsi="Times New Roman"/>
                <w:sz w:val="20"/>
                <w:szCs w:val="20"/>
              </w:rPr>
            </w:pPr>
            <w:r w:rsidRPr="00B70B09">
              <w:rPr>
                <w:rFonts w:ascii="Times New Roman" w:hAnsi="Times New Roman"/>
                <w:sz w:val="20"/>
                <w:szCs w:val="20"/>
              </w:rPr>
              <w:t xml:space="preserve">Applicable law and jurisdiction </w:t>
            </w:r>
          </w:p>
          <w:p w:rsidR="0080559A" w:rsidRPr="00B70B09" w:rsidRDefault="0080559A" w:rsidP="00B70B09">
            <w:pPr>
              <w:pStyle w:val="a3"/>
              <w:spacing w:after="0" w:line="240" w:lineRule="auto"/>
              <w:rPr>
                <w:rFonts w:ascii="Times New Roman" w:hAnsi="Times New Roman"/>
                <w:sz w:val="20"/>
                <w:szCs w:val="20"/>
              </w:rPr>
            </w:pPr>
          </w:p>
        </w:tc>
        <w:tc>
          <w:tcPr>
            <w:tcW w:w="6332" w:type="dxa"/>
          </w:tcPr>
          <w:p w:rsidR="0080559A" w:rsidRPr="00B70B09" w:rsidRDefault="0080559A" w:rsidP="00B70B09">
            <w:pPr>
              <w:pStyle w:val="a3"/>
              <w:spacing w:after="0" w:line="240" w:lineRule="auto"/>
              <w:ind w:left="0"/>
              <w:rPr>
                <w:rFonts w:ascii="Times New Roman" w:hAnsi="Times New Roman"/>
                <w:sz w:val="20"/>
                <w:szCs w:val="20"/>
              </w:rPr>
            </w:pPr>
            <w:r w:rsidRPr="00B70B09">
              <w:rPr>
                <w:rFonts w:ascii="Times New Roman" w:hAnsi="Times New Roman"/>
                <w:sz w:val="20"/>
                <w:szCs w:val="20"/>
              </w:rPr>
              <w:t xml:space="preserve">Stating the applicable </w:t>
            </w:r>
            <w:r w:rsidR="00925E70">
              <w:rPr>
                <w:rFonts w:ascii="Times New Roman" w:hAnsi="Times New Roman"/>
                <w:sz w:val="20"/>
                <w:szCs w:val="20"/>
              </w:rPr>
              <w:t xml:space="preserve">law and </w:t>
            </w:r>
            <w:r w:rsidRPr="00B70B09">
              <w:rPr>
                <w:rFonts w:ascii="Times New Roman" w:hAnsi="Times New Roman"/>
                <w:sz w:val="20"/>
                <w:szCs w:val="20"/>
              </w:rPr>
              <w:t>jurisdiction for contract interpretation and resolution of disputes.</w:t>
            </w:r>
          </w:p>
        </w:tc>
      </w:tr>
      <w:tr w:rsidR="0080559A" w:rsidRPr="00B70B09" w:rsidTr="00B70B09">
        <w:tc>
          <w:tcPr>
            <w:tcW w:w="3168" w:type="dxa"/>
          </w:tcPr>
          <w:p w:rsidR="0080559A" w:rsidRPr="00B70B09" w:rsidRDefault="0080559A" w:rsidP="00B70B09">
            <w:pPr>
              <w:pStyle w:val="a3"/>
              <w:spacing w:after="0" w:line="240" w:lineRule="auto"/>
              <w:ind w:left="0"/>
              <w:rPr>
                <w:rFonts w:ascii="Times New Roman" w:hAnsi="Times New Roman"/>
                <w:sz w:val="20"/>
                <w:szCs w:val="20"/>
              </w:rPr>
            </w:pPr>
            <w:r w:rsidRPr="00B70B09">
              <w:rPr>
                <w:rFonts w:ascii="Times New Roman" w:hAnsi="Times New Roman"/>
                <w:sz w:val="20"/>
                <w:szCs w:val="20"/>
              </w:rPr>
              <w:t xml:space="preserve">Dispute resolution </w:t>
            </w:r>
          </w:p>
        </w:tc>
        <w:tc>
          <w:tcPr>
            <w:tcW w:w="6332" w:type="dxa"/>
          </w:tcPr>
          <w:p w:rsidR="0080559A" w:rsidRPr="00B70B09" w:rsidRDefault="0080559A" w:rsidP="00B70B09">
            <w:pPr>
              <w:pStyle w:val="a3"/>
              <w:spacing w:after="0" w:line="240" w:lineRule="auto"/>
              <w:ind w:left="0"/>
              <w:rPr>
                <w:rFonts w:ascii="Times New Roman" w:hAnsi="Times New Roman"/>
                <w:sz w:val="20"/>
                <w:szCs w:val="20"/>
              </w:rPr>
            </w:pPr>
            <w:r w:rsidRPr="00B70B09">
              <w:rPr>
                <w:rFonts w:ascii="Times New Roman" w:hAnsi="Times New Roman"/>
                <w:sz w:val="20"/>
                <w:szCs w:val="20"/>
              </w:rPr>
              <w:t>Stating processes to apply in the event of disputes.</w:t>
            </w:r>
          </w:p>
        </w:tc>
      </w:tr>
      <w:tr w:rsidR="0080559A" w:rsidRPr="00B70B09" w:rsidTr="00B70B09">
        <w:tc>
          <w:tcPr>
            <w:tcW w:w="3168" w:type="dxa"/>
          </w:tcPr>
          <w:p w:rsidR="0080559A" w:rsidRPr="00B70B09" w:rsidRDefault="0080559A" w:rsidP="00B70B09">
            <w:pPr>
              <w:pStyle w:val="a3"/>
              <w:spacing w:after="0" w:line="240" w:lineRule="auto"/>
              <w:ind w:left="0"/>
              <w:rPr>
                <w:rFonts w:ascii="Times New Roman" w:hAnsi="Times New Roman"/>
                <w:sz w:val="20"/>
                <w:szCs w:val="20"/>
              </w:rPr>
            </w:pPr>
            <w:r w:rsidRPr="00B70B09">
              <w:rPr>
                <w:rFonts w:ascii="Times New Roman" w:hAnsi="Times New Roman"/>
                <w:sz w:val="20"/>
                <w:szCs w:val="20"/>
              </w:rPr>
              <w:t>Compliance and Termination</w:t>
            </w:r>
          </w:p>
          <w:p w:rsidR="0080559A" w:rsidRPr="00B70B09" w:rsidRDefault="0080559A" w:rsidP="00B70B09">
            <w:pPr>
              <w:pStyle w:val="a3"/>
              <w:spacing w:after="0" w:line="240" w:lineRule="auto"/>
              <w:rPr>
                <w:rFonts w:ascii="Times New Roman" w:hAnsi="Times New Roman"/>
                <w:sz w:val="20"/>
                <w:szCs w:val="20"/>
              </w:rPr>
            </w:pPr>
          </w:p>
        </w:tc>
        <w:tc>
          <w:tcPr>
            <w:tcW w:w="6332" w:type="dxa"/>
          </w:tcPr>
          <w:p w:rsidR="0080559A" w:rsidRPr="00B70B09" w:rsidRDefault="0080559A" w:rsidP="00B70B09">
            <w:pPr>
              <w:pStyle w:val="a3"/>
              <w:shd w:val="clear" w:color="auto" w:fill="FFFFFF"/>
              <w:spacing w:after="0" w:line="240" w:lineRule="auto"/>
              <w:ind w:left="0"/>
              <w:rPr>
                <w:rFonts w:ascii="Times New Roman" w:hAnsi="Times New Roman"/>
                <w:sz w:val="20"/>
                <w:szCs w:val="20"/>
              </w:rPr>
            </w:pPr>
            <w:r w:rsidRPr="00B70B09">
              <w:rPr>
                <w:rFonts w:ascii="Times New Roman" w:hAnsi="Times New Roman"/>
                <w:sz w:val="20"/>
                <w:szCs w:val="20"/>
              </w:rPr>
              <w:t xml:space="preserve">Stating the consequences for failing to comply with the agreement, noting sanctions in the event of breach, and noting when and how the agreement might be terminated. </w:t>
            </w:r>
          </w:p>
        </w:tc>
      </w:tr>
    </w:tbl>
    <w:p w:rsidR="0080559A" w:rsidRDefault="0080559A" w:rsidP="003333F9">
      <w:pPr>
        <w:shd w:val="clear" w:color="auto" w:fill="FFFFFF"/>
        <w:spacing w:before="120" w:after="120"/>
        <w:jc w:val="both"/>
        <w:rPr>
          <w:rFonts w:ascii="Times New Roman" w:hAnsi="Times New Roman"/>
        </w:rPr>
      </w:pPr>
      <w:r>
        <w:rPr>
          <w:rFonts w:ascii="Times New Roman" w:hAnsi="Times New Roman"/>
        </w:rPr>
        <w:t xml:space="preserve">Note that the sector in which the agreement is to be applied tends to be only one factor among several responsible for differentiation between the models available. For example, differences of approach between those model contracts examined tends to go more to issues such as whether the research is expected to be commercial or non-commercial in nature than to the specific sector of application. The sector of research, and, by implication the research practices used within a given sector, tend to be more relevant to issues such as the type or quantity of genetic samples required, the duration of the agreement, the range and quantity of benefits to accrue to the provider, and whether traditional knowledge is accessed as part of the research process, than to the basic structure of the model contract. </w:t>
      </w:r>
      <w:r w:rsidRPr="003C6B02">
        <w:rPr>
          <w:rFonts w:ascii="Times New Roman" w:hAnsi="Times New Roman"/>
        </w:rPr>
        <w:t xml:space="preserve">That is, all of these issues go </w:t>
      </w:r>
      <w:r>
        <w:rPr>
          <w:rFonts w:ascii="Times New Roman" w:hAnsi="Times New Roman"/>
        </w:rPr>
        <w:t xml:space="preserve">more </w:t>
      </w:r>
      <w:r w:rsidRPr="003C6B02">
        <w:rPr>
          <w:rFonts w:ascii="Times New Roman" w:hAnsi="Times New Roman"/>
        </w:rPr>
        <w:t xml:space="preserve">to the particulars to be provided and agreed between parties when an actual agreement is executed, </w:t>
      </w:r>
      <w:r>
        <w:rPr>
          <w:rFonts w:ascii="Times New Roman" w:hAnsi="Times New Roman"/>
        </w:rPr>
        <w:t>rather than the basic structure of a model agreement.</w:t>
      </w:r>
    </w:p>
    <w:p w:rsidR="0080559A" w:rsidRDefault="0080559A" w:rsidP="00EA1BB0">
      <w:pPr>
        <w:shd w:val="clear" w:color="auto" w:fill="FFFFFF"/>
        <w:spacing w:before="120" w:after="120"/>
        <w:jc w:val="both"/>
        <w:rPr>
          <w:rFonts w:ascii="Times New Roman" w:hAnsi="Times New Roman"/>
        </w:rPr>
      </w:pPr>
      <w:r>
        <w:rPr>
          <w:rFonts w:ascii="Times New Roman" w:hAnsi="Times New Roman"/>
        </w:rPr>
        <w:t xml:space="preserve">A key and central difference among the model agreements examined was whether the model provided a range of options for dealing with a given issue, or offered a more fixed approach. That is, whether the model offered several model contractual clauses for dealing with a given issue, or just one. Unsurprisingly, models that were developed for potential global application tended to set out a range of options, such as in the case of the Swiss Academy of Sciences </w:t>
      </w:r>
      <w:r w:rsidRPr="00F07E1F">
        <w:rPr>
          <w:rFonts w:ascii="Times New Roman" w:hAnsi="Times New Roman"/>
        </w:rPr>
        <w:t>Agreement on Access and Benefit-sharing for Non-Commercial Research</w:t>
      </w:r>
      <w:r>
        <w:rPr>
          <w:rStyle w:val="af"/>
          <w:rFonts w:ascii="Times New Roman" w:hAnsi="Times New Roman"/>
        </w:rPr>
        <w:footnoteReference w:id="60"/>
      </w:r>
      <w:r>
        <w:rPr>
          <w:rFonts w:ascii="Times New Roman" w:hAnsi="Times New Roman"/>
        </w:rPr>
        <w:t xml:space="preserve">, whereas model contracts designed for application in a specific jurisdiction and developed consistent with specific legislative requirements tended to offer a more fixed approach, such as in the case of the model agreements provided by the South African and Australian </w:t>
      </w:r>
      <w:r>
        <w:rPr>
          <w:rFonts w:ascii="Times New Roman" w:hAnsi="Times New Roman"/>
        </w:rPr>
        <w:lastRenderedPageBreak/>
        <w:t>governments, noting that even in these cases there is room for and the expectation that contracts may be tailored to the circumstances of actual agreements</w:t>
      </w:r>
      <w:r>
        <w:rPr>
          <w:rStyle w:val="af"/>
          <w:rFonts w:ascii="Times New Roman" w:hAnsi="Times New Roman"/>
        </w:rPr>
        <w:footnoteReference w:id="61"/>
      </w:r>
      <w:r>
        <w:rPr>
          <w:rFonts w:ascii="Times New Roman" w:hAnsi="Times New Roman"/>
        </w:rPr>
        <w:t>.</w:t>
      </w:r>
    </w:p>
    <w:p w:rsidR="0080559A" w:rsidRDefault="0080559A" w:rsidP="00EA1BB0">
      <w:pPr>
        <w:spacing w:before="120" w:after="120"/>
        <w:jc w:val="both"/>
        <w:rPr>
          <w:rFonts w:ascii="Times New Roman" w:hAnsi="Times New Roman"/>
        </w:rPr>
      </w:pPr>
      <w:r>
        <w:rPr>
          <w:rFonts w:ascii="Times New Roman" w:hAnsi="Times New Roman"/>
        </w:rPr>
        <w:t>Finally, note that several of the model agreements available were developed alongside and complement codes of conduct, guidelines</w:t>
      </w:r>
      <w:r w:rsidR="0019659E">
        <w:rPr>
          <w:rFonts w:ascii="Times New Roman" w:hAnsi="Times New Roman"/>
        </w:rPr>
        <w:t>,</w:t>
      </w:r>
      <w:r>
        <w:rPr>
          <w:rFonts w:ascii="Times New Roman" w:hAnsi="Times New Roman"/>
        </w:rPr>
        <w:t xml:space="preserve"> </w:t>
      </w:r>
      <w:r w:rsidR="00484F20">
        <w:rPr>
          <w:rFonts w:ascii="Times New Roman" w:hAnsi="Times New Roman"/>
        </w:rPr>
        <w:t>s</w:t>
      </w:r>
      <w:r>
        <w:rPr>
          <w:rFonts w:ascii="Times New Roman" w:hAnsi="Times New Roman"/>
        </w:rPr>
        <w:t>tatements of best practice</w:t>
      </w:r>
      <w:r w:rsidR="0019659E">
        <w:rPr>
          <w:rFonts w:ascii="Times New Roman" w:hAnsi="Times New Roman" w:hint="eastAsia"/>
          <w:lang w:eastAsia="ja-JP"/>
        </w:rPr>
        <w:t xml:space="preserve"> or standards</w:t>
      </w:r>
      <w:r>
        <w:rPr>
          <w:rFonts w:ascii="Times New Roman" w:hAnsi="Times New Roman"/>
        </w:rPr>
        <w:t>, such as the model agreements accompanying or integrated within the ABS Management Tool</w:t>
      </w:r>
      <w:r>
        <w:rPr>
          <w:rStyle w:val="af"/>
          <w:rFonts w:ascii="Times New Roman" w:hAnsi="Times New Roman"/>
        </w:rPr>
        <w:footnoteReference w:id="62"/>
      </w:r>
      <w:r>
        <w:rPr>
          <w:rFonts w:ascii="Times New Roman" w:hAnsi="Times New Roman"/>
        </w:rPr>
        <w:t>, and the BIO Guidelines</w:t>
      </w:r>
      <w:r>
        <w:rPr>
          <w:rStyle w:val="af"/>
          <w:rFonts w:ascii="Times New Roman" w:hAnsi="Times New Roman"/>
        </w:rPr>
        <w:footnoteReference w:id="63"/>
      </w:r>
      <w:r>
        <w:rPr>
          <w:rFonts w:ascii="Times New Roman" w:hAnsi="Times New Roman"/>
        </w:rPr>
        <w:t>.</w:t>
      </w:r>
    </w:p>
    <w:p w:rsidR="006846AF" w:rsidRDefault="006846AF" w:rsidP="009B28D4">
      <w:pPr>
        <w:spacing w:before="120" w:after="120" w:line="360" w:lineRule="auto"/>
        <w:rPr>
          <w:rFonts w:ascii="Times New Roman" w:hAnsi="Times New Roman"/>
        </w:rPr>
      </w:pPr>
    </w:p>
    <w:p w:rsidR="0080559A" w:rsidRDefault="0080559A" w:rsidP="009B28D4">
      <w:pPr>
        <w:spacing w:before="120" w:after="120" w:line="360" w:lineRule="auto"/>
        <w:rPr>
          <w:rFonts w:ascii="Times New Roman" w:hAnsi="Times New Roman"/>
          <w:b/>
        </w:rPr>
      </w:pPr>
      <w:r>
        <w:rPr>
          <w:rFonts w:ascii="Times New Roman" w:hAnsi="Times New Roman"/>
          <w:b/>
        </w:rPr>
        <w:t>Part III</w:t>
      </w:r>
      <w:r>
        <w:rPr>
          <w:rFonts w:ascii="Times New Roman" w:hAnsi="Times New Roman"/>
          <w:b/>
        </w:rPr>
        <w:tab/>
        <w:t xml:space="preserve">Article 20 on Codes of </w:t>
      </w:r>
      <w:r w:rsidRPr="005D54B0">
        <w:rPr>
          <w:rFonts w:ascii="Times New Roman" w:hAnsi="Times New Roman"/>
          <w:b/>
        </w:rPr>
        <w:t>Conduct, Guidelines, Best Practices</w:t>
      </w:r>
      <w:r>
        <w:rPr>
          <w:rFonts w:ascii="Times New Roman" w:hAnsi="Times New Roman"/>
          <w:b/>
        </w:rPr>
        <w:t xml:space="preserve"> and</w:t>
      </w:r>
      <w:r w:rsidRPr="005D54B0">
        <w:rPr>
          <w:rFonts w:ascii="Times New Roman" w:hAnsi="Times New Roman"/>
          <w:b/>
        </w:rPr>
        <w:t xml:space="preserve"> Standards</w:t>
      </w:r>
    </w:p>
    <w:p w:rsidR="0080559A" w:rsidRDefault="0080559A" w:rsidP="00D8605F">
      <w:pPr>
        <w:spacing w:before="120" w:after="120" w:line="240" w:lineRule="auto"/>
        <w:jc w:val="both"/>
        <w:rPr>
          <w:rFonts w:ascii="Times New Roman" w:hAnsi="Times New Roman"/>
          <w:i/>
        </w:rPr>
      </w:pPr>
      <w:r>
        <w:rPr>
          <w:rFonts w:ascii="Times New Roman" w:hAnsi="Times New Roman"/>
          <w:i/>
        </w:rPr>
        <w:t>Sources</w:t>
      </w:r>
      <w:r w:rsidRPr="006169AF">
        <w:rPr>
          <w:rFonts w:ascii="Times New Roman" w:hAnsi="Times New Roman"/>
          <w:i/>
        </w:rPr>
        <w:t xml:space="preserve"> of </w:t>
      </w:r>
      <w:r>
        <w:rPr>
          <w:rFonts w:ascii="Times New Roman" w:hAnsi="Times New Roman"/>
          <w:i/>
        </w:rPr>
        <w:t xml:space="preserve">Information about </w:t>
      </w:r>
      <w:r w:rsidRPr="006169AF">
        <w:rPr>
          <w:rFonts w:ascii="Times New Roman" w:hAnsi="Times New Roman"/>
          <w:i/>
        </w:rPr>
        <w:t>Codes of Conduct, Guidelines, Best Practices and</w:t>
      </w:r>
      <w:r w:rsidR="004D3615">
        <w:rPr>
          <w:rFonts w:ascii="Times New Roman" w:hAnsi="Times New Roman"/>
          <w:i/>
        </w:rPr>
        <w:t xml:space="preserve"> </w:t>
      </w:r>
      <w:r w:rsidRPr="006169AF">
        <w:rPr>
          <w:rFonts w:ascii="Times New Roman" w:hAnsi="Times New Roman"/>
          <w:i/>
        </w:rPr>
        <w:t>Standards</w:t>
      </w:r>
    </w:p>
    <w:p w:rsidR="0080559A" w:rsidRPr="005B6F54" w:rsidRDefault="0080559A" w:rsidP="00D8605F">
      <w:pPr>
        <w:spacing w:before="120" w:after="120"/>
        <w:jc w:val="both"/>
        <w:rPr>
          <w:rFonts w:ascii="Times New Roman" w:hAnsi="Times New Roman"/>
        </w:rPr>
      </w:pPr>
      <w:r>
        <w:rPr>
          <w:rFonts w:ascii="Times New Roman" w:hAnsi="Times New Roman"/>
        </w:rPr>
        <w:t>Sources of information about codes of conduct, guidelines, best practices and</w:t>
      </w:r>
      <w:r w:rsidR="004A1F37">
        <w:rPr>
          <w:rFonts w:ascii="Times New Roman" w:hAnsi="Times New Roman"/>
        </w:rPr>
        <w:t xml:space="preserve"> </w:t>
      </w:r>
      <w:r>
        <w:rPr>
          <w:rFonts w:ascii="Times New Roman" w:hAnsi="Times New Roman"/>
        </w:rPr>
        <w:t xml:space="preserve">standards include the </w:t>
      </w:r>
      <w:r w:rsidR="00180E6C">
        <w:rPr>
          <w:rFonts w:ascii="Times New Roman" w:hAnsi="Times New Roman"/>
        </w:rPr>
        <w:t>CBD</w:t>
      </w:r>
      <w:r>
        <w:rPr>
          <w:rFonts w:ascii="Times New Roman" w:hAnsi="Times New Roman"/>
        </w:rPr>
        <w:t xml:space="preserve"> website</w:t>
      </w:r>
      <w:r>
        <w:rPr>
          <w:rStyle w:val="af"/>
          <w:rFonts w:ascii="Times New Roman" w:hAnsi="Times New Roman"/>
        </w:rPr>
        <w:footnoteReference w:id="64"/>
      </w:r>
      <w:r>
        <w:rPr>
          <w:rFonts w:ascii="Times New Roman" w:hAnsi="Times New Roman"/>
        </w:rPr>
        <w:t xml:space="preserve">, </w:t>
      </w:r>
      <w:r w:rsidRPr="00C02BA3">
        <w:rPr>
          <w:rFonts w:ascii="Times New Roman" w:hAnsi="Times New Roman"/>
        </w:rPr>
        <w:t>the authoring institutions</w:t>
      </w:r>
      <w:r>
        <w:rPr>
          <w:rStyle w:val="af"/>
          <w:rFonts w:ascii="Times New Roman" w:hAnsi="Times New Roman"/>
        </w:rPr>
        <w:footnoteReference w:id="65"/>
      </w:r>
      <w:r>
        <w:rPr>
          <w:rFonts w:ascii="Times New Roman" w:hAnsi="Times New Roman"/>
        </w:rPr>
        <w:t>, and other institutions who have compiled lists or databases of such resources</w:t>
      </w:r>
      <w:r>
        <w:rPr>
          <w:rStyle w:val="af"/>
          <w:rFonts w:ascii="Times New Roman" w:hAnsi="Times New Roman"/>
        </w:rPr>
        <w:footnoteReference w:id="66"/>
      </w:r>
      <w:r w:rsidRPr="00C02BA3">
        <w:rPr>
          <w:rFonts w:ascii="Times New Roman" w:hAnsi="Times New Roman"/>
        </w:rPr>
        <w:t xml:space="preserve">. </w:t>
      </w:r>
      <w:r>
        <w:rPr>
          <w:rFonts w:ascii="Times New Roman" w:hAnsi="Times New Roman"/>
        </w:rPr>
        <w:t xml:space="preserve">In some cases, Article 20 tools may themselves provide links to other codes of conduct, guidelines, best practices </w:t>
      </w:r>
      <w:r w:rsidR="0019659E">
        <w:rPr>
          <w:rFonts w:ascii="Times New Roman" w:hAnsi="Times New Roman"/>
        </w:rPr>
        <w:t>or</w:t>
      </w:r>
      <w:r>
        <w:rPr>
          <w:rFonts w:ascii="Times New Roman" w:hAnsi="Times New Roman"/>
        </w:rPr>
        <w:t xml:space="preserve"> standards, and to model contractual clauses</w:t>
      </w:r>
      <w:r>
        <w:rPr>
          <w:rStyle w:val="af"/>
          <w:rFonts w:ascii="Times New Roman" w:hAnsi="Times New Roman"/>
        </w:rPr>
        <w:footnoteReference w:id="67"/>
      </w:r>
      <w:r>
        <w:rPr>
          <w:rFonts w:ascii="Times New Roman" w:hAnsi="Times New Roman"/>
        </w:rPr>
        <w:t xml:space="preserve">. In addition, various analyses have considered particular codes of conduct, guidelines, best practices </w:t>
      </w:r>
      <w:r w:rsidR="0019659E">
        <w:rPr>
          <w:rFonts w:ascii="Times New Roman" w:hAnsi="Times New Roman"/>
        </w:rPr>
        <w:t>or</w:t>
      </w:r>
      <w:r>
        <w:rPr>
          <w:rFonts w:ascii="Times New Roman" w:hAnsi="Times New Roman"/>
        </w:rPr>
        <w:t xml:space="preserve"> standards, as well as the use and utility of such tools more broadly</w:t>
      </w:r>
      <w:r>
        <w:rPr>
          <w:rStyle w:val="af"/>
          <w:rFonts w:ascii="Times New Roman" w:hAnsi="Times New Roman"/>
        </w:rPr>
        <w:footnoteReference w:id="68"/>
      </w:r>
      <w:r>
        <w:rPr>
          <w:rFonts w:ascii="Times New Roman" w:hAnsi="Times New Roman"/>
        </w:rPr>
        <w:t>.</w:t>
      </w:r>
    </w:p>
    <w:p w:rsidR="0080559A" w:rsidRDefault="0080559A" w:rsidP="00D8605F">
      <w:pPr>
        <w:spacing w:before="120" w:after="120"/>
        <w:jc w:val="both"/>
        <w:rPr>
          <w:rFonts w:ascii="Times New Roman" w:hAnsi="Times New Roman"/>
          <w:i/>
        </w:rPr>
      </w:pPr>
      <w:r w:rsidRPr="006169AF">
        <w:rPr>
          <w:rFonts w:ascii="Times New Roman" w:hAnsi="Times New Roman"/>
          <w:i/>
        </w:rPr>
        <w:t xml:space="preserve">Overview of Codes of Conduct, Guidelines, Best Practices and Standards </w:t>
      </w:r>
    </w:p>
    <w:p w:rsidR="0080559A" w:rsidRDefault="0080559A" w:rsidP="00D8605F">
      <w:pPr>
        <w:spacing w:before="120" w:after="120"/>
        <w:jc w:val="both"/>
        <w:rPr>
          <w:rFonts w:ascii="Times New Roman" w:hAnsi="Times New Roman"/>
        </w:rPr>
      </w:pPr>
      <w:r>
        <w:rPr>
          <w:rFonts w:ascii="Times New Roman" w:hAnsi="Times New Roman"/>
        </w:rPr>
        <w:t>Codes of conduct, guidelines, b</w:t>
      </w:r>
      <w:r w:rsidRPr="0099101F">
        <w:rPr>
          <w:rFonts w:ascii="Times New Roman" w:hAnsi="Times New Roman"/>
        </w:rPr>
        <w:t xml:space="preserve">est </w:t>
      </w:r>
      <w:r>
        <w:rPr>
          <w:rFonts w:ascii="Times New Roman" w:hAnsi="Times New Roman"/>
        </w:rPr>
        <w:t>p</w:t>
      </w:r>
      <w:r w:rsidRPr="0099101F">
        <w:rPr>
          <w:rFonts w:ascii="Times New Roman" w:hAnsi="Times New Roman"/>
        </w:rPr>
        <w:t xml:space="preserve">ractices and </w:t>
      </w:r>
      <w:r>
        <w:rPr>
          <w:rFonts w:ascii="Times New Roman" w:hAnsi="Times New Roman"/>
        </w:rPr>
        <w:t>s</w:t>
      </w:r>
      <w:r w:rsidRPr="0099101F">
        <w:rPr>
          <w:rFonts w:ascii="Times New Roman" w:hAnsi="Times New Roman"/>
        </w:rPr>
        <w:t xml:space="preserve">tandards </w:t>
      </w:r>
      <w:r>
        <w:rPr>
          <w:rFonts w:ascii="Times New Roman" w:hAnsi="Times New Roman"/>
        </w:rPr>
        <w:t>apply across a range of sectors, including pharmaceuticals, biotechnology, agriculture, plant science</w:t>
      </w:r>
      <w:r w:rsidR="007E1010">
        <w:rPr>
          <w:rFonts w:ascii="Times New Roman" w:hAnsi="Times New Roman"/>
        </w:rPr>
        <w:t>,</w:t>
      </w:r>
      <w:r>
        <w:rPr>
          <w:rFonts w:ascii="Times New Roman" w:hAnsi="Times New Roman"/>
        </w:rPr>
        <w:t xml:space="preserve"> trade in natural products generally</w:t>
      </w:r>
      <w:r w:rsidR="007E1010">
        <w:rPr>
          <w:rFonts w:ascii="Times New Roman" w:hAnsi="Times New Roman"/>
        </w:rPr>
        <w:t xml:space="preserve"> and in non-commercial research including taxonomy, ecology, conservation biology, among other basic research fields</w:t>
      </w:r>
      <w:r>
        <w:rPr>
          <w:rFonts w:ascii="Times New Roman" w:hAnsi="Times New Roman"/>
        </w:rPr>
        <w:t>.  Authors include government departments</w:t>
      </w:r>
      <w:r>
        <w:rPr>
          <w:rStyle w:val="af"/>
          <w:rFonts w:ascii="Times New Roman" w:hAnsi="Times New Roman"/>
        </w:rPr>
        <w:footnoteReference w:id="69"/>
      </w:r>
      <w:r>
        <w:rPr>
          <w:rFonts w:ascii="Times New Roman" w:hAnsi="Times New Roman"/>
        </w:rPr>
        <w:t xml:space="preserve">, public sector collections institutions and botanic </w:t>
      </w:r>
      <w:r>
        <w:rPr>
          <w:rFonts w:ascii="Times New Roman" w:hAnsi="Times New Roman"/>
        </w:rPr>
        <w:lastRenderedPageBreak/>
        <w:t>gardens</w:t>
      </w:r>
      <w:r>
        <w:rPr>
          <w:rStyle w:val="af"/>
          <w:rFonts w:ascii="Times New Roman" w:hAnsi="Times New Roman"/>
        </w:rPr>
        <w:footnoteReference w:id="70"/>
      </w:r>
      <w:r>
        <w:rPr>
          <w:rFonts w:ascii="Times New Roman" w:hAnsi="Times New Roman"/>
        </w:rPr>
        <w:t>, industry organizations</w:t>
      </w:r>
      <w:r>
        <w:rPr>
          <w:rStyle w:val="af"/>
          <w:rFonts w:ascii="Times New Roman" w:hAnsi="Times New Roman"/>
        </w:rPr>
        <w:footnoteReference w:id="71"/>
      </w:r>
      <w:r>
        <w:rPr>
          <w:rFonts w:ascii="Times New Roman" w:hAnsi="Times New Roman"/>
        </w:rPr>
        <w:t xml:space="preserve">, scientific or professional member organizations, </w:t>
      </w:r>
      <w:r w:rsidR="00623557">
        <w:rPr>
          <w:rFonts w:ascii="Times New Roman" w:hAnsi="Times New Roman"/>
        </w:rPr>
        <w:t xml:space="preserve">and </w:t>
      </w:r>
      <w:r>
        <w:rPr>
          <w:rFonts w:ascii="Times New Roman" w:hAnsi="Times New Roman"/>
        </w:rPr>
        <w:t>research and academic institutions</w:t>
      </w:r>
      <w:r>
        <w:rPr>
          <w:rStyle w:val="af"/>
          <w:rFonts w:ascii="Times New Roman" w:hAnsi="Times New Roman"/>
        </w:rPr>
        <w:footnoteReference w:id="72"/>
      </w:r>
      <w:r>
        <w:rPr>
          <w:rFonts w:ascii="Times New Roman" w:hAnsi="Times New Roman"/>
        </w:rPr>
        <w:t xml:space="preserve">. Representative examples are examined in detail in Annex II. </w:t>
      </w:r>
    </w:p>
    <w:p w:rsidR="0080559A" w:rsidRDefault="0080559A" w:rsidP="00EA1AA4">
      <w:pPr>
        <w:spacing w:before="120" w:after="120"/>
        <w:jc w:val="both"/>
        <w:rPr>
          <w:rFonts w:ascii="Times New Roman" w:hAnsi="Times New Roman"/>
          <w:lang w:eastAsia="fr-CH"/>
        </w:rPr>
      </w:pPr>
      <w:r>
        <w:rPr>
          <w:rFonts w:ascii="Times New Roman" w:hAnsi="Times New Roman"/>
        </w:rPr>
        <w:t>In addition, note that government departments may release guidelines or explanatory documents that serve as default implementation tools inasmuch as they assist users and others to undertake their activities consistent with national ABS legislative, policy and administrative measures that implement the  Convention and/or the Nagoya Protocol in that jurisdiction</w:t>
      </w:r>
      <w:r>
        <w:rPr>
          <w:rStyle w:val="af"/>
          <w:rFonts w:ascii="Times New Roman" w:hAnsi="Times New Roman"/>
        </w:rPr>
        <w:footnoteReference w:id="73"/>
      </w:r>
      <w:r>
        <w:rPr>
          <w:rFonts w:ascii="Times New Roman" w:hAnsi="Times New Roman"/>
        </w:rPr>
        <w:t xml:space="preserve">. </w:t>
      </w:r>
      <w:bookmarkStart w:id="1" w:name="Botanicgardens"/>
      <w:bookmarkStart w:id="2" w:name="Microorganismsculturecollections"/>
      <w:bookmarkStart w:id="3" w:name="Academicresearchcommunity"/>
      <w:bookmarkStart w:id="4" w:name="Professionalsocietiesororganizations"/>
      <w:bookmarkStart w:id="5" w:name="Privatesector"/>
      <w:bookmarkEnd w:id="1"/>
      <w:bookmarkEnd w:id="2"/>
      <w:bookmarkEnd w:id="3"/>
      <w:bookmarkEnd w:id="4"/>
      <w:bookmarkEnd w:id="5"/>
      <w:r w:rsidRPr="00855ABE">
        <w:rPr>
          <w:rFonts w:ascii="Times New Roman" w:hAnsi="Times New Roman"/>
        </w:rPr>
        <w:t>A number o</w:t>
      </w:r>
      <w:r w:rsidRPr="00F77DF2">
        <w:rPr>
          <w:rFonts w:ascii="Times New Roman" w:hAnsi="Times New Roman"/>
        </w:rPr>
        <w:t xml:space="preserve">f </w:t>
      </w:r>
      <w:r w:rsidR="00623557">
        <w:rPr>
          <w:rFonts w:ascii="Times New Roman" w:hAnsi="Times New Roman"/>
        </w:rPr>
        <w:t xml:space="preserve">Article 20 </w:t>
      </w:r>
      <w:r>
        <w:rPr>
          <w:rFonts w:ascii="Times New Roman" w:hAnsi="Times New Roman"/>
        </w:rPr>
        <w:t>tools have been revised to take into account the Nagoya Protocol, such as the Ethical Bio-Trade Standard</w:t>
      </w:r>
      <w:r>
        <w:rPr>
          <w:rStyle w:val="af"/>
          <w:rFonts w:ascii="Times New Roman" w:hAnsi="Times New Roman"/>
        </w:rPr>
        <w:footnoteReference w:id="74"/>
      </w:r>
      <w:r>
        <w:rPr>
          <w:rFonts w:ascii="Times New Roman" w:hAnsi="Times New Roman"/>
        </w:rPr>
        <w:t>, the ABS Management Tool</w:t>
      </w:r>
      <w:r>
        <w:rPr>
          <w:rStyle w:val="af"/>
          <w:rFonts w:ascii="Times New Roman" w:hAnsi="Times New Roman"/>
        </w:rPr>
        <w:footnoteReference w:id="75"/>
      </w:r>
      <w:r>
        <w:rPr>
          <w:rFonts w:ascii="Times New Roman" w:hAnsi="Times New Roman"/>
        </w:rPr>
        <w:t xml:space="preserve"> and the IFPMA Guidelines</w:t>
      </w:r>
      <w:r>
        <w:rPr>
          <w:rStyle w:val="af"/>
          <w:rFonts w:ascii="Times New Roman" w:hAnsi="Times New Roman"/>
        </w:rPr>
        <w:footnoteReference w:id="76"/>
      </w:r>
      <w:r>
        <w:rPr>
          <w:rFonts w:ascii="Times New Roman" w:hAnsi="Times New Roman"/>
        </w:rPr>
        <w:t xml:space="preserve">, while others pre-date </w:t>
      </w:r>
      <w:r w:rsidRPr="0082488F">
        <w:rPr>
          <w:rFonts w:ascii="Times New Roman" w:hAnsi="Times New Roman"/>
        </w:rPr>
        <w:t>the Protocol</w:t>
      </w:r>
      <w:r>
        <w:rPr>
          <w:rStyle w:val="af"/>
          <w:rFonts w:ascii="Times New Roman" w:hAnsi="Times New Roman"/>
        </w:rPr>
        <w:footnoteReference w:id="77"/>
      </w:r>
      <w:r w:rsidRPr="0082488F">
        <w:rPr>
          <w:rFonts w:ascii="Times New Roman" w:hAnsi="Times New Roman"/>
        </w:rPr>
        <w:t>.</w:t>
      </w:r>
      <w:r>
        <w:rPr>
          <w:rFonts w:ascii="Times New Roman" w:hAnsi="Times New Roman"/>
        </w:rPr>
        <w:t xml:space="preserve"> Where tools have been updated in light of the Protocol they tend to incorporate direct references to the background, history and objectives of the Protocol, and incorporate the language and concepts introduced in the Protocol as appropriate to the scope and focus of the particular tool in question. In some cases, such as the ABS Management Tool, this has resulted in substantial revision</w:t>
      </w:r>
      <w:r>
        <w:rPr>
          <w:rStyle w:val="af"/>
          <w:rFonts w:ascii="Times New Roman" w:hAnsi="Times New Roman"/>
        </w:rPr>
        <w:footnoteReference w:id="78"/>
      </w:r>
      <w:r>
        <w:rPr>
          <w:rFonts w:ascii="Times New Roman" w:hAnsi="Times New Roman"/>
        </w:rPr>
        <w:t>. As Article 20 tools tend to be quite broad in focus and provide a general background on the source of international</w:t>
      </w:r>
      <w:r w:rsidR="00180E6C">
        <w:rPr>
          <w:rFonts w:ascii="Times New Roman" w:hAnsi="Times New Roman"/>
        </w:rPr>
        <w:t xml:space="preserve"> ABS </w:t>
      </w:r>
      <w:r>
        <w:rPr>
          <w:rFonts w:ascii="Times New Roman" w:hAnsi="Times New Roman"/>
        </w:rPr>
        <w:t>obligations, the revision of tools in light of the Protocol is likely to result in substantive additions to such tools, particularly around issues on which the Protocol provided significantly further definition such as its provisions on traditional knowledge, as described in relation to model contractual clauses above.</w:t>
      </w:r>
    </w:p>
    <w:p w:rsidR="0080559A" w:rsidRPr="00855ABE" w:rsidRDefault="0080559A" w:rsidP="00EA1AA4">
      <w:pPr>
        <w:spacing w:before="120" w:after="120"/>
        <w:jc w:val="both"/>
        <w:rPr>
          <w:rFonts w:ascii="Times New Roman" w:hAnsi="Times New Roman"/>
        </w:rPr>
      </w:pPr>
      <w:r>
        <w:rPr>
          <w:rFonts w:ascii="Times New Roman" w:hAnsi="Times New Roman"/>
          <w:lang w:eastAsia="fr-CH"/>
        </w:rPr>
        <w:t>Note also the relevance to and overlap with Article 20 of tools supporting implementation of access</w:t>
      </w:r>
      <w:r w:rsidR="004F69C4">
        <w:rPr>
          <w:rFonts w:ascii="Times New Roman" w:hAnsi="Times New Roman"/>
          <w:lang w:eastAsia="fr-CH"/>
        </w:rPr>
        <w:t xml:space="preserve"> to</w:t>
      </w:r>
      <w:r>
        <w:rPr>
          <w:rFonts w:ascii="Times New Roman" w:hAnsi="Times New Roman"/>
          <w:lang w:eastAsia="fr-CH"/>
        </w:rPr>
        <w:t xml:space="preserve"> and benefit-sharing </w:t>
      </w:r>
      <w:r w:rsidR="004F69C4">
        <w:rPr>
          <w:rFonts w:ascii="Times New Roman" w:hAnsi="Times New Roman"/>
          <w:lang w:eastAsia="fr-CH"/>
        </w:rPr>
        <w:t xml:space="preserve">from traditional knowledge </w:t>
      </w:r>
      <w:r>
        <w:rPr>
          <w:rFonts w:ascii="Times New Roman" w:hAnsi="Times New Roman"/>
          <w:lang w:eastAsia="fr-CH"/>
        </w:rPr>
        <w:t>consistent with the provisions of the Convention and the Protocol.</w:t>
      </w:r>
      <w:r>
        <w:rPr>
          <w:rStyle w:val="af"/>
          <w:rFonts w:ascii="Times New Roman" w:hAnsi="Times New Roman"/>
          <w:lang w:eastAsia="fr-CH"/>
        </w:rPr>
        <w:footnoteReference w:id="79"/>
      </w:r>
      <w:r>
        <w:rPr>
          <w:rFonts w:ascii="Times New Roman" w:hAnsi="Times New Roman"/>
          <w:lang w:eastAsia="fr-CH"/>
        </w:rPr>
        <w:t xml:space="preserve"> While most often not focused solely on </w:t>
      </w:r>
      <w:r w:rsidR="00180E6C">
        <w:rPr>
          <w:rFonts w:ascii="Times New Roman" w:hAnsi="Times New Roman"/>
          <w:lang w:eastAsia="fr-CH"/>
        </w:rPr>
        <w:t>ABS</w:t>
      </w:r>
      <w:r>
        <w:rPr>
          <w:rFonts w:ascii="Times New Roman" w:hAnsi="Times New Roman"/>
          <w:lang w:eastAsia="fr-CH"/>
        </w:rPr>
        <w:t xml:space="preserve">, these complement Article 20 tools by providing guidance to users and providers of genetic resources on specific issues relating to </w:t>
      </w:r>
      <w:r w:rsidR="00180E6C">
        <w:rPr>
          <w:rFonts w:ascii="Times New Roman" w:hAnsi="Times New Roman"/>
          <w:lang w:eastAsia="fr-CH"/>
        </w:rPr>
        <w:t xml:space="preserve">ABS </w:t>
      </w:r>
      <w:r>
        <w:rPr>
          <w:rFonts w:ascii="Times New Roman" w:hAnsi="Times New Roman"/>
          <w:lang w:eastAsia="fr-CH"/>
        </w:rPr>
        <w:t>when it concerns the traditional knowledge, innovations and practices of indigenous and local communities.  For example, such tools may assist those seeking access to the traditional knowledge, innovations and practices of indigenous and local communities to understand what constitutes ethical behavior in the process of seeking consent, conducting research and negotiating benefit-sharing agreements with indigenous and local communities.</w:t>
      </w:r>
      <w:r w:rsidRPr="00B223EE">
        <w:rPr>
          <w:rFonts w:ascii="Times New Roman" w:hAnsi="Times New Roman"/>
        </w:rPr>
        <w:t xml:space="preserve"> </w:t>
      </w:r>
      <w:r>
        <w:rPr>
          <w:rFonts w:ascii="Times New Roman" w:hAnsi="Times New Roman"/>
        </w:rPr>
        <w:t xml:space="preserve">Community protocols developed by indigenous and local communities for their own </w:t>
      </w:r>
      <w:r>
        <w:rPr>
          <w:rFonts w:ascii="Times New Roman" w:hAnsi="Times New Roman"/>
        </w:rPr>
        <w:lastRenderedPageBreak/>
        <w:t xml:space="preserve">use may play a role in assisting communities to understand and assert their rights and interests during </w:t>
      </w:r>
      <w:r w:rsidR="00180E6C">
        <w:rPr>
          <w:rFonts w:ascii="Times New Roman" w:hAnsi="Times New Roman"/>
        </w:rPr>
        <w:t>ABS</w:t>
      </w:r>
      <w:r>
        <w:rPr>
          <w:rFonts w:ascii="Times New Roman" w:hAnsi="Times New Roman"/>
        </w:rPr>
        <w:t xml:space="preserve"> negotiations, and to communicate their expectations and processes to those seeking access</w:t>
      </w:r>
      <w:r>
        <w:rPr>
          <w:rStyle w:val="af"/>
          <w:rFonts w:ascii="Times New Roman" w:hAnsi="Times New Roman"/>
        </w:rPr>
        <w:footnoteReference w:id="80"/>
      </w:r>
      <w:r>
        <w:rPr>
          <w:rFonts w:ascii="Times New Roman" w:hAnsi="Times New Roman"/>
        </w:rPr>
        <w:t xml:space="preserve">. </w:t>
      </w:r>
      <w:r>
        <w:rPr>
          <w:rFonts w:ascii="Times New Roman" w:hAnsi="Times New Roman"/>
          <w:lang w:eastAsia="fr-CH"/>
        </w:rPr>
        <w:t xml:space="preserve">Examples of such tools include those adopted multilaterally such as the </w:t>
      </w:r>
      <w:proofErr w:type="spellStart"/>
      <w:r w:rsidRPr="00EA1AA4">
        <w:rPr>
          <w:rFonts w:ascii="Times New Roman" w:hAnsi="Times New Roman"/>
          <w:iCs/>
          <w:lang w:eastAsia="fr-CH"/>
        </w:rPr>
        <w:t>Tkarihwaié</w:t>
      </w:r>
      <w:proofErr w:type="gramStart"/>
      <w:r w:rsidRPr="00EA1AA4">
        <w:rPr>
          <w:rFonts w:ascii="Times New Roman" w:hAnsi="Times New Roman"/>
          <w:iCs/>
          <w:lang w:eastAsia="fr-CH"/>
        </w:rPr>
        <w:t>:ri</w:t>
      </w:r>
      <w:proofErr w:type="spellEnd"/>
      <w:proofErr w:type="gramEnd"/>
      <w:r w:rsidRPr="00EA1AA4">
        <w:rPr>
          <w:rFonts w:ascii="Times New Roman" w:hAnsi="Times New Roman"/>
          <w:iCs/>
          <w:lang w:eastAsia="fr-CH"/>
        </w:rPr>
        <w:t xml:space="preserve"> Code </w:t>
      </w:r>
      <w:r w:rsidRPr="00EA1AA4">
        <w:rPr>
          <w:rFonts w:ascii="Times New Roman" w:hAnsi="Times New Roman"/>
          <w:lang w:eastAsia="fr-CH"/>
        </w:rPr>
        <w:t>of Ethical Conduct</w:t>
      </w:r>
      <w:r w:rsidR="00623557">
        <w:rPr>
          <w:rFonts w:ascii="Times New Roman" w:hAnsi="Times New Roman"/>
          <w:lang w:eastAsia="fr-CH"/>
        </w:rPr>
        <w:t xml:space="preserve"> to Ensure</w:t>
      </w:r>
      <w:r w:rsidR="00623557" w:rsidRPr="00623557">
        <w:rPr>
          <w:rFonts w:ascii="Times New Roman" w:hAnsi="Times New Roman"/>
          <w:lang w:eastAsia="fr-CH"/>
        </w:rPr>
        <w:t xml:space="preserve"> Respect for the Cultural and Intellectual Heritage of Indigenous and Local Communities Relevant to the Conservation and Sustainable Use of Biodiversity</w:t>
      </w:r>
      <w:r>
        <w:rPr>
          <w:rStyle w:val="af"/>
          <w:rFonts w:ascii="Times New Roman" w:hAnsi="Times New Roman"/>
          <w:lang w:eastAsia="fr-CH"/>
        </w:rPr>
        <w:footnoteReference w:id="81"/>
      </w:r>
      <w:r>
        <w:rPr>
          <w:rFonts w:ascii="Times New Roman" w:hAnsi="Times New Roman"/>
          <w:lang w:eastAsia="fr-CH"/>
        </w:rPr>
        <w:t xml:space="preserve">, </w:t>
      </w:r>
      <w:r w:rsidRPr="00EA1AA4">
        <w:rPr>
          <w:rFonts w:ascii="Times New Roman" w:hAnsi="Times New Roman"/>
          <w:lang w:eastAsia="fr-CH"/>
        </w:rPr>
        <w:t>community protocols</w:t>
      </w:r>
      <w:r w:rsidRPr="00855ABE">
        <w:rPr>
          <w:rFonts w:ascii="Times New Roman" w:hAnsi="Times New Roman"/>
          <w:lang w:eastAsia="fr-CH"/>
        </w:rPr>
        <w:t>,</w:t>
      </w:r>
      <w:r w:rsidRPr="00EA1AA4">
        <w:rPr>
          <w:rFonts w:ascii="Times New Roman" w:hAnsi="Times New Roman"/>
          <w:lang w:eastAsia="fr-CH"/>
        </w:rPr>
        <w:t xml:space="preserve"> and standards </w:t>
      </w:r>
      <w:r>
        <w:rPr>
          <w:rFonts w:ascii="Times New Roman" w:hAnsi="Times New Roman"/>
          <w:lang w:eastAsia="fr-CH"/>
        </w:rPr>
        <w:t xml:space="preserve">or other tools used </w:t>
      </w:r>
      <w:r w:rsidRPr="00EA1AA4">
        <w:rPr>
          <w:rFonts w:ascii="Times New Roman" w:hAnsi="Times New Roman"/>
          <w:lang w:eastAsia="fr-CH"/>
        </w:rPr>
        <w:t xml:space="preserve">in </w:t>
      </w:r>
      <w:r>
        <w:rPr>
          <w:rFonts w:ascii="Times New Roman" w:hAnsi="Times New Roman"/>
          <w:lang w:eastAsia="fr-CH"/>
        </w:rPr>
        <w:t>various professional fields, such as the Society for Applied Anthropology’s statement of Ethical and Professional Responsibilities</w:t>
      </w:r>
      <w:r>
        <w:rPr>
          <w:rStyle w:val="af"/>
          <w:rFonts w:ascii="Times New Roman" w:hAnsi="Times New Roman"/>
          <w:lang w:eastAsia="fr-CH"/>
        </w:rPr>
        <w:footnoteReference w:id="82"/>
      </w:r>
      <w:r>
        <w:rPr>
          <w:rFonts w:ascii="Times New Roman" w:hAnsi="Times New Roman"/>
          <w:lang w:eastAsia="fr-CH"/>
        </w:rPr>
        <w:t xml:space="preserve">.  </w:t>
      </w:r>
    </w:p>
    <w:p w:rsidR="0080559A" w:rsidRDefault="0080559A" w:rsidP="003155EB">
      <w:pPr>
        <w:spacing w:before="120" w:after="120"/>
        <w:jc w:val="both"/>
        <w:rPr>
          <w:rFonts w:ascii="Times New Roman" w:hAnsi="Times New Roman"/>
        </w:rPr>
      </w:pPr>
      <w:r>
        <w:rPr>
          <w:rFonts w:ascii="Times New Roman" w:hAnsi="Times New Roman"/>
        </w:rPr>
        <w:t xml:space="preserve">Whether they take the form of codes of conduct, guidelines, best practices or standards, Article 20 tools have in common that they support and provide specific guidance to users and providers seeking to develop and implement ABS arrangements. In the case of tools such as the Ethical </w:t>
      </w:r>
      <w:proofErr w:type="spellStart"/>
      <w:r>
        <w:rPr>
          <w:rFonts w:ascii="Times New Roman" w:hAnsi="Times New Roman"/>
        </w:rPr>
        <w:t>Bio</w:t>
      </w:r>
      <w:r w:rsidR="00925E70">
        <w:rPr>
          <w:rFonts w:ascii="Times New Roman" w:hAnsi="Times New Roman"/>
        </w:rPr>
        <w:t>T</w:t>
      </w:r>
      <w:r>
        <w:rPr>
          <w:rFonts w:ascii="Times New Roman" w:hAnsi="Times New Roman"/>
        </w:rPr>
        <w:t>rade</w:t>
      </w:r>
      <w:proofErr w:type="spellEnd"/>
      <w:r>
        <w:rPr>
          <w:rFonts w:ascii="Times New Roman" w:hAnsi="Times New Roman"/>
        </w:rPr>
        <w:t xml:space="preserve"> Standard, these tools may have added significance in that member organizations undertake to adhere to them</w:t>
      </w:r>
      <w:r>
        <w:rPr>
          <w:rStyle w:val="af"/>
          <w:rFonts w:ascii="Times New Roman" w:hAnsi="Times New Roman"/>
        </w:rPr>
        <w:footnoteReference w:id="83"/>
      </w:r>
      <w:r>
        <w:rPr>
          <w:rFonts w:ascii="Times New Roman" w:hAnsi="Times New Roman"/>
        </w:rPr>
        <w:t xml:space="preserve">, and may choose to market their products on that basis. Article 20 or other tools that support implementation of </w:t>
      </w:r>
      <w:r>
        <w:rPr>
          <w:rFonts w:ascii="Times New Roman" w:hAnsi="Times New Roman"/>
          <w:lang w:eastAsia="fr-CH"/>
        </w:rPr>
        <w:t xml:space="preserve">the provisions of the Convention and the Protocol dealing with traditional knowledge </w:t>
      </w:r>
      <w:r>
        <w:rPr>
          <w:rFonts w:ascii="Times New Roman" w:hAnsi="Times New Roman"/>
        </w:rPr>
        <w:t>may also be referenced in contractual agreements, and so become part of contractual terms</w:t>
      </w:r>
      <w:r>
        <w:rPr>
          <w:rStyle w:val="af"/>
          <w:rFonts w:ascii="Times New Roman" w:hAnsi="Times New Roman"/>
        </w:rPr>
        <w:footnoteReference w:id="84"/>
      </w:r>
      <w:r>
        <w:rPr>
          <w:rFonts w:ascii="Times New Roman" w:hAnsi="Times New Roman"/>
        </w:rPr>
        <w:t>. Adherence to Article 20 tools may also have other implications – for example, they may form a condition of the receipt of research funding</w:t>
      </w:r>
      <w:r w:rsidR="007E1010">
        <w:rPr>
          <w:rFonts w:ascii="Times New Roman" w:hAnsi="Times New Roman"/>
        </w:rPr>
        <w:t xml:space="preserve"> for non-commercial research</w:t>
      </w:r>
      <w:r>
        <w:rPr>
          <w:rFonts w:ascii="Times New Roman" w:hAnsi="Times New Roman"/>
        </w:rPr>
        <w:t>, as in the case of the German Research Foundation Guidelines</w:t>
      </w:r>
      <w:r>
        <w:rPr>
          <w:rStyle w:val="af"/>
          <w:rFonts w:ascii="Times New Roman" w:hAnsi="Times New Roman"/>
        </w:rPr>
        <w:footnoteReference w:id="85"/>
      </w:r>
      <w:r>
        <w:rPr>
          <w:rFonts w:ascii="Times New Roman" w:hAnsi="Times New Roman"/>
        </w:rPr>
        <w:t xml:space="preserve">. </w:t>
      </w:r>
    </w:p>
    <w:p w:rsidR="0080559A" w:rsidRDefault="0080559A" w:rsidP="003155EB">
      <w:pPr>
        <w:spacing w:before="120" w:after="120"/>
        <w:jc w:val="both"/>
        <w:rPr>
          <w:rFonts w:ascii="Times New Roman" w:hAnsi="Times New Roman"/>
        </w:rPr>
      </w:pPr>
      <w:r>
        <w:rPr>
          <w:rFonts w:ascii="Times New Roman" w:hAnsi="Times New Roman"/>
        </w:rPr>
        <w:t xml:space="preserve">Article 20 tools </w:t>
      </w:r>
      <w:r w:rsidR="00073813">
        <w:rPr>
          <w:rFonts w:ascii="Times New Roman" w:hAnsi="Times New Roman"/>
        </w:rPr>
        <w:t>may be intended to</w:t>
      </w:r>
      <w:r w:rsidR="008115B2">
        <w:rPr>
          <w:rFonts w:ascii="Times New Roman" w:hAnsi="Times New Roman"/>
        </w:rPr>
        <w:t xml:space="preserve"> </w:t>
      </w:r>
      <w:r>
        <w:rPr>
          <w:rFonts w:ascii="Times New Roman" w:hAnsi="Times New Roman"/>
        </w:rPr>
        <w:t xml:space="preserve">support compliance with national ABS legislative, policy and administrative measures, and may also be designed to support ABS agreements consistent with the Convention and the Nagoya Protocol where no such measures have been developed but where parties to an </w:t>
      </w:r>
      <w:r w:rsidR="00B21C92">
        <w:rPr>
          <w:rFonts w:ascii="Times New Roman" w:hAnsi="Times New Roman"/>
        </w:rPr>
        <w:t>ABS</w:t>
      </w:r>
      <w:r>
        <w:rPr>
          <w:rFonts w:ascii="Times New Roman" w:hAnsi="Times New Roman"/>
        </w:rPr>
        <w:t xml:space="preserve"> agreement want to be confident that they are respecting established international principles</w:t>
      </w:r>
      <w:r>
        <w:rPr>
          <w:rStyle w:val="af"/>
          <w:rFonts w:ascii="Times New Roman" w:hAnsi="Times New Roman"/>
        </w:rPr>
        <w:footnoteReference w:id="86"/>
      </w:r>
      <w:r>
        <w:rPr>
          <w:rFonts w:ascii="Times New Roman" w:hAnsi="Times New Roman"/>
        </w:rPr>
        <w:t>. This extends not only to those principles established in the CBD and the Nagoya Protocol, but to other relevant international principles, such as those reflected in the United Nations Declaration on the Rights of Indigenous Peoples</w:t>
      </w:r>
      <w:r>
        <w:rPr>
          <w:rStyle w:val="af"/>
          <w:rFonts w:ascii="Times New Roman" w:hAnsi="Times New Roman"/>
        </w:rPr>
        <w:footnoteReference w:id="87"/>
      </w:r>
      <w:r>
        <w:rPr>
          <w:rFonts w:ascii="Times New Roman" w:hAnsi="Times New Roman"/>
        </w:rPr>
        <w:t>. As discussed in relation to Article 19, certain Article 20 tools are accompanied by model agreements that demonstrate how the principles outlined in the Article 20 tool might be practically implemented.</w:t>
      </w:r>
    </w:p>
    <w:p w:rsidR="0080559A" w:rsidRDefault="0080559A" w:rsidP="003155EB">
      <w:pPr>
        <w:spacing w:before="120" w:after="120"/>
        <w:jc w:val="both"/>
        <w:rPr>
          <w:rFonts w:ascii="Times New Roman" w:hAnsi="Times New Roman"/>
        </w:rPr>
      </w:pPr>
      <w:r w:rsidRPr="00C02BA3">
        <w:rPr>
          <w:rFonts w:ascii="Times New Roman" w:hAnsi="Times New Roman"/>
        </w:rPr>
        <w:t>The tools available take various forms</w:t>
      </w:r>
      <w:r>
        <w:rPr>
          <w:rFonts w:ascii="Times New Roman" w:hAnsi="Times New Roman"/>
        </w:rPr>
        <w:t xml:space="preserve"> and structures</w:t>
      </w:r>
      <w:r w:rsidRPr="00C02BA3">
        <w:rPr>
          <w:rFonts w:ascii="Times New Roman" w:hAnsi="Times New Roman"/>
        </w:rPr>
        <w:t>, although the</w:t>
      </w:r>
      <w:r>
        <w:rPr>
          <w:rFonts w:ascii="Times New Roman" w:hAnsi="Times New Roman"/>
        </w:rPr>
        <w:t>re are significant substantive</w:t>
      </w:r>
      <w:r w:rsidRPr="00C02BA3">
        <w:rPr>
          <w:rFonts w:ascii="Times New Roman" w:hAnsi="Times New Roman"/>
        </w:rPr>
        <w:t xml:space="preserve"> </w:t>
      </w:r>
      <w:r>
        <w:rPr>
          <w:rFonts w:ascii="Times New Roman" w:hAnsi="Times New Roman"/>
        </w:rPr>
        <w:t xml:space="preserve">similarities </w:t>
      </w:r>
      <w:r w:rsidRPr="00C02BA3">
        <w:rPr>
          <w:rFonts w:ascii="Times New Roman" w:hAnsi="Times New Roman"/>
        </w:rPr>
        <w:t xml:space="preserve">across the different tools. </w:t>
      </w:r>
      <w:r>
        <w:rPr>
          <w:rFonts w:ascii="Times New Roman" w:hAnsi="Times New Roman"/>
        </w:rPr>
        <w:t xml:space="preserve">The main difference tends to be one of emphasis, and that tends to </w:t>
      </w:r>
      <w:r>
        <w:rPr>
          <w:rFonts w:ascii="Times New Roman" w:hAnsi="Times New Roman"/>
        </w:rPr>
        <w:lastRenderedPageBreak/>
        <w:t xml:space="preserve">be informed by the needs of the stakeholder who will be using the tool and the context and sector in which it will be applied. </w:t>
      </w:r>
    </w:p>
    <w:p w:rsidR="0080559A" w:rsidRPr="00C02BA3" w:rsidRDefault="0080559A" w:rsidP="00A86195">
      <w:pPr>
        <w:spacing w:before="120" w:after="120"/>
        <w:jc w:val="both"/>
        <w:rPr>
          <w:rFonts w:ascii="Times New Roman" w:hAnsi="Times New Roman"/>
        </w:rPr>
      </w:pPr>
      <w:r>
        <w:rPr>
          <w:rFonts w:ascii="Times New Roman" w:hAnsi="Times New Roman"/>
        </w:rPr>
        <w:t>With these differences in mind, and d</w:t>
      </w:r>
      <w:r w:rsidRPr="00C02BA3">
        <w:rPr>
          <w:rFonts w:ascii="Times New Roman" w:hAnsi="Times New Roman"/>
        </w:rPr>
        <w:t xml:space="preserve">epending on context, </w:t>
      </w:r>
      <w:r>
        <w:rPr>
          <w:rFonts w:ascii="Times New Roman" w:hAnsi="Times New Roman"/>
        </w:rPr>
        <w:t>Article 20 tools may provide content including</w:t>
      </w:r>
      <w:r w:rsidRPr="00C02BA3">
        <w:rPr>
          <w:rFonts w:ascii="Times New Roman" w:hAnsi="Times New Roman"/>
        </w:rPr>
        <w:t xml:space="preserve">: </w:t>
      </w:r>
    </w:p>
    <w:p w:rsidR="0080559A" w:rsidRDefault="0080559A" w:rsidP="00A86195">
      <w:pPr>
        <w:pStyle w:val="a3"/>
        <w:numPr>
          <w:ilvl w:val="0"/>
          <w:numId w:val="26"/>
        </w:numPr>
        <w:spacing w:before="120" w:after="120"/>
        <w:jc w:val="both"/>
        <w:rPr>
          <w:rFonts w:ascii="Times New Roman" w:hAnsi="Times New Roman"/>
          <w:lang w:eastAsia="fr-CH"/>
        </w:rPr>
      </w:pPr>
      <w:r w:rsidRPr="00000BF8">
        <w:rPr>
          <w:rFonts w:ascii="Times New Roman" w:hAnsi="Times New Roman"/>
          <w:lang w:eastAsia="fr-CH"/>
        </w:rPr>
        <w:t xml:space="preserve">Summaries of the goals and principles of the Convention and </w:t>
      </w:r>
      <w:r>
        <w:rPr>
          <w:rFonts w:ascii="Times New Roman" w:hAnsi="Times New Roman"/>
          <w:lang w:eastAsia="fr-CH"/>
        </w:rPr>
        <w:t xml:space="preserve">the Nagoya </w:t>
      </w:r>
      <w:r w:rsidRPr="00000BF8">
        <w:rPr>
          <w:rFonts w:ascii="Times New Roman" w:hAnsi="Times New Roman"/>
          <w:lang w:eastAsia="fr-CH"/>
        </w:rPr>
        <w:t>Protocol</w:t>
      </w:r>
      <w:r>
        <w:rPr>
          <w:rFonts w:ascii="Times New Roman" w:hAnsi="Times New Roman"/>
          <w:lang w:eastAsia="fr-CH"/>
        </w:rPr>
        <w:t>, and, in some cases, other relevant instruments.</w:t>
      </w:r>
    </w:p>
    <w:p w:rsidR="0080559A" w:rsidRDefault="0080559A" w:rsidP="00A86195">
      <w:pPr>
        <w:pStyle w:val="a3"/>
        <w:numPr>
          <w:ilvl w:val="0"/>
          <w:numId w:val="26"/>
        </w:numPr>
        <w:spacing w:before="120" w:after="120"/>
        <w:jc w:val="both"/>
        <w:rPr>
          <w:rFonts w:ascii="Times New Roman" w:hAnsi="Times New Roman"/>
          <w:lang w:eastAsia="fr-CH"/>
        </w:rPr>
      </w:pPr>
      <w:r>
        <w:rPr>
          <w:rFonts w:ascii="Times New Roman" w:hAnsi="Times New Roman"/>
          <w:lang w:eastAsia="fr-CH"/>
        </w:rPr>
        <w:t xml:space="preserve">Background on the history and development of </w:t>
      </w:r>
      <w:r w:rsidR="00B21C92">
        <w:rPr>
          <w:rFonts w:ascii="Times New Roman" w:hAnsi="Times New Roman"/>
          <w:lang w:eastAsia="fr-CH"/>
        </w:rPr>
        <w:t>ABS</w:t>
      </w:r>
      <w:r>
        <w:rPr>
          <w:rFonts w:ascii="Times New Roman" w:hAnsi="Times New Roman"/>
          <w:lang w:eastAsia="fr-CH"/>
        </w:rPr>
        <w:t xml:space="preserve"> agreements, and research practice involving access and benefit-sharing across sectors.</w:t>
      </w:r>
    </w:p>
    <w:p w:rsidR="0080559A" w:rsidRPr="008E6B39" w:rsidRDefault="0080559A" w:rsidP="00A86195">
      <w:pPr>
        <w:pStyle w:val="a3"/>
        <w:numPr>
          <w:ilvl w:val="0"/>
          <w:numId w:val="26"/>
        </w:numPr>
        <w:spacing w:before="120" w:after="120"/>
        <w:jc w:val="both"/>
        <w:rPr>
          <w:rFonts w:ascii="Times New Roman" w:hAnsi="Times New Roman"/>
          <w:lang w:eastAsia="fr-CH"/>
        </w:rPr>
      </w:pPr>
      <w:r>
        <w:rPr>
          <w:rFonts w:ascii="Times New Roman" w:hAnsi="Times New Roman"/>
          <w:lang w:eastAsia="fr-CH"/>
        </w:rPr>
        <w:t xml:space="preserve">Guidance on appropriate conduct, </w:t>
      </w:r>
      <w:r w:rsidRPr="008E6B39">
        <w:rPr>
          <w:rFonts w:ascii="Times New Roman" w:hAnsi="Times New Roman"/>
          <w:lang w:eastAsia="fr-CH"/>
        </w:rPr>
        <w:t>including behavioral and ethical guidelines</w:t>
      </w:r>
      <w:r>
        <w:rPr>
          <w:rFonts w:ascii="Times New Roman" w:hAnsi="Times New Roman"/>
          <w:lang w:eastAsia="fr-CH"/>
        </w:rPr>
        <w:t>,</w:t>
      </w:r>
      <w:r w:rsidRPr="008E6B39">
        <w:rPr>
          <w:rFonts w:ascii="Times New Roman" w:hAnsi="Times New Roman"/>
          <w:lang w:eastAsia="fr-CH"/>
        </w:rPr>
        <w:t xml:space="preserve"> </w:t>
      </w:r>
      <w:r>
        <w:rPr>
          <w:rFonts w:ascii="Times New Roman" w:hAnsi="Times New Roman"/>
          <w:lang w:eastAsia="fr-CH"/>
        </w:rPr>
        <w:t>such as</w:t>
      </w:r>
      <w:r w:rsidRPr="008E6B39">
        <w:rPr>
          <w:rFonts w:ascii="Times New Roman" w:hAnsi="Times New Roman"/>
          <w:lang w:eastAsia="fr-CH"/>
        </w:rPr>
        <w:t xml:space="preserve"> in seeking </w:t>
      </w:r>
      <w:r w:rsidR="00B21C92">
        <w:rPr>
          <w:rFonts w:ascii="Times New Roman" w:hAnsi="Times New Roman"/>
          <w:lang w:eastAsia="fr-CH"/>
        </w:rPr>
        <w:t>PIC</w:t>
      </w:r>
      <w:r w:rsidRPr="008E6B39">
        <w:rPr>
          <w:rFonts w:ascii="Times New Roman" w:hAnsi="Times New Roman"/>
          <w:lang w:eastAsia="fr-CH"/>
        </w:rPr>
        <w:t xml:space="preserve"> from local and indigenous communities and in liaising </w:t>
      </w:r>
      <w:r w:rsidRPr="00547844">
        <w:rPr>
          <w:rFonts w:ascii="Times New Roman" w:hAnsi="Times New Roman"/>
          <w:color w:val="000000"/>
          <w:lang w:eastAsia="fr-CH"/>
        </w:rPr>
        <w:t xml:space="preserve">with national </w:t>
      </w:r>
      <w:r w:rsidRPr="008E6B39">
        <w:rPr>
          <w:rFonts w:ascii="Times New Roman" w:hAnsi="Times New Roman"/>
          <w:lang w:eastAsia="fr-CH"/>
        </w:rPr>
        <w:t>focal points.</w:t>
      </w:r>
    </w:p>
    <w:p w:rsidR="0080559A" w:rsidRDefault="0080559A" w:rsidP="00A86195">
      <w:pPr>
        <w:pStyle w:val="a3"/>
        <w:numPr>
          <w:ilvl w:val="0"/>
          <w:numId w:val="26"/>
        </w:numPr>
        <w:spacing w:before="120" w:after="120"/>
        <w:jc w:val="both"/>
        <w:rPr>
          <w:rFonts w:ascii="Times New Roman" w:hAnsi="Times New Roman"/>
          <w:lang w:eastAsia="fr-CH"/>
        </w:rPr>
      </w:pPr>
      <w:r w:rsidRPr="00000BF8">
        <w:rPr>
          <w:rFonts w:ascii="Times New Roman" w:hAnsi="Times New Roman"/>
          <w:lang w:eastAsia="fr-CH"/>
        </w:rPr>
        <w:t>Guidance on the principle</w:t>
      </w:r>
      <w:r>
        <w:rPr>
          <w:rFonts w:ascii="Times New Roman" w:hAnsi="Times New Roman"/>
          <w:lang w:eastAsia="fr-CH"/>
        </w:rPr>
        <w:t>s</w:t>
      </w:r>
      <w:r w:rsidRPr="00000BF8">
        <w:rPr>
          <w:rFonts w:ascii="Times New Roman" w:hAnsi="Times New Roman"/>
          <w:lang w:eastAsia="fr-CH"/>
        </w:rPr>
        <w:t xml:space="preserve"> and practical</w:t>
      </w:r>
      <w:r>
        <w:rPr>
          <w:rFonts w:ascii="Times New Roman" w:hAnsi="Times New Roman"/>
          <w:lang w:eastAsia="fr-CH"/>
        </w:rPr>
        <w:t>i</w:t>
      </w:r>
      <w:r w:rsidRPr="00000BF8">
        <w:rPr>
          <w:rFonts w:ascii="Times New Roman" w:hAnsi="Times New Roman"/>
          <w:lang w:eastAsia="fr-CH"/>
        </w:rPr>
        <w:t xml:space="preserve">ties involved in establishing </w:t>
      </w:r>
      <w:r w:rsidR="00B21C92">
        <w:rPr>
          <w:rFonts w:ascii="Times New Roman" w:hAnsi="Times New Roman"/>
          <w:lang w:eastAsia="fr-CH"/>
        </w:rPr>
        <w:t>PIC</w:t>
      </w:r>
      <w:r>
        <w:rPr>
          <w:rFonts w:ascii="Times New Roman" w:hAnsi="Times New Roman"/>
          <w:lang w:eastAsia="fr-CH"/>
        </w:rPr>
        <w:t>.</w:t>
      </w:r>
    </w:p>
    <w:p w:rsidR="0080559A" w:rsidRPr="00000BF8" w:rsidRDefault="0080559A" w:rsidP="00A86195">
      <w:pPr>
        <w:pStyle w:val="a3"/>
        <w:numPr>
          <w:ilvl w:val="0"/>
          <w:numId w:val="26"/>
        </w:numPr>
        <w:spacing w:before="120" w:after="120"/>
        <w:jc w:val="both"/>
        <w:rPr>
          <w:rFonts w:ascii="Times New Roman" w:hAnsi="Times New Roman"/>
          <w:lang w:eastAsia="fr-CH"/>
        </w:rPr>
      </w:pPr>
      <w:r>
        <w:rPr>
          <w:rFonts w:ascii="Times New Roman" w:hAnsi="Times New Roman"/>
          <w:lang w:eastAsia="fr-CH"/>
        </w:rPr>
        <w:t xml:space="preserve">Guidance on considerations involved when seeking to access and/or use traditional knowledge within a research process. </w:t>
      </w:r>
    </w:p>
    <w:p w:rsidR="0080559A" w:rsidRDefault="0080559A" w:rsidP="00A86195">
      <w:pPr>
        <w:pStyle w:val="a3"/>
        <w:numPr>
          <w:ilvl w:val="0"/>
          <w:numId w:val="26"/>
        </w:numPr>
        <w:spacing w:before="120" w:after="120"/>
        <w:jc w:val="both"/>
        <w:rPr>
          <w:rFonts w:ascii="Times New Roman" w:hAnsi="Times New Roman"/>
          <w:lang w:eastAsia="fr-CH"/>
        </w:rPr>
      </w:pPr>
      <w:r w:rsidRPr="00000BF8">
        <w:rPr>
          <w:rFonts w:ascii="Times New Roman" w:hAnsi="Times New Roman"/>
          <w:lang w:eastAsia="fr-CH"/>
        </w:rPr>
        <w:t xml:space="preserve">Guidance on ensuring sustainable </w:t>
      </w:r>
      <w:r>
        <w:rPr>
          <w:rFonts w:ascii="Times New Roman" w:hAnsi="Times New Roman"/>
          <w:lang w:eastAsia="fr-CH"/>
        </w:rPr>
        <w:t>use in the process of collection and use, consistent with the Convention and the Nagoya Protocol.</w:t>
      </w:r>
    </w:p>
    <w:p w:rsidR="0080559A" w:rsidRPr="005A0FC9" w:rsidRDefault="0080559A" w:rsidP="00A86195">
      <w:pPr>
        <w:pStyle w:val="a3"/>
        <w:numPr>
          <w:ilvl w:val="0"/>
          <w:numId w:val="26"/>
        </w:numPr>
        <w:spacing w:before="120" w:after="120"/>
        <w:jc w:val="both"/>
        <w:rPr>
          <w:rFonts w:ascii="Times New Roman" w:hAnsi="Times New Roman"/>
          <w:lang w:eastAsia="fr-CH"/>
        </w:rPr>
      </w:pPr>
      <w:r>
        <w:rPr>
          <w:rFonts w:ascii="Times New Roman" w:hAnsi="Times New Roman"/>
          <w:lang w:eastAsia="fr-CH"/>
        </w:rPr>
        <w:t>Guidance on supporting the technology transfer provisions of the Convention and the Protocol.</w:t>
      </w:r>
    </w:p>
    <w:p w:rsidR="0080559A" w:rsidRDefault="0080559A" w:rsidP="00A86195">
      <w:pPr>
        <w:pStyle w:val="a3"/>
        <w:numPr>
          <w:ilvl w:val="0"/>
          <w:numId w:val="26"/>
        </w:numPr>
        <w:spacing w:before="120" w:after="120"/>
        <w:jc w:val="both"/>
        <w:rPr>
          <w:rFonts w:ascii="Times New Roman" w:hAnsi="Times New Roman"/>
          <w:lang w:eastAsia="fr-CH"/>
        </w:rPr>
      </w:pPr>
      <w:r>
        <w:rPr>
          <w:rFonts w:ascii="Times New Roman" w:hAnsi="Times New Roman"/>
          <w:lang w:eastAsia="fr-CH"/>
        </w:rPr>
        <w:t>Explanation of requirements to enter into formal contractual benefit-sharing agreements on mutually agreed terms, and noting b</w:t>
      </w:r>
      <w:r w:rsidRPr="00000BF8">
        <w:rPr>
          <w:rFonts w:ascii="Times New Roman" w:hAnsi="Times New Roman"/>
          <w:lang w:eastAsia="fr-CH"/>
        </w:rPr>
        <w:t>enefit-sharing options, including monetary and non-monetary</w:t>
      </w:r>
      <w:r>
        <w:rPr>
          <w:rFonts w:ascii="Times New Roman" w:hAnsi="Times New Roman"/>
          <w:lang w:eastAsia="fr-CH"/>
        </w:rPr>
        <w:t xml:space="preserve"> benefits.</w:t>
      </w:r>
      <w:r w:rsidRPr="00000BF8">
        <w:rPr>
          <w:rFonts w:ascii="Times New Roman" w:hAnsi="Times New Roman"/>
          <w:lang w:eastAsia="fr-CH"/>
        </w:rPr>
        <w:t xml:space="preserve"> </w:t>
      </w:r>
    </w:p>
    <w:p w:rsidR="0080559A" w:rsidRDefault="0080559A" w:rsidP="00A86195">
      <w:pPr>
        <w:pStyle w:val="a3"/>
        <w:numPr>
          <w:ilvl w:val="0"/>
          <w:numId w:val="26"/>
        </w:numPr>
        <w:spacing w:before="120" w:after="120"/>
        <w:jc w:val="both"/>
        <w:rPr>
          <w:rFonts w:ascii="Times New Roman" w:hAnsi="Times New Roman"/>
          <w:lang w:eastAsia="fr-CH"/>
        </w:rPr>
      </w:pPr>
      <w:r w:rsidRPr="00000BF8">
        <w:rPr>
          <w:rFonts w:ascii="Times New Roman" w:hAnsi="Times New Roman"/>
          <w:lang w:eastAsia="fr-CH"/>
        </w:rPr>
        <w:t>E</w:t>
      </w:r>
      <w:r>
        <w:rPr>
          <w:rFonts w:ascii="Times New Roman" w:hAnsi="Times New Roman"/>
          <w:lang w:eastAsia="fr-CH"/>
        </w:rPr>
        <w:t>xplanation of requirements</w:t>
      </w:r>
      <w:r w:rsidRPr="00000BF8">
        <w:rPr>
          <w:rFonts w:ascii="Times New Roman" w:hAnsi="Times New Roman"/>
          <w:lang w:eastAsia="fr-CH"/>
        </w:rPr>
        <w:t xml:space="preserve"> to comply with</w:t>
      </w:r>
      <w:r>
        <w:rPr>
          <w:rFonts w:ascii="Times New Roman" w:hAnsi="Times New Roman"/>
          <w:lang w:eastAsia="fr-CH"/>
        </w:rPr>
        <w:t xml:space="preserve"> national ABS measures, including any requirements for obtaining PIC or permits to remove materials found </w:t>
      </w:r>
      <w:r>
        <w:rPr>
          <w:rFonts w:ascii="Times New Roman" w:hAnsi="Times New Roman"/>
          <w:i/>
          <w:lang w:eastAsia="fr-CH"/>
        </w:rPr>
        <w:t>in situ</w:t>
      </w:r>
      <w:r>
        <w:rPr>
          <w:rFonts w:ascii="Times New Roman" w:hAnsi="Times New Roman"/>
          <w:lang w:eastAsia="fr-CH"/>
        </w:rPr>
        <w:t>.</w:t>
      </w:r>
      <w:r w:rsidRPr="00000BF8">
        <w:rPr>
          <w:rFonts w:ascii="Times New Roman" w:hAnsi="Times New Roman"/>
          <w:lang w:eastAsia="fr-CH"/>
        </w:rPr>
        <w:t xml:space="preserve"> </w:t>
      </w:r>
    </w:p>
    <w:p w:rsidR="0080559A" w:rsidRPr="005C49CD" w:rsidRDefault="0080559A" w:rsidP="00A86195">
      <w:pPr>
        <w:pStyle w:val="a3"/>
        <w:numPr>
          <w:ilvl w:val="0"/>
          <w:numId w:val="26"/>
        </w:numPr>
        <w:spacing w:before="120" w:after="120"/>
        <w:jc w:val="both"/>
        <w:rPr>
          <w:rFonts w:ascii="Times New Roman" w:hAnsi="Times New Roman"/>
          <w:lang w:eastAsia="fr-CH"/>
        </w:rPr>
      </w:pPr>
      <w:r>
        <w:rPr>
          <w:rFonts w:ascii="Times New Roman" w:hAnsi="Times New Roman"/>
          <w:lang w:eastAsia="fr-CH"/>
        </w:rPr>
        <w:t>Guidance on intellectual property rights issues and options.</w:t>
      </w:r>
    </w:p>
    <w:p w:rsidR="0080559A" w:rsidRDefault="0080559A" w:rsidP="0040498E">
      <w:pPr>
        <w:shd w:val="clear" w:color="auto" w:fill="FFFFFF"/>
        <w:spacing w:after="0"/>
        <w:rPr>
          <w:rFonts w:ascii="Times New Roman" w:hAnsi="Times New Roman"/>
          <w:lang w:eastAsia="fr-CH"/>
        </w:rPr>
      </w:pPr>
    </w:p>
    <w:p w:rsidR="00AF457A" w:rsidRDefault="0080559A" w:rsidP="00344CCC">
      <w:pPr>
        <w:spacing w:before="120" w:after="120"/>
        <w:jc w:val="both"/>
        <w:rPr>
          <w:rFonts w:ascii="Times New Roman" w:hAnsi="Times New Roman"/>
          <w:b/>
        </w:rPr>
      </w:pPr>
      <w:r>
        <w:rPr>
          <w:rFonts w:ascii="Times New Roman" w:hAnsi="Times New Roman"/>
          <w:b/>
        </w:rPr>
        <w:t>Part IV</w:t>
      </w:r>
      <w:r>
        <w:rPr>
          <w:rFonts w:ascii="Times New Roman" w:hAnsi="Times New Roman"/>
          <w:b/>
        </w:rPr>
        <w:tab/>
      </w:r>
      <w:r>
        <w:rPr>
          <w:rFonts w:ascii="Times New Roman" w:hAnsi="Times New Roman"/>
          <w:b/>
        </w:rPr>
        <w:tab/>
        <w:t>Concluding Observations</w:t>
      </w:r>
      <w:r w:rsidR="00344CCC">
        <w:rPr>
          <w:rFonts w:ascii="Times New Roman" w:hAnsi="Times New Roman"/>
          <w:b/>
        </w:rPr>
        <w:t xml:space="preserve"> </w:t>
      </w:r>
    </w:p>
    <w:p w:rsidR="00AF457A" w:rsidRPr="00AF457A" w:rsidRDefault="00AF457A" w:rsidP="00344CCC">
      <w:pPr>
        <w:spacing w:before="120" w:after="120"/>
        <w:jc w:val="both"/>
        <w:rPr>
          <w:rFonts w:ascii="Times New Roman" w:hAnsi="Times New Roman"/>
          <w:b/>
        </w:rPr>
      </w:pPr>
    </w:p>
    <w:p w:rsidR="00AF457A" w:rsidRDefault="003B7AB4" w:rsidP="00344CCC">
      <w:pPr>
        <w:spacing w:before="120" w:after="120"/>
        <w:jc w:val="both"/>
        <w:rPr>
          <w:rFonts w:ascii="Times New Roman" w:hAnsi="Times New Roman"/>
        </w:rPr>
      </w:pPr>
      <w:r>
        <w:rPr>
          <w:rFonts w:ascii="Times New Roman" w:hAnsi="Times New Roman"/>
        </w:rPr>
        <w:t xml:space="preserve">The information and analysis presented in this study informed and supported </w:t>
      </w:r>
      <w:r w:rsidR="003D46D8">
        <w:rPr>
          <w:rFonts w:ascii="Times New Roman" w:hAnsi="Times New Roman"/>
        </w:rPr>
        <w:t>discussion</w:t>
      </w:r>
      <w:r>
        <w:rPr>
          <w:rFonts w:ascii="Times New Roman" w:hAnsi="Times New Roman"/>
        </w:rPr>
        <w:t>s</w:t>
      </w:r>
      <w:r w:rsidR="003D46D8">
        <w:rPr>
          <w:rFonts w:ascii="Times New Roman" w:hAnsi="Times New Roman"/>
        </w:rPr>
        <w:t xml:space="preserve"> by invited experts </w:t>
      </w:r>
      <w:r>
        <w:rPr>
          <w:rFonts w:ascii="Times New Roman" w:hAnsi="Times New Roman"/>
        </w:rPr>
        <w:t xml:space="preserve">in Tokyo in March 2013, </w:t>
      </w:r>
      <w:r w:rsidR="003D46D8">
        <w:rPr>
          <w:rFonts w:ascii="Times New Roman" w:hAnsi="Times New Roman"/>
        </w:rPr>
        <w:t xml:space="preserve">during the </w:t>
      </w:r>
      <w:r w:rsidR="003D46D8" w:rsidRPr="003D46D8">
        <w:rPr>
          <w:rFonts w:ascii="Times New Roman" w:hAnsi="Times New Roman"/>
        </w:rPr>
        <w:t>Informal Meeting for the Implementation of Articles 19 and 20 of the Nagoya Protocol</w:t>
      </w:r>
      <w:r>
        <w:rPr>
          <w:rFonts w:ascii="Times New Roman" w:hAnsi="Times New Roman"/>
        </w:rPr>
        <w:t xml:space="preserve">. </w:t>
      </w:r>
      <w:r w:rsidR="00AF457A">
        <w:rPr>
          <w:rFonts w:ascii="Times New Roman" w:hAnsi="Times New Roman"/>
        </w:rPr>
        <w:t>As previously described, a</w:t>
      </w:r>
      <w:r>
        <w:rPr>
          <w:rFonts w:ascii="Times New Roman" w:hAnsi="Times New Roman"/>
        </w:rPr>
        <w:t xml:space="preserve">t this meeting </w:t>
      </w:r>
      <w:r w:rsidRPr="003B7AB4">
        <w:rPr>
          <w:rFonts w:ascii="Times New Roman" w:hAnsi="Times New Roman"/>
        </w:rPr>
        <w:t>experts from developed and developing countries, as well as stakeholders representing different groups of users of genetic resource</w:t>
      </w:r>
      <w:r>
        <w:rPr>
          <w:rFonts w:ascii="Times New Roman" w:hAnsi="Times New Roman"/>
        </w:rPr>
        <w:t xml:space="preserve">s, </w:t>
      </w:r>
      <w:r w:rsidRPr="003B7AB4">
        <w:rPr>
          <w:rFonts w:ascii="Times New Roman" w:hAnsi="Times New Roman"/>
        </w:rPr>
        <w:t>discuss</w:t>
      </w:r>
      <w:r>
        <w:rPr>
          <w:rFonts w:ascii="Times New Roman" w:hAnsi="Times New Roman"/>
        </w:rPr>
        <w:t>ed</w:t>
      </w:r>
      <w:r w:rsidRPr="003B7AB4">
        <w:rPr>
          <w:rFonts w:ascii="Times New Roman" w:hAnsi="Times New Roman"/>
        </w:rPr>
        <w:t xml:space="preserve"> their views of and experiences with such tools in advance of ICNP-3, with the intention of conveying outcomes of the informal meeting to ICNP-3.</w:t>
      </w:r>
      <w:r>
        <w:rPr>
          <w:rFonts w:ascii="Times New Roman" w:hAnsi="Times New Roman"/>
        </w:rPr>
        <w:t xml:space="preserve"> </w:t>
      </w:r>
    </w:p>
    <w:p w:rsidR="003B7AB4" w:rsidRDefault="003B7AB4" w:rsidP="00344CCC">
      <w:pPr>
        <w:spacing w:before="120" w:after="120"/>
        <w:jc w:val="both"/>
        <w:rPr>
          <w:rFonts w:ascii="Times New Roman" w:hAnsi="Times New Roman"/>
        </w:rPr>
      </w:pPr>
      <w:r>
        <w:rPr>
          <w:rFonts w:ascii="Times New Roman" w:hAnsi="Times New Roman"/>
        </w:rPr>
        <w:t xml:space="preserve">The conclusions of the </w:t>
      </w:r>
      <w:r w:rsidR="00AF457A">
        <w:rPr>
          <w:rFonts w:ascii="Times New Roman" w:hAnsi="Times New Roman"/>
        </w:rPr>
        <w:t xml:space="preserve">informal </w:t>
      </w:r>
      <w:r>
        <w:rPr>
          <w:rFonts w:ascii="Times New Roman" w:hAnsi="Times New Roman"/>
        </w:rPr>
        <w:t xml:space="preserve">meeting are captured in the report of the meeting. The discussions generated a wealth of observations and recommendations concerning: the role of Articles 19 and 20 in the implementation of the Nagoya Protocol; </w:t>
      </w:r>
      <w:r w:rsidR="00AF457A">
        <w:rPr>
          <w:rFonts w:ascii="Times New Roman" w:hAnsi="Times New Roman"/>
        </w:rPr>
        <w:t xml:space="preserve">the remaining questions of Parties concerning their obligations in respect of the implementation of Articles 19 and 20 of the Protocol; </w:t>
      </w:r>
      <w:r>
        <w:rPr>
          <w:rFonts w:ascii="Times New Roman" w:hAnsi="Times New Roman"/>
        </w:rPr>
        <w:t>trends in use and user experience; lessons learned through the development and implementation of Article 19 and 20 tools</w:t>
      </w:r>
      <w:r w:rsidR="00AF457A">
        <w:rPr>
          <w:rFonts w:ascii="Times New Roman" w:hAnsi="Times New Roman"/>
        </w:rPr>
        <w:t>; the respective</w:t>
      </w:r>
      <w:r>
        <w:rPr>
          <w:rFonts w:ascii="Times New Roman" w:hAnsi="Times New Roman"/>
        </w:rPr>
        <w:t xml:space="preserve"> value of diversity and standardization of model tools; </w:t>
      </w:r>
      <w:r w:rsidR="00AF457A">
        <w:rPr>
          <w:rFonts w:ascii="Times New Roman" w:hAnsi="Times New Roman"/>
        </w:rPr>
        <w:t xml:space="preserve">and on needs for the further collection, analysis and communication of information on Articles 19 and 20. </w:t>
      </w:r>
    </w:p>
    <w:p w:rsidR="003D46D8" w:rsidRDefault="00AF457A" w:rsidP="00344CCC">
      <w:pPr>
        <w:spacing w:before="120" w:after="120"/>
        <w:jc w:val="both"/>
        <w:rPr>
          <w:rFonts w:ascii="Times New Roman" w:hAnsi="Times New Roman"/>
        </w:rPr>
      </w:pPr>
      <w:r>
        <w:rPr>
          <w:rFonts w:ascii="Times New Roman" w:hAnsi="Times New Roman"/>
        </w:rPr>
        <w:t>The scope of this study focus</w:t>
      </w:r>
      <w:r w:rsidR="00402942">
        <w:rPr>
          <w:rFonts w:ascii="Times New Roman" w:hAnsi="Times New Roman"/>
        </w:rPr>
        <w:t>es</w:t>
      </w:r>
      <w:r>
        <w:rPr>
          <w:rFonts w:ascii="Times New Roman" w:hAnsi="Times New Roman"/>
        </w:rPr>
        <w:t xml:space="preserve"> its conclusions and recommendations on </w:t>
      </w:r>
      <w:r w:rsidR="003B7AB4" w:rsidRPr="003B7AB4">
        <w:rPr>
          <w:rFonts w:ascii="Times New Roman" w:hAnsi="Times New Roman"/>
        </w:rPr>
        <w:t xml:space="preserve">the nature of any further research that would be needed to provide a more comprehensive and detailed analysis of the best ways of </w:t>
      </w:r>
      <w:r w:rsidR="003B7AB4" w:rsidRPr="003B7AB4">
        <w:rPr>
          <w:rFonts w:ascii="Times New Roman" w:hAnsi="Times New Roman"/>
        </w:rPr>
        <w:lastRenderedPageBreak/>
        <w:t>supporting the implementation of the Protocol through Articles 19 and 20, including any further information that could be provided by Parties and others to this end.</w:t>
      </w:r>
      <w:r>
        <w:rPr>
          <w:rFonts w:ascii="Times New Roman" w:hAnsi="Times New Roman"/>
        </w:rPr>
        <w:t xml:space="preserve"> </w:t>
      </w:r>
      <w:r w:rsidR="00402942">
        <w:rPr>
          <w:rFonts w:ascii="Times New Roman" w:hAnsi="Times New Roman"/>
        </w:rPr>
        <w:t>I</w:t>
      </w:r>
      <w:r>
        <w:rPr>
          <w:rFonts w:ascii="Times New Roman" w:hAnsi="Times New Roman"/>
        </w:rPr>
        <w:t>t is recommended</w:t>
      </w:r>
      <w:r w:rsidR="00402942">
        <w:rPr>
          <w:rFonts w:ascii="Times New Roman" w:hAnsi="Times New Roman"/>
        </w:rPr>
        <w:t>, however,</w:t>
      </w:r>
      <w:r>
        <w:rPr>
          <w:rFonts w:ascii="Times New Roman" w:hAnsi="Times New Roman"/>
        </w:rPr>
        <w:t xml:space="preserve"> that this study be read in conjunction with the report of the informal meeting. </w:t>
      </w:r>
    </w:p>
    <w:p w:rsidR="005A59D7" w:rsidRDefault="005A59D7" w:rsidP="00344CCC">
      <w:pPr>
        <w:spacing w:before="120" w:after="120"/>
        <w:jc w:val="both"/>
        <w:rPr>
          <w:rFonts w:ascii="Times New Roman" w:hAnsi="Times New Roman"/>
        </w:rPr>
      </w:pPr>
      <w:r>
        <w:rPr>
          <w:rFonts w:ascii="Times New Roman" w:hAnsi="Times New Roman"/>
        </w:rPr>
        <w:t xml:space="preserve">In making recommendations on the information and analytical needs to support implementation of Articles 19 and 20, it is important to recall on whom implementation obligations fall. Recall that:  </w:t>
      </w:r>
    </w:p>
    <w:p w:rsidR="005A59D7" w:rsidRPr="005A59D7" w:rsidRDefault="005A59D7" w:rsidP="005A59D7">
      <w:pPr>
        <w:pStyle w:val="a3"/>
        <w:numPr>
          <w:ilvl w:val="0"/>
          <w:numId w:val="122"/>
        </w:numPr>
        <w:spacing w:before="120" w:after="120"/>
        <w:jc w:val="both"/>
        <w:rPr>
          <w:rFonts w:ascii="Times New Roman" w:hAnsi="Times New Roman"/>
        </w:rPr>
      </w:pPr>
      <w:r w:rsidRPr="005A59D7">
        <w:rPr>
          <w:rFonts w:ascii="Times New Roman" w:hAnsi="Times New Roman"/>
          <w:u w:val="single"/>
        </w:rPr>
        <w:t>Parties</w:t>
      </w:r>
      <w:r w:rsidRPr="005A59D7">
        <w:rPr>
          <w:rFonts w:ascii="Times New Roman" w:hAnsi="Times New Roman"/>
        </w:rPr>
        <w:t xml:space="preserve"> shall encourage, as appropriate, the development, update and use of </w:t>
      </w:r>
      <w:proofErr w:type="spellStart"/>
      <w:r w:rsidRPr="005A59D7">
        <w:rPr>
          <w:rFonts w:ascii="Times New Roman" w:hAnsi="Times New Roman"/>
        </w:rPr>
        <w:t>sectoral</w:t>
      </w:r>
      <w:proofErr w:type="spellEnd"/>
      <w:r w:rsidRPr="005A59D7">
        <w:rPr>
          <w:rFonts w:ascii="Times New Roman" w:hAnsi="Times New Roman"/>
        </w:rPr>
        <w:t xml:space="preserve"> and cross-</w:t>
      </w:r>
      <w:proofErr w:type="spellStart"/>
      <w:r w:rsidRPr="005A59D7">
        <w:rPr>
          <w:rFonts w:ascii="Times New Roman" w:hAnsi="Times New Roman"/>
        </w:rPr>
        <w:t>sectoral</w:t>
      </w:r>
      <w:proofErr w:type="spellEnd"/>
      <w:r w:rsidRPr="005A59D7">
        <w:rPr>
          <w:rFonts w:ascii="Times New Roman" w:hAnsi="Times New Roman"/>
        </w:rPr>
        <w:t xml:space="preserve"> model contractual clauses for mutually agreed terms, as well as voluntary codes of conduct, guidelines</w:t>
      </w:r>
      <w:r w:rsidR="00325A76">
        <w:rPr>
          <w:rFonts w:ascii="Times New Roman" w:hAnsi="Times New Roman"/>
        </w:rPr>
        <w:t>,</w:t>
      </w:r>
      <w:r w:rsidRPr="005A59D7">
        <w:rPr>
          <w:rFonts w:ascii="Times New Roman" w:hAnsi="Times New Roman"/>
        </w:rPr>
        <w:t xml:space="preserve"> and best practices and/or standards in relation to access and benefit-sharing</w:t>
      </w:r>
      <w:r w:rsidR="009731BC">
        <w:rPr>
          <w:rFonts w:ascii="Times New Roman" w:hAnsi="Times New Roman"/>
        </w:rPr>
        <w:t>,</w:t>
      </w:r>
    </w:p>
    <w:p w:rsidR="005A59D7" w:rsidRDefault="005A59D7" w:rsidP="005A59D7">
      <w:pPr>
        <w:pStyle w:val="a3"/>
        <w:numPr>
          <w:ilvl w:val="0"/>
          <w:numId w:val="122"/>
        </w:numPr>
        <w:spacing w:before="120" w:after="120"/>
        <w:jc w:val="both"/>
        <w:rPr>
          <w:rFonts w:ascii="Times New Roman" w:hAnsi="Times New Roman"/>
        </w:rPr>
      </w:pPr>
      <w:r w:rsidRPr="005A59D7">
        <w:rPr>
          <w:rFonts w:ascii="Times New Roman" w:hAnsi="Times New Roman"/>
          <w:u w:val="single"/>
        </w:rPr>
        <w:t xml:space="preserve">The Conference of the </w:t>
      </w:r>
      <w:r w:rsidRPr="0075464B">
        <w:rPr>
          <w:rFonts w:ascii="Times New Roman" w:hAnsi="Times New Roman"/>
          <w:u w:val="single"/>
        </w:rPr>
        <w:t>Parties</w:t>
      </w:r>
      <w:r w:rsidRPr="00A86195">
        <w:rPr>
          <w:rFonts w:ascii="Times New Roman" w:hAnsi="Times New Roman"/>
          <w:u w:val="single"/>
        </w:rPr>
        <w:t xml:space="preserve"> serving as the meeting of the Parties</w:t>
      </w:r>
      <w:r w:rsidRPr="005A59D7">
        <w:rPr>
          <w:rFonts w:ascii="Times New Roman" w:hAnsi="Times New Roman"/>
        </w:rPr>
        <w:t xml:space="preserve"> to </w:t>
      </w:r>
      <w:r>
        <w:rPr>
          <w:rFonts w:ascii="Times New Roman" w:hAnsi="Times New Roman"/>
        </w:rPr>
        <w:t>the</w:t>
      </w:r>
      <w:r w:rsidRPr="005A59D7">
        <w:rPr>
          <w:rFonts w:ascii="Times New Roman" w:hAnsi="Times New Roman"/>
        </w:rPr>
        <w:t xml:space="preserve"> Protocol shall periodically take stock of the use of </w:t>
      </w:r>
      <w:proofErr w:type="spellStart"/>
      <w:r w:rsidRPr="005A59D7">
        <w:rPr>
          <w:rFonts w:ascii="Times New Roman" w:hAnsi="Times New Roman"/>
        </w:rPr>
        <w:t>sectoral</w:t>
      </w:r>
      <w:proofErr w:type="spellEnd"/>
      <w:r w:rsidRPr="005A59D7">
        <w:rPr>
          <w:rFonts w:ascii="Times New Roman" w:hAnsi="Times New Roman"/>
        </w:rPr>
        <w:t xml:space="preserve"> and cross-</w:t>
      </w:r>
      <w:proofErr w:type="spellStart"/>
      <w:r w:rsidRPr="005A59D7">
        <w:rPr>
          <w:rFonts w:ascii="Times New Roman" w:hAnsi="Times New Roman"/>
        </w:rPr>
        <w:t>sectoral</w:t>
      </w:r>
      <w:proofErr w:type="spellEnd"/>
      <w:r w:rsidRPr="005A59D7">
        <w:rPr>
          <w:rFonts w:ascii="Times New Roman" w:hAnsi="Times New Roman"/>
        </w:rPr>
        <w:t xml:space="preserve"> model contractual clauses, as well as voluntary codes of conduct, guidelines</w:t>
      </w:r>
      <w:r w:rsidR="00325A76">
        <w:rPr>
          <w:rFonts w:ascii="Times New Roman" w:hAnsi="Times New Roman"/>
        </w:rPr>
        <w:t>,</w:t>
      </w:r>
      <w:r w:rsidRPr="005A59D7">
        <w:rPr>
          <w:rFonts w:ascii="Times New Roman" w:hAnsi="Times New Roman"/>
        </w:rPr>
        <w:t xml:space="preserve"> and </w:t>
      </w:r>
      <w:r>
        <w:rPr>
          <w:rFonts w:ascii="Times New Roman" w:hAnsi="Times New Roman"/>
        </w:rPr>
        <w:t>best practices and/or standards,</w:t>
      </w:r>
    </w:p>
    <w:p w:rsidR="005A59D7" w:rsidRPr="005A59D7" w:rsidRDefault="005A59D7" w:rsidP="00344CCC">
      <w:pPr>
        <w:pStyle w:val="a3"/>
        <w:numPr>
          <w:ilvl w:val="0"/>
          <w:numId w:val="122"/>
        </w:numPr>
        <w:spacing w:before="120" w:after="120"/>
        <w:jc w:val="both"/>
        <w:rPr>
          <w:rFonts w:ascii="Times New Roman" w:hAnsi="Times New Roman"/>
        </w:rPr>
      </w:pPr>
      <w:r w:rsidRPr="005A59D7">
        <w:rPr>
          <w:rFonts w:ascii="Times New Roman" w:hAnsi="Times New Roman"/>
          <w:u w:val="single"/>
        </w:rPr>
        <w:t xml:space="preserve">The Conference of the </w:t>
      </w:r>
      <w:r w:rsidRPr="0075464B">
        <w:rPr>
          <w:rFonts w:ascii="Times New Roman" w:hAnsi="Times New Roman"/>
          <w:u w:val="single"/>
        </w:rPr>
        <w:t>Parties</w:t>
      </w:r>
      <w:r w:rsidRPr="00A86195">
        <w:rPr>
          <w:rFonts w:ascii="Times New Roman" w:hAnsi="Times New Roman"/>
          <w:u w:val="single"/>
        </w:rPr>
        <w:t xml:space="preserve"> </w:t>
      </w:r>
      <w:r w:rsidR="0075464B" w:rsidRPr="0075464B">
        <w:rPr>
          <w:rFonts w:ascii="Times New Roman" w:hAnsi="Times New Roman"/>
          <w:u w:val="single"/>
        </w:rPr>
        <w:t>s</w:t>
      </w:r>
      <w:r w:rsidR="0075464B" w:rsidRPr="00CE62E1">
        <w:rPr>
          <w:rFonts w:ascii="Times New Roman" w:hAnsi="Times New Roman"/>
          <w:u w:val="single"/>
        </w:rPr>
        <w:t>erving as the meeting of the Parties</w:t>
      </w:r>
      <w:r w:rsidR="0075464B" w:rsidRPr="005A59D7">
        <w:rPr>
          <w:rFonts w:ascii="Times New Roman" w:hAnsi="Times New Roman"/>
        </w:rPr>
        <w:t xml:space="preserve"> </w:t>
      </w:r>
      <w:r>
        <w:rPr>
          <w:rFonts w:ascii="Times New Roman" w:hAnsi="Times New Roman"/>
        </w:rPr>
        <w:t>shall</w:t>
      </w:r>
      <w:r w:rsidRPr="005A59D7">
        <w:rPr>
          <w:rFonts w:ascii="Times New Roman" w:hAnsi="Times New Roman"/>
        </w:rPr>
        <w:t xml:space="preserve"> consider the adoption of specific codes of conduct, guidelines and best practices and/or standards.</w:t>
      </w:r>
    </w:p>
    <w:p w:rsidR="00AF457A" w:rsidRDefault="005A59D7" w:rsidP="00344CCC">
      <w:pPr>
        <w:spacing w:before="120" w:after="120"/>
        <w:jc w:val="both"/>
        <w:rPr>
          <w:rFonts w:ascii="Times New Roman" w:hAnsi="Times New Roman"/>
        </w:rPr>
      </w:pPr>
      <w:r>
        <w:rPr>
          <w:rFonts w:ascii="Times New Roman" w:hAnsi="Times New Roman"/>
        </w:rPr>
        <w:t xml:space="preserve">Keeping this in mind, </w:t>
      </w:r>
      <w:r w:rsidR="00AF457A">
        <w:rPr>
          <w:rFonts w:ascii="Times New Roman" w:hAnsi="Times New Roman"/>
        </w:rPr>
        <w:t xml:space="preserve">recommendations as to </w:t>
      </w:r>
      <w:r w:rsidR="00AF457A" w:rsidRPr="00AF457A">
        <w:rPr>
          <w:rFonts w:ascii="Times New Roman" w:hAnsi="Times New Roman"/>
        </w:rPr>
        <w:t>the nature of any further research that would be needed to provide a more comprehensive and detailed analysis of the best ways of supporting the implementation of the Protocol through Articles 19 and 20, including any further information that could be provided by</w:t>
      </w:r>
      <w:r w:rsidR="00AF457A">
        <w:rPr>
          <w:rFonts w:ascii="Times New Roman" w:hAnsi="Times New Roman"/>
        </w:rPr>
        <w:t xml:space="preserve"> Parties and others to this end, include that: </w:t>
      </w:r>
    </w:p>
    <w:p w:rsidR="005A59D7" w:rsidRDefault="005A59D7" w:rsidP="0075464B">
      <w:pPr>
        <w:pStyle w:val="a3"/>
        <w:numPr>
          <w:ilvl w:val="0"/>
          <w:numId w:val="121"/>
        </w:numPr>
        <w:spacing w:before="120" w:after="120"/>
        <w:jc w:val="both"/>
        <w:rPr>
          <w:rFonts w:ascii="Times New Roman" w:hAnsi="Times New Roman"/>
        </w:rPr>
      </w:pPr>
      <w:r>
        <w:rPr>
          <w:rFonts w:ascii="Times New Roman" w:hAnsi="Times New Roman"/>
        </w:rPr>
        <w:t>The ways in which Parties might encourage the development, update and use of Article 19 and 20 tools would benefit from further exploration</w:t>
      </w:r>
      <w:r w:rsidR="009B2096">
        <w:rPr>
          <w:rFonts w:ascii="Times New Roman" w:hAnsi="Times New Roman"/>
        </w:rPr>
        <w:t>. Th</w:t>
      </w:r>
      <w:r>
        <w:rPr>
          <w:rFonts w:ascii="Times New Roman" w:hAnsi="Times New Roman"/>
        </w:rPr>
        <w:t>e authors and users of these tools tend to be diverse</w:t>
      </w:r>
      <w:r w:rsidR="00990A81">
        <w:rPr>
          <w:rFonts w:ascii="Times New Roman" w:hAnsi="Times New Roman"/>
        </w:rPr>
        <w:t>, meaning that</w:t>
      </w:r>
      <w:r>
        <w:rPr>
          <w:rFonts w:ascii="Times New Roman" w:hAnsi="Times New Roman"/>
        </w:rPr>
        <w:t xml:space="preserve"> government</w:t>
      </w:r>
      <w:r w:rsidR="0075464B">
        <w:rPr>
          <w:rFonts w:ascii="Times New Roman" w:hAnsi="Times New Roman"/>
        </w:rPr>
        <w:t>s</w:t>
      </w:r>
      <w:r>
        <w:rPr>
          <w:rFonts w:ascii="Times New Roman" w:hAnsi="Times New Roman"/>
        </w:rPr>
        <w:t xml:space="preserve"> may have l</w:t>
      </w:r>
      <w:r w:rsidR="00990A81">
        <w:rPr>
          <w:rFonts w:ascii="Times New Roman" w:hAnsi="Times New Roman"/>
        </w:rPr>
        <w:t>imited direct influence</w:t>
      </w:r>
      <w:r w:rsidR="007C3604">
        <w:rPr>
          <w:rFonts w:ascii="Times New Roman" w:hAnsi="Times New Roman"/>
        </w:rPr>
        <w:t xml:space="preserve">. </w:t>
      </w:r>
      <w:r>
        <w:rPr>
          <w:rFonts w:ascii="Times New Roman" w:hAnsi="Times New Roman"/>
        </w:rPr>
        <w:t xml:space="preserve"> </w:t>
      </w:r>
    </w:p>
    <w:p w:rsidR="007C3604" w:rsidRDefault="007C3604" w:rsidP="00A86195">
      <w:pPr>
        <w:pStyle w:val="a3"/>
        <w:numPr>
          <w:ilvl w:val="0"/>
          <w:numId w:val="121"/>
        </w:numPr>
        <w:jc w:val="both"/>
        <w:rPr>
          <w:rFonts w:ascii="Times New Roman" w:hAnsi="Times New Roman"/>
        </w:rPr>
      </w:pPr>
      <w:r w:rsidRPr="007C3604">
        <w:rPr>
          <w:rFonts w:ascii="Times New Roman" w:hAnsi="Times New Roman"/>
        </w:rPr>
        <w:t>The more detailed and specific objectives and provisions of the Protocol have significant implications for the design of model tools under both Articles 19 and 20. While some Article 19 and 20 tools examined have been revised in light of the Protocol, several pre-date it. Of the</w:t>
      </w:r>
      <w:r w:rsidR="00402942">
        <w:rPr>
          <w:rFonts w:ascii="Times New Roman" w:hAnsi="Times New Roman"/>
        </w:rPr>
        <w:t xml:space="preserve"> latter</w:t>
      </w:r>
      <w:r w:rsidRPr="007C3604">
        <w:rPr>
          <w:rFonts w:ascii="Times New Roman" w:hAnsi="Times New Roman"/>
        </w:rPr>
        <w:t>, some, though not all, appear to give more limited effect to the objectives and provisions of the Protocol than may have been the case had they been developed subsequent to the Protocol’s conclusion. Whether updates would now be appropriate is a questi</w:t>
      </w:r>
      <w:r w:rsidR="00861CBE">
        <w:rPr>
          <w:rFonts w:ascii="Times New Roman" w:hAnsi="Times New Roman"/>
        </w:rPr>
        <w:t>on that must be asked on a case-by-</w:t>
      </w:r>
      <w:r w:rsidRPr="007C3604">
        <w:rPr>
          <w:rFonts w:ascii="Times New Roman" w:hAnsi="Times New Roman"/>
        </w:rPr>
        <w:t xml:space="preserve">case basis, and is one to which the authors of such tools might give consideration. Given the general background and statements that Article 20 tools tend to include, there would be few examples in which the revision of an Article 20 tool in light of the Protocol would not be warranted and would not provide the opportunity for at least some substantive updates to be made. In the case of model contractual clauses, whether revision is appropriate in light of national laws and policy, and whether revision would in fact alter the context of a given tool, is likely to be more </w:t>
      </w:r>
      <w:proofErr w:type="gramStart"/>
      <w:r w:rsidRPr="007C3604">
        <w:rPr>
          <w:rFonts w:ascii="Times New Roman" w:hAnsi="Times New Roman"/>
        </w:rPr>
        <w:t>context</w:t>
      </w:r>
      <w:proofErr w:type="gramEnd"/>
      <w:r w:rsidRPr="007C3604">
        <w:rPr>
          <w:rFonts w:ascii="Times New Roman" w:hAnsi="Times New Roman"/>
        </w:rPr>
        <w:t xml:space="preserve"> specific. </w:t>
      </w:r>
      <w:r w:rsidR="009731BC">
        <w:rPr>
          <w:rFonts w:ascii="Times New Roman" w:hAnsi="Times New Roman"/>
        </w:rPr>
        <w:t>C</w:t>
      </w:r>
      <w:r w:rsidRPr="007C3604">
        <w:rPr>
          <w:rFonts w:ascii="Times New Roman" w:hAnsi="Times New Roman"/>
        </w:rPr>
        <w:t>onsider</w:t>
      </w:r>
      <w:r w:rsidR="009731BC">
        <w:rPr>
          <w:rFonts w:ascii="Times New Roman" w:hAnsi="Times New Roman"/>
        </w:rPr>
        <w:t>ation should be given to</w:t>
      </w:r>
      <w:r w:rsidRPr="007C3604">
        <w:rPr>
          <w:rFonts w:ascii="Times New Roman" w:hAnsi="Times New Roman"/>
        </w:rPr>
        <w:t xml:space="preserve"> the type of information resources or other </w:t>
      </w:r>
      <w:r w:rsidR="009731BC">
        <w:rPr>
          <w:rFonts w:ascii="Times New Roman" w:hAnsi="Times New Roman"/>
        </w:rPr>
        <w:t>input</w:t>
      </w:r>
      <w:r w:rsidRPr="007C3604">
        <w:rPr>
          <w:rFonts w:ascii="Times New Roman" w:hAnsi="Times New Roman"/>
        </w:rPr>
        <w:t xml:space="preserve"> that authors of such tools would find most useful</w:t>
      </w:r>
      <w:r w:rsidR="009731BC">
        <w:rPr>
          <w:rFonts w:ascii="Times New Roman" w:hAnsi="Times New Roman"/>
        </w:rPr>
        <w:t xml:space="preserve"> as</w:t>
      </w:r>
      <w:r w:rsidRPr="007C3604">
        <w:rPr>
          <w:rFonts w:ascii="Times New Roman" w:hAnsi="Times New Roman"/>
        </w:rPr>
        <w:t xml:space="preserve"> support </w:t>
      </w:r>
      <w:r w:rsidR="009731BC">
        <w:rPr>
          <w:rFonts w:ascii="Times New Roman" w:hAnsi="Times New Roman"/>
        </w:rPr>
        <w:t>f</w:t>
      </w:r>
      <w:r w:rsidRPr="007C3604">
        <w:rPr>
          <w:rFonts w:ascii="Times New Roman" w:hAnsi="Times New Roman"/>
        </w:rPr>
        <w:t>o</w:t>
      </w:r>
      <w:r w:rsidR="009731BC">
        <w:rPr>
          <w:rFonts w:ascii="Times New Roman" w:hAnsi="Times New Roman"/>
        </w:rPr>
        <w:t>r</w:t>
      </w:r>
      <w:r w:rsidRPr="007C3604">
        <w:rPr>
          <w:rFonts w:ascii="Times New Roman" w:hAnsi="Times New Roman"/>
        </w:rPr>
        <w:t xml:space="preserve"> the revision process. </w:t>
      </w:r>
    </w:p>
    <w:p w:rsidR="00BC2A8C" w:rsidRPr="00BC2A8C" w:rsidRDefault="00BC2A8C" w:rsidP="00A86195">
      <w:pPr>
        <w:pStyle w:val="a3"/>
        <w:numPr>
          <w:ilvl w:val="0"/>
          <w:numId w:val="121"/>
        </w:numPr>
        <w:jc w:val="both"/>
        <w:rPr>
          <w:rFonts w:ascii="Times New Roman" w:hAnsi="Times New Roman"/>
        </w:rPr>
      </w:pPr>
      <w:r w:rsidRPr="00BC2A8C">
        <w:rPr>
          <w:rFonts w:ascii="Times New Roman" w:hAnsi="Times New Roman"/>
        </w:rPr>
        <w:t xml:space="preserve">The sharing of information regarding actual use, user experience and lessons learned is very valuable and should be encouraged over time. The sharing of experience and perspectives through the informal meeting demonstrated the value of such exchanges.  Such information exchange would assist Parties to better understand the relevance, importance and utility of Article 19 and 20 tools as compared to other avenues through which the capacity of users and providers to conclude access and benefit-sharing arrangements might be supported. </w:t>
      </w:r>
    </w:p>
    <w:p w:rsidR="009B2096" w:rsidRPr="009B2096" w:rsidRDefault="005A59D7" w:rsidP="009B2096">
      <w:pPr>
        <w:pStyle w:val="a3"/>
        <w:numPr>
          <w:ilvl w:val="0"/>
          <w:numId w:val="121"/>
        </w:numPr>
        <w:spacing w:before="120" w:after="120"/>
        <w:jc w:val="both"/>
        <w:rPr>
          <w:rFonts w:ascii="Times New Roman" w:hAnsi="Times New Roman"/>
        </w:rPr>
      </w:pPr>
      <w:r>
        <w:rPr>
          <w:rFonts w:ascii="Times New Roman" w:hAnsi="Times New Roman"/>
        </w:rPr>
        <w:t>The</w:t>
      </w:r>
      <w:r w:rsidR="009B2096">
        <w:rPr>
          <w:rFonts w:ascii="Times New Roman" w:hAnsi="Times New Roman"/>
        </w:rPr>
        <w:t xml:space="preserve"> information</w:t>
      </w:r>
      <w:r>
        <w:rPr>
          <w:rFonts w:ascii="Times New Roman" w:hAnsi="Times New Roman"/>
        </w:rPr>
        <w:t xml:space="preserve"> needs of the Conference of the Parties</w:t>
      </w:r>
      <w:r w:rsidR="0075464B">
        <w:rPr>
          <w:rFonts w:ascii="Times New Roman" w:hAnsi="Times New Roman"/>
        </w:rPr>
        <w:t xml:space="preserve"> </w:t>
      </w:r>
      <w:r w:rsidR="0075464B" w:rsidRPr="00A86195">
        <w:rPr>
          <w:rFonts w:ascii="Times New Roman" w:hAnsi="Times New Roman"/>
        </w:rPr>
        <w:t>serving as the meeting of the Parties</w:t>
      </w:r>
      <w:r>
        <w:rPr>
          <w:rFonts w:ascii="Times New Roman" w:hAnsi="Times New Roman"/>
        </w:rPr>
        <w:t xml:space="preserve"> in periodically taking stock of the use of Article 19 and 20 tools </w:t>
      </w:r>
      <w:r w:rsidR="007C3604">
        <w:rPr>
          <w:rFonts w:ascii="Times New Roman" w:hAnsi="Times New Roman"/>
        </w:rPr>
        <w:t>will become clearer as it</w:t>
      </w:r>
      <w:r w:rsidR="009B2096">
        <w:rPr>
          <w:rFonts w:ascii="Times New Roman" w:hAnsi="Times New Roman"/>
        </w:rPr>
        <w:t xml:space="preserve"> gain</w:t>
      </w:r>
      <w:r w:rsidR="00990A81">
        <w:rPr>
          <w:rFonts w:ascii="Times New Roman" w:hAnsi="Times New Roman"/>
        </w:rPr>
        <w:t>s</w:t>
      </w:r>
      <w:r w:rsidR="009B2096">
        <w:rPr>
          <w:rFonts w:ascii="Times New Roman" w:hAnsi="Times New Roman"/>
        </w:rPr>
        <w:t xml:space="preserve"> </w:t>
      </w:r>
      <w:r w:rsidR="009B2096">
        <w:rPr>
          <w:rFonts w:ascii="Times New Roman" w:hAnsi="Times New Roman"/>
        </w:rPr>
        <w:lastRenderedPageBreak/>
        <w:t>experience completing such a stock taking exercise</w:t>
      </w:r>
      <w:r w:rsidR="00990A81">
        <w:rPr>
          <w:rFonts w:ascii="Times New Roman" w:hAnsi="Times New Roman"/>
        </w:rPr>
        <w:t>s</w:t>
      </w:r>
      <w:r w:rsidR="009B2096">
        <w:rPr>
          <w:rFonts w:ascii="Times New Roman" w:hAnsi="Times New Roman"/>
        </w:rPr>
        <w:t xml:space="preserve">. Clarity on how often such a stock taking </w:t>
      </w:r>
      <w:r w:rsidR="007C3604">
        <w:rPr>
          <w:rFonts w:ascii="Times New Roman" w:hAnsi="Times New Roman"/>
        </w:rPr>
        <w:t>will</w:t>
      </w:r>
      <w:r w:rsidR="009B2096">
        <w:rPr>
          <w:rFonts w:ascii="Times New Roman" w:hAnsi="Times New Roman"/>
        </w:rPr>
        <w:t xml:space="preserve"> take place will inform the type of resources that would be most </w:t>
      </w:r>
      <w:r w:rsidR="00990A81">
        <w:rPr>
          <w:rFonts w:ascii="Times New Roman" w:hAnsi="Times New Roman"/>
        </w:rPr>
        <w:t xml:space="preserve">useful to support the </w:t>
      </w:r>
      <w:r w:rsidR="007C3604">
        <w:rPr>
          <w:rFonts w:ascii="Times New Roman" w:hAnsi="Times New Roman"/>
        </w:rPr>
        <w:t>exercise.</w:t>
      </w:r>
      <w:r w:rsidR="00990A81">
        <w:rPr>
          <w:rFonts w:ascii="Times New Roman" w:hAnsi="Times New Roman"/>
        </w:rPr>
        <w:t xml:space="preserve"> </w:t>
      </w:r>
    </w:p>
    <w:p w:rsidR="003D1097" w:rsidRPr="009B2096" w:rsidRDefault="007C3604" w:rsidP="009B2096">
      <w:pPr>
        <w:pStyle w:val="a3"/>
        <w:numPr>
          <w:ilvl w:val="0"/>
          <w:numId w:val="121"/>
        </w:numPr>
        <w:spacing w:before="120" w:after="120"/>
        <w:jc w:val="both"/>
        <w:rPr>
          <w:rFonts w:ascii="Times New Roman" w:hAnsi="Times New Roman"/>
        </w:rPr>
      </w:pPr>
      <w:r>
        <w:rPr>
          <w:rFonts w:ascii="Times New Roman" w:hAnsi="Times New Roman"/>
        </w:rPr>
        <w:t>F</w:t>
      </w:r>
      <w:r w:rsidR="009B2096">
        <w:rPr>
          <w:rFonts w:ascii="Times New Roman" w:hAnsi="Times New Roman"/>
        </w:rPr>
        <w:t>urther analysis focused specifically on the advantages and disadvantages of adopting specific codes of conduct, guidelines and best practices and standards may assist the Conference of the Parties</w:t>
      </w:r>
      <w:r w:rsidR="0075464B">
        <w:rPr>
          <w:rFonts w:ascii="Times New Roman" w:hAnsi="Times New Roman"/>
        </w:rPr>
        <w:t xml:space="preserve"> </w:t>
      </w:r>
      <w:r w:rsidR="0075464B" w:rsidRPr="00CE62E1">
        <w:rPr>
          <w:rFonts w:ascii="Times New Roman" w:hAnsi="Times New Roman"/>
        </w:rPr>
        <w:t>serving as the meeting of the Parties</w:t>
      </w:r>
      <w:r w:rsidR="009B2096">
        <w:rPr>
          <w:rFonts w:ascii="Times New Roman" w:hAnsi="Times New Roman"/>
        </w:rPr>
        <w:t xml:space="preserve"> in exercising its </w:t>
      </w:r>
      <w:r w:rsidR="0075464B">
        <w:rPr>
          <w:rFonts w:ascii="Times New Roman" w:hAnsi="Times New Roman"/>
        </w:rPr>
        <w:t xml:space="preserve">role </w:t>
      </w:r>
      <w:r w:rsidR="009B2096">
        <w:rPr>
          <w:rFonts w:ascii="Times New Roman" w:hAnsi="Times New Roman"/>
        </w:rPr>
        <w:t xml:space="preserve">pursuant to Article 20. </w:t>
      </w:r>
      <w:r w:rsidR="003D1097" w:rsidRPr="009B2096">
        <w:rPr>
          <w:rFonts w:ascii="Times New Roman" w:hAnsi="Times New Roman"/>
        </w:rPr>
        <w:t>The development of detailed sector specific case studies on the role of Article 19</w:t>
      </w:r>
      <w:r>
        <w:rPr>
          <w:rFonts w:ascii="Times New Roman" w:hAnsi="Times New Roman"/>
        </w:rPr>
        <w:t xml:space="preserve"> and 20 tools in supporting ABS, </w:t>
      </w:r>
      <w:r w:rsidR="003D1097" w:rsidRPr="009B2096">
        <w:rPr>
          <w:rFonts w:ascii="Times New Roman" w:hAnsi="Times New Roman"/>
        </w:rPr>
        <w:t>including with reference to whether within each of those sectors examined a more diverse or stand</w:t>
      </w:r>
      <w:r>
        <w:rPr>
          <w:rFonts w:ascii="Times New Roman" w:hAnsi="Times New Roman"/>
        </w:rPr>
        <w:t>ardized approach would</w:t>
      </w:r>
      <w:r w:rsidR="009B2096">
        <w:rPr>
          <w:rFonts w:ascii="Times New Roman" w:hAnsi="Times New Roman"/>
        </w:rPr>
        <w:t xml:space="preserve"> more useful,</w:t>
      </w:r>
      <w:r w:rsidR="009B2096" w:rsidRPr="009B2096">
        <w:t xml:space="preserve"> </w:t>
      </w:r>
      <w:r>
        <w:rPr>
          <w:rFonts w:ascii="Times New Roman" w:hAnsi="Times New Roman"/>
        </w:rPr>
        <w:t>may</w:t>
      </w:r>
      <w:r w:rsidR="009B2096">
        <w:rPr>
          <w:rFonts w:ascii="Times New Roman" w:hAnsi="Times New Roman"/>
        </w:rPr>
        <w:t xml:space="preserve"> be particularly </w:t>
      </w:r>
      <w:r>
        <w:rPr>
          <w:rFonts w:ascii="Times New Roman" w:hAnsi="Times New Roman"/>
        </w:rPr>
        <w:t>informative to this end.</w:t>
      </w:r>
    </w:p>
    <w:p w:rsidR="00344CCC" w:rsidRPr="00AF457A" w:rsidRDefault="009B2096" w:rsidP="00AF457A">
      <w:pPr>
        <w:pStyle w:val="a3"/>
        <w:numPr>
          <w:ilvl w:val="0"/>
          <w:numId w:val="121"/>
        </w:numPr>
        <w:spacing w:before="120" w:after="120"/>
        <w:jc w:val="both"/>
        <w:rPr>
          <w:rFonts w:ascii="Times New Roman" w:hAnsi="Times New Roman"/>
        </w:rPr>
      </w:pPr>
      <w:r>
        <w:rPr>
          <w:rFonts w:ascii="Times New Roman" w:hAnsi="Times New Roman"/>
        </w:rPr>
        <w:t>Analysis focused on</w:t>
      </w:r>
      <w:r w:rsidR="00344CCC" w:rsidRPr="00AF457A">
        <w:rPr>
          <w:rFonts w:ascii="Times New Roman" w:hAnsi="Times New Roman"/>
        </w:rPr>
        <w:t xml:space="preserve"> how to better encourage or require the systematic reporting of user experience and lessons learned, including through but not necessarily limited to the </w:t>
      </w:r>
      <w:r w:rsidR="00B21C92">
        <w:rPr>
          <w:rFonts w:ascii="Times New Roman" w:hAnsi="Times New Roman"/>
        </w:rPr>
        <w:t>ABS</w:t>
      </w:r>
      <w:r w:rsidR="00344CCC" w:rsidRPr="00AF457A">
        <w:rPr>
          <w:rFonts w:ascii="Times New Roman" w:hAnsi="Times New Roman"/>
        </w:rPr>
        <w:t xml:space="preserve"> Clearing-House, would be valuable. In addition, where Article </w:t>
      </w:r>
      <w:r w:rsidR="00861CBE">
        <w:rPr>
          <w:rFonts w:ascii="Times New Roman" w:hAnsi="Times New Roman"/>
        </w:rPr>
        <w:t>19 and 20 tools have been field-</w:t>
      </w:r>
      <w:r w:rsidR="00344CCC" w:rsidRPr="00AF457A">
        <w:rPr>
          <w:rFonts w:ascii="Times New Roman" w:hAnsi="Times New Roman"/>
        </w:rPr>
        <w:t xml:space="preserve">tested in the development process, or revised after a time, the changes </w:t>
      </w:r>
      <w:r w:rsidR="00861CBE">
        <w:rPr>
          <w:rFonts w:ascii="Times New Roman" w:hAnsi="Times New Roman"/>
        </w:rPr>
        <w:t>made in the course of the field-</w:t>
      </w:r>
      <w:r w:rsidR="00344CCC" w:rsidRPr="00AF457A">
        <w:rPr>
          <w:rFonts w:ascii="Times New Roman" w:hAnsi="Times New Roman"/>
        </w:rPr>
        <w:t>testing or revision are likely to reflect lessons learned of interest to Parties and others. Authors of tools who have or intend to revise a tool might be requested to provide information on the nature and reason for the revisions made</w:t>
      </w:r>
      <w:r w:rsidR="000F301F">
        <w:rPr>
          <w:rFonts w:ascii="Times New Roman" w:hAnsi="Times New Roman"/>
        </w:rPr>
        <w:t>, including for the purposes of the stock-taking that COP-MOP is to undertake</w:t>
      </w:r>
      <w:r w:rsidR="00344CCC" w:rsidRPr="00AF457A">
        <w:rPr>
          <w:rFonts w:ascii="Times New Roman" w:hAnsi="Times New Roman"/>
        </w:rPr>
        <w:t xml:space="preserve">. </w:t>
      </w:r>
    </w:p>
    <w:p w:rsidR="007C3604" w:rsidRDefault="00344CCC" w:rsidP="00AF457A">
      <w:pPr>
        <w:pStyle w:val="a3"/>
        <w:numPr>
          <w:ilvl w:val="0"/>
          <w:numId w:val="121"/>
        </w:numPr>
        <w:spacing w:before="120" w:after="120"/>
        <w:jc w:val="both"/>
        <w:rPr>
          <w:rFonts w:ascii="Times New Roman" w:hAnsi="Times New Roman"/>
        </w:rPr>
      </w:pPr>
      <w:r w:rsidRPr="00AF457A">
        <w:rPr>
          <w:rFonts w:ascii="Times New Roman" w:hAnsi="Times New Roman"/>
        </w:rPr>
        <w:t xml:space="preserve">It is unlikely that those Article 19 and 20 tools easily available through the SCBD and other sources reflect all those in existence. It is not clear also whether those tools represent all sectors in which access and benefit-sharing agreements do or should form a part of standard practice. Parties might review whether all sectors and tools developed for use in their jurisdiction have been identified, and/or communicated to the SCBD, including through the </w:t>
      </w:r>
      <w:r w:rsidR="00B21C92">
        <w:rPr>
          <w:rFonts w:ascii="Times New Roman" w:hAnsi="Times New Roman"/>
        </w:rPr>
        <w:t xml:space="preserve">ABS </w:t>
      </w:r>
      <w:r w:rsidRPr="00AF457A">
        <w:rPr>
          <w:rFonts w:ascii="Times New Roman" w:hAnsi="Times New Roman"/>
        </w:rPr>
        <w:t xml:space="preserve">Clearing-House. </w:t>
      </w:r>
      <w:r w:rsidR="00F83AA0">
        <w:rPr>
          <w:rFonts w:ascii="Times New Roman" w:hAnsi="Times New Roman"/>
        </w:rPr>
        <w:t>The periodic stock-taking of Article 19 and 20 tools to be undertaken by COP-MOP could also consider whether all sectors and tools have been identified.</w:t>
      </w:r>
    </w:p>
    <w:p w:rsidR="00344CCC" w:rsidRPr="00AF457A" w:rsidRDefault="00344CCC" w:rsidP="00AF457A">
      <w:pPr>
        <w:pStyle w:val="a3"/>
        <w:numPr>
          <w:ilvl w:val="0"/>
          <w:numId w:val="121"/>
        </w:numPr>
        <w:spacing w:before="120" w:after="120"/>
        <w:jc w:val="both"/>
        <w:rPr>
          <w:rFonts w:ascii="Times New Roman" w:hAnsi="Times New Roman"/>
        </w:rPr>
      </w:pPr>
      <w:r w:rsidRPr="00AF457A">
        <w:rPr>
          <w:rFonts w:ascii="Times New Roman" w:hAnsi="Times New Roman"/>
        </w:rPr>
        <w:t>The active collection of model tools</w:t>
      </w:r>
      <w:r w:rsidR="007C3604">
        <w:rPr>
          <w:rFonts w:ascii="Times New Roman" w:hAnsi="Times New Roman"/>
        </w:rPr>
        <w:t xml:space="preserve">, whether by the Secretariat of </w:t>
      </w:r>
      <w:r w:rsidRPr="00AF457A">
        <w:rPr>
          <w:rFonts w:ascii="Times New Roman" w:hAnsi="Times New Roman"/>
        </w:rPr>
        <w:t xml:space="preserve">the CBD or </w:t>
      </w:r>
      <w:r w:rsidR="007C3604">
        <w:rPr>
          <w:rFonts w:ascii="Times New Roman" w:hAnsi="Times New Roman"/>
        </w:rPr>
        <w:t>another organization, would</w:t>
      </w:r>
      <w:r w:rsidRPr="00AF457A">
        <w:rPr>
          <w:rFonts w:ascii="Times New Roman" w:hAnsi="Times New Roman"/>
        </w:rPr>
        <w:t xml:space="preserve"> complement the submission of models by Parties to the ABS Clearing-House, and may be particularly helpful in ensuring that all tools from all relevant sectors are identified and made available more widely.</w:t>
      </w:r>
    </w:p>
    <w:p w:rsidR="003D1097" w:rsidRDefault="003D46D8" w:rsidP="003D1097">
      <w:pPr>
        <w:pStyle w:val="a3"/>
        <w:numPr>
          <w:ilvl w:val="0"/>
          <w:numId w:val="121"/>
        </w:numPr>
        <w:spacing w:before="120" w:after="120"/>
        <w:jc w:val="both"/>
        <w:rPr>
          <w:rFonts w:ascii="Times New Roman" w:hAnsi="Times New Roman"/>
        </w:rPr>
      </w:pPr>
      <w:r w:rsidRPr="00AF457A">
        <w:rPr>
          <w:rFonts w:ascii="Times New Roman" w:hAnsi="Times New Roman"/>
        </w:rPr>
        <w:t>I</w:t>
      </w:r>
      <w:r w:rsidR="00344CCC" w:rsidRPr="00AF457A">
        <w:rPr>
          <w:rFonts w:ascii="Times New Roman" w:hAnsi="Times New Roman"/>
        </w:rPr>
        <w:t>t would be useful to consider any overlap in the range of tools suitable for inclusion in WIPO’s database</w:t>
      </w:r>
      <w:r w:rsidR="003D1097">
        <w:rPr>
          <w:rFonts w:ascii="Times New Roman" w:hAnsi="Times New Roman"/>
        </w:rPr>
        <w:t xml:space="preserve">s </w:t>
      </w:r>
      <w:r w:rsidR="00344CCC" w:rsidRPr="00AF457A">
        <w:rPr>
          <w:rFonts w:ascii="Times New Roman" w:hAnsi="Times New Roman"/>
        </w:rPr>
        <w:t xml:space="preserve">and those tools suitable for reporting through the </w:t>
      </w:r>
      <w:r w:rsidR="00B21C92">
        <w:rPr>
          <w:rFonts w:ascii="Times New Roman" w:hAnsi="Times New Roman"/>
        </w:rPr>
        <w:t xml:space="preserve">ABS </w:t>
      </w:r>
      <w:r w:rsidR="00344CCC" w:rsidRPr="00AF457A">
        <w:rPr>
          <w:rFonts w:ascii="Times New Roman" w:hAnsi="Times New Roman"/>
        </w:rPr>
        <w:t>Clearing-House. In order to streamline the use of resources, and to make information more easily available to Parties and stakeholders, consideration might be given as to whether there would be value in further integration between the WIPO databases and CBD information sources, including continued cross-referencing and sharing of new entries, and the role of the ABS Clearing-House to this end.</w:t>
      </w:r>
    </w:p>
    <w:p w:rsidR="00BC1232" w:rsidRDefault="00962BF4" w:rsidP="00962BF4">
      <w:pPr>
        <w:pStyle w:val="a3"/>
        <w:numPr>
          <w:ilvl w:val="0"/>
          <w:numId w:val="121"/>
        </w:numPr>
        <w:spacing w:before="120" w:after="120"/>
        <w:jc w:val="both"/>
        <w:rPr>
          <w:rFonts w:ascii="Times New Roman" w:hAnsi="Times New Roman"/>
        </w:rPr>
      </w:pPr>
      <w:r>
        <w:rPr>
          <w:rFonts w:ascii="Times New Roman" w:hAnsi="Times New Roman"/>
        </w:rPr>
        <w:t>Note that a</w:t>
      </w:r>
      <w:r w:rsidR="00BC1232">
        <w:rPr>
          <w:rFonts w:ascii="Times New Roman" w:hAnsi="Times New Roman"/>
        </w:rPr>
        <w:t>t its Fourteenth Session</w:t>
      </w:r>
      <w:r w:rsidR="0075464B">
        <w:rPr>
          <w:rFonts w:ascii="Times New Roman" w:hAnsi="Times New Roman"/>
        </w:rPr>
        <w:t>,</w:t>
      </w:r>
      <w:r w:rsidR="00BC1232">
        <w:rPr>
          <w:rFonts w:ascii="Times New Roman" w:hAnsi="Times New Roman"/>
        </w:rPr>
        <w:t xml:space="preserve"> the </w:t>
      </w:r>
      <w:r w:rsidR="00BC1232" w:rsidRPr="00BC1232">
        <w:rPr>
          <w:rFonts w:ascii="Times New Roman" w:hAnsi="Times New Roman"/>
        </w:rPr>
        <w:t>Commission on Genetic Resource for Food and Agriculture</w:t>
      </w:r>
      <w:r w:rsidR="00BC1232">
        <w:rPr>
          <w:rFonts w:ascii="Times New Roman" w:hAnsi="Times New Roman"/>
        </w:rPr>
        <w:t xml:space="preserve"> made a number of requests to its Secretary, intergovernmental technical working group</w:t>
      </w:r>
      <w:r w:rsidR="0075464B">
        <w:rPr>
          <w:rFonts w:ascii="Times New Roman" w:hAnsi="Times New Roman"/>
        </w:rPr>
        <w:t>s</w:t>
      </w:r>
      <w:r w:rsidR="00BC1232">
        <w:rPr>
          <w:rFonts w:ascii="Times New Roman" w:hAnsi="Times New Roman"/>
        </w:rPr>
        <w:t xml:space="preserve"> and Members of the Commission </w:t>
      </w:r>
      <w:r>
        <w:rPr>
          <w:rFonts w:ascii="Times New Roman" w:hAnsi="Times New Roman"/>
        </w:rPr>
        <w:t xml:space="preserve">to take various steps to gather </w:t>
      </w:r>
      <w:r w:rsidR="007D5D7E">
        <w:rPr>
          <w:rFonts w:ascii="Times New Roman" w:hAnsi="Times New Roman"/>
        </w:rPr>
        <w:t>information on</w:t>
      </w:r>
      <w:r w:rsidR="00BC1232">
        <w:rPr>
          <w:rFonts w:ascii="Times New Roman" w:hAnsi="Times New Roman"/>
        </w:rPr>
        <w:t xml:space="preserve"> voluntary codes of conduct, guidelines and best practices and/or standards in the particular context of genetic resources</w:t>
      </w:r>
      <w:r>
        <w:rPr>
          <w:rFonts w:ascii="Times New Roman" w:hAnsi="Times New Roman"/>
        </w:rPr>
        <w:t xml:space="preserve"> for food and agriculture, including as relevant to </w:t>
      </w:r>
      <w:r w:rsidR="00BC1232">
        <w:rPr>
          <w:rFonts w:ascii="Times New Roman" w:hAnsi="Times New Roman"/>
        </w:rPr>
        <w:t>specific subsectors</w:t>
      </w:r>
      <w:r w:rsidR="007D5D7E">
        <w:rPr>
          <w:rFonts w:ascii="Times New Roman" w:hAnsi="Times New Roman"/>
        </w:rPr>
        <w:t>,</w:t>
      </w:r>
      <w:r>
        <w:rPr>
          <w:rFonts w:ascii="Times New Roman" w:hAnsi="Times New Roman"/>
        </w:rPr>
        <w:t xml:space="preserve"> for consideration at its Fifteenth </w:t>
      </w:r>
      <w:r w:rsidR="007D5D7E">
        <w:rPr>
          <w:rFonts w:ascii="Times New Roman" w:hAnsi="Times New Roman"/>
        </w:rPr>
        <w:t>S</w:t>
      </w:r>
      <w:r>
        <w:rPr>
          <w:rFonts w:ascii="Times New Roman" w:hAnsi="Times New Roman"/>
        </w:rPr>
        <w:t>ession</w:t>
      </w:r>
      <w:r w:rsidR="007D5D7E">
        <w:rPr>
          <w:rFonts w:ascii="Times New Roman" w:hAnsi="Times New Roman"/>
        </w:rPr>
        <w:t>, while acknowledging that voluntary measures should not undermine legally binding provisions developed as part of domestic legislative, administrative or policy measures</w:t>
      </w:r>
      <w:r>
        <w:rPr>
          <w:rFonts w:ascii="Times New Roman" w:hAnsi="Times New Roman"/>
        </w:rPr>
        <w:t>. These inputs</w:t>
      </w:r>
      <w:r w:rsidR="00BC1232">
        <w:rPr>
          <w:rFonts w:ascii="Times New Roman" w:hAnsi="Times New Roman"/>
        </w:rPr>
        <w:t xml:space="preserve"> </w:t>
      </w:r>
      <w:r w:rsidRPr="00962BF4">
        <w:rPr>
          <w:rFonts w:ascii="Times New Roman" w:hAnsi="Times New Roman"/>
        </w:rPr>
        <w:t>would</w:t>
      </w:r>
      <w:r w:rsidR="007D5D7E">
        <w:rPr>
          <w:rFonts w:ascii="Times New Roman" w:hAnsi="Times New Roman"/>
        </w:rPr>
        <w:t xml:space="preserve"> also</w:t>
      </w:r>
      <w:r w:rsidRPr="00962BF4">
        <w:rPr>
          <w:rFonts w:ascii="Times New Roman" w:hAnsi="Times New Roman"/>
        </w:rPr>
        <w:t xml:space="preserve"> contribute to the development of </w:t>
      </w:r>
      <w:r w:rsidRPr="00962BF4">
        <w:rPr>
          <w:rFonts w:ascii="Times New Roman" w:hAnsi="Times New Roman"/>
          <w:i/>
        </w:rPr>
        <w:t xml:space="preserve">Draft Elements to Facilitate Domestic Implementation of Access and Benefit-Sharing for Different Subsectors of </w:t>
      </w:r>
      <w:r w:rsidRPr="00962BF4">
        <w:rPr>
          <w:rFonts w:ascii="Times New Roman" w:hAnsi="Times New Roman"/>
          <w:i/>
        </w:rPr>
        <w:lastRenderedPageBreak/>
        <w:t>Geneti</w:t>
      </w:r>
      <w:r>
        <w:rPr>
          <w:rFonts w:ascii="Times New Roman" w:hAnsi="Times New Roman"/>
          <w:i/>
        </w:rPr>
        <w:t>c Resources for Food and Agricu</w:t>
      </w:r>
      <w:r w:rsidRPr="00962BF4">
        <w:rPr>
          <w:rFonts w:ascii="Times New Roman" w:hAnsi="Times New Roman"/>
          <w:i/>
        </w:rPr>
        <w:t>l</w:t>
      </w:r>
      <w:r>
        <w:rPr>
          <w:rFonts w:ascii="Times New Roman" w:hAnsi="Times New Roman"/>
          <w:i/>
        </w:rPr>
        <w:t>t</w:t>
      </w:r>
      <w:r w:rsidRPr="00962BF4">
        <w:rPr>
          <w:rFonts w:ascii="Times New Roman" w:hAnsi="Times New Roman"/>
          <w:i/>
        </w:rPr>
        <w:t>ure</w:t>
      </w:r>
      <w:r w:rsidRPr="00A86195">
        <w:rPr>
          <w:rStyle w:val="af"/>
          <w:rFonts w:ascii="Times New Roman" w:hAnsi="Times New Roman"/>
        </w:rPr>
        <w:footnoteReference w:id="88"/>
      </w:r>
      <w:r>
        <w:rPr>
          <w:rFonts w:ascii="Times New Roman" w:hAnsi="Times New Roman"/>
        </w:rPr>
        <w:t xml:space="preserve">. The sharing of </w:t>
      </w:r>
      <w:r w:rsidR="00AE3737">
        <w:rPr>
          <w:rFonts w:ascii="Times New Roman" w:hAnsi="Times New Roman"/>
        </w:rPr>
        <w:t xml:space="preserve">analysis and </w:t>
      </w:r>
      <w:r>
        <w:rPr>
          <w:rFonts w:ascii="Times New Roman" w:hAnsi="Times New Roman"/>
        </w:rPr>
        <w:t xml:space="preserve">information among and between the Secretariats of and the different international processes focusing on </w:t>
      </w:r>
      <w:r w:rsidRPr="00962BF4">
        <w:rPr>
          <w:rFonts w:ascii="Times New Roman" w:hAnsi="Times New Roman"/>
        </w:rPr>
        <w:t>model contractual clauses, voluntary codes of conduct, guidelines and best practices and/or standards</w:t>
      </w:r>
      <w:r>
        <w:rPr>
          <w:rFonts w:ascii="Times New Roman" w:hAnsi="Times New Roman"/>
        </w:rPr>
        <w:t xml:space="preserve"> is encouraged. </w:t>
      </w:r>
    </w:p>
    <w:p w:rsidR="003D1097" w:rsidRPr="009B2096" w:rsidRDefault="009B2096" w:rsidP="009B2096">
      <w:pPr>
        <w:spacing w:before="120" w:after="120"/>
        <w:ind w:left="360"/>
        <w:jc w:val="both"/>
        <w:rPr>
          <w:rFonts w:ascii="Times New Roman" w:hAnsi="Times New Roman"/>
        </w:rPr>
      </w:pPr>
      <w:r>
        <w:rPr>
          <w:rFonts w:ascii="Times New Roman" w:hAnsi="Times New Roman"/>
        </w:rPr>
        <w:t>Finally, it is important to note that m</w:t>
      </w:r>
      <w:r w:rsidR="00344CCC" w:rsidRPr="009B2096">
        <w:rPr>
          <w:rFonts w:ascii="Times New Roman" w:hAnsi="Times New Roman"/>
        </w:rPr>
        <w:t>odel contractual clauses, codes of conduct, guidelines, best practices and standards can only do so much. While mode</w:t>
      </w:r>
      <w:r w:rsidR="006F18E1" w:rsidRPr="009B2096">
        <w:rPr>
          <w:rFonts w:ascii="Times New Roman" w:hAnsi="Times New Roman"/>
        </w:rPr>
        <w:t>l</w:t>
      </w:r>
      <w:r w:rsidR="00344CCC" w:rsidRPr="009B2096">
        <w:rPr>
          <w:rFonts w:ascii="Times New Roman" w:hAnsi="Times New Roman"/>
        </w:rPr>
        <w:t xml:space="preserve"> tools can be very useful in supporting awareness of ABS, particularly in the absence of national policy or regulation, the existence of such model tools does not, in most cases, negate the need for </w:t>
      </w:r>
      <w:r w:rsidR="00B21C92">
        <w:rPr>
          <w:rFonts w:ascii="Times New Roman" w:hAnsi="Times New Roman"/>
        </w:rPr>
        <w:t>ABS</w:t>
      </w:r>
      <w:r w:rsidR="00344CCC" w:rsidRPr="009B2096">
        <w:rPr>
          <w:rFonts w:ascii="Times New Roman" w:hAnsi="Times New Roman"/>
        </w:rPr>
        <w:t xml:space="preserve"> agreements to be tailored to the specific scenario at hand, or for both parties to have independent advice prior to the conclusion of an access and benefit-sharing agreement between them. Difficulties in accessing independent expert advice may be a particular issue for indigenous and local communities who seek to assert their interests in </w:t>
      </w:r>
      <w:r w:rsidR="00B21C92">
        <w:rPr>
          <w:rFonts w:ascii="Times New Roman" w:hAnsi="Times New Roman"/>
        </w:rPr>
        <w:t>ABS</w:t>
      </w:r>
      <w:r w:rsidR="00344CCC" w:rsidRPr="009B2096">
        <w:rPr>
          <w:rFonts w:ascii="Times New Roman" w:hAnsi="Times New Roman"/>
        </w:rPr>
        <w:t xml:space="preserve"> negotiations. Resources for situation specific advice will continue to be needed by</w:t>
      </w:r>
      <w:r w:rsidR="00861CBE">
        <w:rPr>
          <w:rFonts w:ascii="Times New Roman" w:hAnsi="Times New Roman"/>
        </w:rPr>
        <w:t xml:space="preserve"> such providers on an agreement </w:t>
      </w:r>
      <w:r w:rsidR="00344CCC" w:rsidRPr="009B2096">
        <w:rPr>
          <w:rFonts w:ascii="Times New Roman" w:hAnsi="Times New Roman"/>
        </w:rPr>
        <w:t>by agreement basis. Parties might consider such needs when developing national capacity self</w:t>
      </w:r>
      <w:r w:rsidR="0075464B">
        <w:rPr>
          <w:rFonts w:ascii="Times New Roman" w:hAnsi="Times New Roman"/>
        </w:rPr>
        <w:t>-</w:t>
      </w:r>
      <w:r w:rsidR="00344CCC" w:rsidRPr="009B2096">
        <w:rPr>
          <w:rFonts w:ascii="Times New Roman" w:hAnsi="Times New Roman"/>
        </w:rPr>
        <w:t>assessments under Article 22(3) of the Protocol.</w:t>
      </w:r>
    </w:p>
    <w:p w:rsidR="00366B2B" w:rsidRDefault="00366B2B" w:rsidP="009B28D4">
      <w:pPr>
        <w:spacing w:before="120" w:after="120" w:line="360" w:lineRule="auto"/>
        <w:rPr>
          <w:rFonts w:ascii="Times New Roman" w:hAnsi="Times New Roman"/>
          <w:b/>
        </w:rPr>
      </w:pPr>
    </w:p>
    <w:p w:rsidR="00366B2B" w:rsidRDefault="00366B2B" w:rsidP="009B28D4">
      <w:pPr>
        <w:spacing w:before="120" w:after="120" w:line="360" w:lineRule="auto"/>
        <w:rPr>
          <w:rFonts w:ascii="Times New Roman" w:hAnsi="Times New Roman"/>
          <w:b/>
        </w:rPr>
      </w:pPr>
    </w:p>
    <w:p w:rsidR="00366B2B" w:rsidRDefault="00366B2B" w:rsidP="009B28D4">
      <w:pPr>
        <w:spacing w:before="120" w:after="120" w:line="360" w:lineRule="auto"/>
        <w:rPr>
          <w:rFonts w:ascii="Times New Roman" w:hAnsi="Times New Roman"/>
          <w:b/>
        </w:rPr>
      </w:pPr>
    </w:p>
    <w:p w:rsidR="00366B2B" w:rsidRDefault="00366B2B" w:rsidP="009B28D4">
      <w:pPr>
        <w:spacing w:before="120" w:after="120" w:line="360" w:lineRule="auto"/>
        <w:rPr>
          <w:rFonts w:ascii="Times New Roman" w:hAnsi="Times New Roman"/>
          <w:b/>
        </w:rPr>
      </w:pPr>
    </w:p>
    <w:p w:rsidR="007C3604" w:rsidRDefault="007C3604">
      <w:pPr>
        <w:spacing w:after="0" w:line="240" w:lineRule="auto"/>
        <w:rPr>
          <w:rFonts w:ascii="Times New Roman" w:hAnsi="Times New Roman"/>
          <w:b/>
        </w:rPr>
      </w:pPr>
      <w:r>
        <w:rPr>
          <w:rFonts w:ascii="Times New Roman" w:hAnsi="Times New Roman"/>
          <w:b/>
        </w:rPr>
        <w:br w:type="page"/>
      </w:r>
    </w:p>
    <w:p w:rsidR="00366B2B" w:rsidRDefault="00366B2B" w:rsidP="009B28D4">
      <w:pPr>
        <w:spacing w:before="120" w:after="120" w:line="360" w:lineRule="auto"/>
        <w:rPr>
          <w:rFonts w:ascii="Times New Roman" w:hAnsi="Times New Roman"/>
          <w:b/>
        </w:rPr>
      </w:pPr>
    </w:p>
    <w:p w:rsidR="0080559A" w:rsidRPr="00036F77" w:rsidRDefault="0080559A" w:rsidP="009B28D4">
      <w:pPr>
        <w:spacing w:before="120" w:after="120" w:line="360" w:lineRule="auto"/>
        <w:rPr>
          <w:rFonts w:ascii="Times New Roman" w:hAnsi="Times New Roman"/>
          <w:b/>
        </w:rPr>
      </w:pPr>
      <w:r>
        <w:rPr>
          <w:rFonts w:ascii="Times New Roman" w:hAnsi="Times New Roman"/>
          <w:b/>
        </w:rPr>
        <w:t>Annexes</w:t>
      </w:r>
    </w:p>
    <w:p w:rsidR="0080559A" w:rsidRDefault="0080559A" w:rsidP="004B12FE">
      <w:pPr>
        <w:pStyle w:val="a3"/>
        <w:numPr>
          <w:ilvl w:val="0"/>
          <w:numId w:val="2"/>
        </w:numPr>
        <w:spacing w:before="120" w:after="120" w:line="360" w:lineRule="auto"/>
        <w:rPr>
          <w:rFonts w:ascii="Times New Roman" w:hAnsi="Times New Roman"/>
        </w:rPr>
      </w:pPr>
      <w:r>
        <w:rPr>
          <w:rFonts w:ascii="Times New Roman" w:hAnsi="Times New Roman"/>
        </w:rPr>
        <w:t>Article 19 – Examples of Model Contractual Clauses</w:t>
      </w:r>
    </w:p>
    <w:p w:rsidR="0080559A" w:rsidRDefault="0080559A" w:rsidP="004B12FE">
      <w:pPr>
        <w:pStyle w:val="a3"/>
        <w:numPr>
          <w:ilvl w:val="0"/>
          <w:numId w:val="2"/>
        </w:numPr>
        <w:spacing w:before="120" w:after="120" w:line="360" w:lineRule="auto"/>
        <w:rPr>
          <w:rFonts w:ascii="Times New Roman" w:hAnsi="Times New Roman"/>
        </w:rPr>
      </w:pPr>
      <w:r>
        <w:rPr>
          <w:rFonts w:ascii="Times New Roman" w:hAnsi="Times New Roman"/>
        </w:rPr>
        <w:t xml:space="preserve">Article 20 – Examples of Codes of Conduct, Guidelines, Best Practices, </w:t>
      </w:r>
      <w:r w:rsidR="004A5530">
        <w:rPr>
          <w:rFonts w:ascii="Times New Roman" w:hAnsi="Times New Roman"/>
        </w:rPr>
        <w:t>and</w:t>
      </w:r>
      <w:r w:rsidR="004A5530">
        <w:rPr>
          <w:rFonts w:ascii="Times New Roman" w:hAnsi="Times New Roman" w:hint="eastAsia"/>
          <w:lang w:eastAsia="ja-JP"/>
        </w:rPr>
        <w:t xml:space="preserve"> </w:t>
      </w:r>
      <w:r>
        <w:rPr>
          <w:rFonts w:ascii="Times New Roman" w:hAnsi="Times New Roman"/>
        </w:rPr>
        <w:t>Standards</w:t>
      </w:r>
    </w:p>
    <w:p w:rsidR="0080559A" w:rsidRDefault="0080559A" w:rsidP="004B12FE">
      <w:pPr>
        <w:pStyle w:val="a3"/>
        <w:numPr>
          <w:ilvl w:val="0"/>
          <w:numId w:val="2"/>
        </w:numPr>
        <w:spacing w:before="120" w:after="120" w:line="360" w:lineRule="auto"/>
        <w:rPr>
          <w:rFonts w:ascii="Times New Roman" w:hAnsi="Times New Roman"/>
        </w:rPr>
      </w:pPr>
      <w:r>
        <w:rPr>
          <w:rFonts w:ascii="Times New Roman" w:hAnsi="Times New Roman"/>
        </w:rPr>
        <w:t xml:space="preserve">References </w:t>
      </w:r>
    </w:p>
    <w:p w:rsidR="0080559A" w:rsidRPr="00036F77" w:rsidRDefault="0080559A" w:rsidP="009B28D4">
      <w:pPr>
        <w:pStyle w:val="a3"/>
        <w:spacing w:before="120" w:after="120" w:line="360" w:lineRule="auto"/>
        <w:ind w:left="1080"/>
        <w:rPr>
          <w:rFonts w:ascii="Times New Roman" w:hAnsi="Times New Roman"/>
        </w:rPr>
      </w:pPr>
    </w:p>
    <w:p w:rsidR="0080559A" w:rsidRPr="00B437EE" w:rsidRDefault="0080559A" w:rsidP="009B28D4">
      <w:pPr>
        <w:pStyle w:val="a3"/>
        <w:spacing w:before="120" w:after="120" w:line="360" w:lineRule="auto"/>
        <w:ind w:left="1080"/>
        <w:rPr>
          <w:rFonts w:ascii="Times New Roman" w:hAnsi="Times New Roman"/>
          <w:b/>
        </w:rPr>
      </w:pPr>
    </w:p>
    <w:p w:rsidR="0080559A" w:rsidRPr="00A64180" w:rsidRDefault="0080559A" w:rsidP="009B28D4">
      <w:pPr>
        <w:spacing w:before="120" w:after="120" w:line="360" w:lineRule="auto"/>
        <w:rPr>
          <w:rFonts w:ascii="Times New Roman" w:hAnsi="Times New Roman"/>
          <w:b/>
        </w:rPr>
      </w:pPr>
    </w:p>
    <w:p w:rsidR="0080559A" w:rsidRPr="00664CBE" w:rsidRDefault="0080559A" w:rsidP="00664CBE">
      <w:pPr>
        <w:autoSpaceDE w:val="0"/>
        <w:autoSpaceDN w:val="0"/>
        <w:adjustRightInd w:val="0"/>
        <w:spacing w:before="120" w:after="120" w:line="240" w:lineRule="auto"/>
        <w:rPr>
          <w:rFonts w:ascii="Times New Roman" w:hAnsi="Times New Roman"/>
          <w:highlight w:val="yellow"/>
        </w:rPr>
      </w:pPr>
    </w:p>
    <w:p w:rsidR="0080559A" w:rsidRDefault="0080559A" w:rsidP="00664CBE">
      <w:pPr>
        <w:autoSpaceDE w:val="0"/>
        <w:autoSpaceDN w:val="0"/>
        <w:adjustRightInd w:val="0"/>
        <w:spacing w:before="120" w:after="120" w:line="240" w:lineRule="auto"/>
        <w:rPr>
          <w:rFonts w:ascii="Times New Roman" w:hAnsi="Times New Roman"/>
          <w:highlight w:val="yellow"/>
        </w:rPr>
      </w:pPr>
    </w:p>
    <w:p w:rsidR="0080559A" w:rsidRPr="00855ABE" w:rsidRDefault="0080559A" w:rsidP="00855ABE">
      <w:pPr>
        <w:autoSpaceDE w:val="0"/>
        <w:autoSpaceDN w:val="0"/>
        <w:adjustRightInd w:val="0"/>
        <w:spacing w:after="0" w:line="240" w:lineRule="auto"/>
        <w:rPr>
          <w:rFonts w:ascii="Times New Roman" w:hAnsi="Times New Roman"/>
          <w:color w:val="000000"/>
          <w:sz w:val="16"/>
          <w:szCs w:val="16"/>
          <w:lang w:val="en-AU"/>
        </w:rPr>
      </w:pPr>
    </w:p>
    <w:p w:rsidR="0080559A" w:rsidRPr="00855ABE" w:rsidRDefault="0080559A" w:rsidP="00664CBE">
      <w:pPr>
        <w:rPr>
          <w:rFonts w:ascii="Times New Roman" w:hAnsi="Times New Roman"/>
          <w:sz w:val="14"/>
          <w:szCs w:val="14"/>
          <w:lang w:val="en-AU"/>
        </w:rPr>
      </w:pPr>
    </w:p>
    <w:p w:rsidR="0080559A" w:rsidRDefault="0080559A" w:rsidP="00664CBE">
      <w:pPr>
        <w:autoSpaceDE w:val="0"/>
        <w:autoSpaceDN w:val="0"/>
        <w:adjustRightInd w:val="0"/>
        <w:spacing w:before="120" w:after="120" w:line="240" w:lineRule="auto"/>
        <w:rPr>
          <w:rFonts w:ascii="Times New Roman" w:hAnsi="Times New Roman"/>
          <w:highlight w:val="yellow"/>
        </w:rPr>
      </w:pPr>
    </w:p>
    <w:p w:rsidR="0080559A" w:rsidRDefault="0080559A" w:rsidP="00664CBE">
      <w:pPr>
        <w:autoSpaceDE w:val="0"/>
        <w:autoSpaceDN w:val="0"/>
        <w:adjustRightInd w:val="0"/>
        <w:spacing w:before="120" w:after="120" w:line="240" w:lineRule="auto"/>
        <w:rPr>
          <w:rFonts w:ascii="Times New Roman" w:hAnsi="Times New Roman"/>
          <w:highlight w:val="yellow"/>
        </w:rPr>
      </w:pPr>
    </w:p>
    <w:p w:rsidR="0080559A" w:rsidRPr="00664CBE" w:rsidRDefault="0080559A" w:rsidP="00664CBE">
      <w:pPr>
        <w:autoSpaceDE w:val="0"/>
        <w:autoSpaceDN w:val="0"/>
        <w:adjustRightInd w:val="0"/>
        <w:spacing w:before="120" w:after="120" w:line="240" w:lineRule="auto"/>
        <w:rPr>
          <w:rFonts w:ascii="Times New Roman" w:hAnsi="Times New Roman"/>
          <w:highlight w:val="yellow"/>
        </w:rPr>
      </w:pPr>
    </w:p>
    <w:p w:rsidR="0080559A" w:rsidRPr="00664CBE" w:rsidRDefault="0080559A" w:rsidP="00157211">
      <w:pPr>
        <w:autoSpaceDE w:val="0"/>
        <w:autoSpaceDN w:val="0"/>
        <w:adjustRightInd w:val="0"/>
        <w:spacing w:before="120" w:after="120" w:line="240" w:lineRule="auto"/>
        <w:rPr>
          <w:rFonts w:ascii="Times New Roman" w:hAnsi="Times New Roman"/>
          <w:highlight w:val="yellow"/>
        </w:rPr>
      </w:pPr>
    </w:p>
    <w:p w:rsidR="0080559A" w:rsidRPr="00855ABE" w:rsidRDefault="0080559A" w:rsidP="00157211">
      <w:pPr>
        <w:autoSpaceDE w:val="0"/>
        <w:autoSpaceDN w:val="0"/>
        <w:adjustRightInd w:val="0"/>
        <w:spacing w:before="120" w:after="120" w:line="240" w:lineRule="auto"/>
        <w:rPr>
          <w:rFonts w:ascii="Times New Roman" w:hAnsi="Times New Roman"/>
          <w:highlight w:val="yellow"/>
          <w:lang w:val="en-AU"/>
        </w:rPr>
      </w:pPr>
    </w:p>
    <w:p w:rsidR="0080559A" w:rsidRPr="00855ABE" w:rsidRDefault="0080559A" w:rsidP="00157211">
      <w:pPr>
        <w:autoSpaceDE w:val="0"/>
        <w:autoSpaceDN w:val="0"/>
        <w:adjustRightInd w:val="0"/>
        <w:spacing w:before="120" w:after="120" w:line="240" w:lineRule="auto"/>
        <w:rPr>
          <w:rFonts w:ascii="Times New Roman" w:hAnsi="Times New Roman"/>
          <w:highlight w:val="yellow"/>
          <w:lang w:val="en-AU"/>
        </w:rPr>
      </w:pPr>
    </w:p>
    <w:p w:rsidR="0080559A" w:rsidRPr="00855ABE" w:rsidRDefault="0080559A" w:rsidP="00157211">
      <w:pPr>
        <w:autoSpaceDE w:val="0"/>
        <w:autoSpaceDN w:val="0"/>
        <w:adjustRightInd w:val="0"/>
        <w:spacing w:before="120" w:after="120" w:line="240" w:lineRule="auto"/>
        <w:rPr>
          <w:rFonts w:ascii="Times New Roman" w:hAnsi="Times New Roman"/>
          <w:highlight w:val="yellow"/>
          <w:lang w:val="en-AU"/>
        </w:rPr>
      </w:pPr>
    </w:p>
    <w:p w:rsidR="0080559A" w:rsidRPr="00855ABE" w:rsidRDefault="0080559A" w:rsidP="00157211">
      <w:pPr>
        <w:autoSpaceDE w:val="0"/>
        <w:autoSpaceDN w:val="0"/>
        <w:adjustRightInd w:val="0"/>
        <w:spacing w:before="120" w:after="120" w:line="240" w:lineRule="auto"/>
        <w:rPr>
          <w:rFonts w:ascii="Times New Roman" w:hAnsi="Times New Roman"/>
          <w:highlight w:val="yellow"/>
          <w:lang w:val="en-AU"/>
        </w:rPr>
      </w:pPr>
    </w:p>
    <w:p w:rsidR="0080559A" w:rsidRPr="00855ABE" w:rsidRDefault="0080559A" w:rsidP="00157211">
      <w:pPr>
        <w:autoSpaceDE w:val="0"/>
        <w:autoSpaceDN w:val="0"/>
        <w:adjustRightInd w:val="0"/>
        <w:spacing w:before="120" w:after="120" w:line="240" w:lineRule="auto"/>
        <w:rPr>
          <w:rFonts w:ascii="Times New Roman" w:hAnsi="Times New Roman"/>
          <w:highlight w:val="yellow"/>
          <w:lang w:val="en-AU"/>
        </w:rPr>
      </w:pPr>
    </w:p>
    <w:p w:rsidR="0080559A" w:rsidRPr="00855ABE" w:rsidRDefault="0080559A" w:rsidP="00157211">
      <w:pPr>
        <w:autoSpaceDE w:val="0"/>
        <w:autoSpaceDN w:val="0"/>
        <w:adjustRightInd w:val="0"/>
        <w:spacing w:before="120" w:after="120" w:line="240" w:lineRule="auto"/>
        <w:rPr>
          <w:rFonts w:ascii="Times New Roman" w:hAnsi="Times New Roman"/>
          <w:highlight w:val="yellow"/>
          <w:lang w:val="en-AU"/>
        </w:rPr>
      </w:pPr>
    </w:p>
    <w:p w:rsidR="0080559A" w:rsidRPr="00855ABE" w:rsidRDefault="0080559A" w:rsidP="00157211">
      <w:pPr>
        <w:autoSpaceDE w:val="0"/>
        <w:autoSpaceDN w:val="0"/>
        <w:adjustRightInd w:val="0"/>
        <w:spacing w:before="120" w:after="120" w:line="240" w:lineRule="auto"/>
        <w:rPr>
          <w:rFonts w:ascii="Times New Roman" w:hAnsi="Times New Roman"/>
          <w:highlight w:val="yellow"/>
          <w:lang w:val="en-AU"/>
        </w:rPr>
      </w:pPr>
    </w:p>
    <w:p w:rsidR="0080559A" w:rsidRPr="00855ABE" w:rsidRDefault="0080559A" w:rsidP="00157211">
      <w:pPr>
        <w:autoSpaceDE w:val="0"/>
        <w:autoSpaceDN w:val="0"/>
        <w:adjustRightInd w:val="0"/>
        <w:spacing w:before="120" w:after="120" w:line="240" w:lineRule="auto"/>
        <w:rPr>
          <w:rFonts w:ascii="Times New Roman" w:hAnsi="Times New Roman"/>
          <w:highlight w:val="yellow"/>
          <w:lang w:val="en-AU"/>
        </w:rPr>
      </w:pPr>
    </w:p>
    <w:p w:rsidR="0080559A" w:rsidRPr="00855ABE" w:rsidRDefault="0080559A" w:rsidP="00855ABE">
      <w:pPr>
        <w:autoSpaceDE w:val="0"/>
        <w:autoSpaceDN w:val="0"/>
        <w:adjustRightInd w:val="0"/>
        <w:spacing w:before="120" w:after="120" w:line="240" w:lineRule="auto"/>
        <w:rPr>
          <w:rFonts w:ascii="Times New Roman" w:hAnsi="Times New Roman"/>
          <w:lang w:val="en-AU"/>
        </w:rPr>
      </w:pPr>
    </w:p>
    <w:sectPr w:rsidR="0080559A" w:rsidRPr="00855ABE" w:rsidSect="00270B2E">
      <w:pgSz w:w="12240" w:h="15840" w:code="1"/>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3615" w:rsidRDefault="004D3615" w:rsidP="008C434B">
      <w:pPr>
        <w:spacing w:after="0" w:line="240" w:lineRule="auto"/>
      </w:pPr>
      <w:r>
        <w:separator/>
      </w:r>
    </w:p>
  </w:endnote>
  <w:endnote w:type="continuationSeparator" w:id="0">
    <w:p w:rsidR="004D3615" w:rsidRDefault="004D3615" w:rsidP="008C43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A00002EF" w:usb1="4000207B" w:usb2="00000000" w:usb3="00000000" w:csb0="0000009F" w:csb1="00000000"/>
  </w:font>
  <w:font w:name="ＭＳ 明朝">
    <w:altName w:val="MS Mincho"/>
    <w:panose1 w:val="02020609040205080304"/>
    <w:charset w:val="80"/>
    <w:family w:val="roman"/>
    <w:pitch w:val="fixed"/>
    <w:sig w:usb0="A00002BF" w:usb1="68C7FCFB" w:usb2="00000010" w:usb3="00000000" w:csb0="0002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ＭＳ ゴシック">
    <w:altName w:val="MS Gothic"/>
    <w:panose1 w:val="020B0609070205080204"/>
    <w:charset w:val="80"/>
    <w:family w:val="modern"/>
    <w:pitch w:val="fixed"/>
    <w:sig w:usb0="A00002BF" w:usb1="68C7FCFB" w:usb2="00000010"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615" w:rsidRDefault="006F117E" w:rsidP="00465715">
    <w:pPr>
      <w:pStyle w:val="af1"/>
      <w:framePr w:wrap="around" w:vAnchor="text" w:hAnchor="margin" w:xAlign="right" w:y="1"/>
      <w:rPr>
        <w:rStyle w:val="af3"/>
      </w:rPr>
    </w:pPr>
    <w:r>
      <w:rPr>
        <w:rStyle w:val="af3"/>
      </w:rPr>
      <w:fldChar w:fldCharType="begin"/>
    </w:r>
    <w:r w:rsidR="004D3615">
      <w:rPr>
        <w:rStyle w:val="af3"/>
      </w:rPr>
      <w:instrText xml:space="preserve">PAGE  </w:instrText>
    </w:r>
    <w:r>
      <w:rPr>
        <w:rStyle w:val="af3"/>
      </w:rPr>
      <w:fldChar w:fldCharType="end"/>
    </w:r>
  </w:p>
  <w:p w:rsidR="004D3615" w:rsidRDefault="004D3615" w:rsidP="00465715">
    <w:pPr>
      <w:pStyle w:val="af1"/>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615" w:rsidRPr="00855ABE" w:rsidRDefault="006F117E">
    <w:pPr>
      <w:pStyle w:val="af1"/>
      <w:jc w:val="right"/>
      <w:rPr>
        <w:rFonts w:ascii="Times New Roman" w:hAnsi="Times New Roman"/>
        <w:sz w:val="20"/>
        <w:szCs w:val="20"/>
      </w:rPr>
    </w:pPr>
    <w:r w:rsidRPr="00855ABE">
      <w:rPr>
        <w:rFonts w:ascii="Times New Roman" w:hAnsi="Times New Roman"/>
        <w:sz w:val="20"/>
        <w:szCs w:val="20"/>
      </w:rPr>
      <w:fldChar w:fldCharType="begin"/>
    </w:r>
    <w:r w:rsidR="004D3615" w:rsidRPr="00855ABE">
      <w:rPr>
        <w:rFonts w:ascii="Times New Roman" w:hAnsi="Times New Roman"/>
        <w:sz w:val="20"/>
        <w:szCs w:val="20"/>
      </w:rPr>
      <w:instrText xml:space="preserve"> PAGE   \* MERGEFORMAT </w:instrText>
    </w:r>
    <w:r w:rsidRPr="00855ABE">
      <w:rPr>
        <w:rFonts w:ascii="Times New Roman" w:hAnsi="Times New Roman"/>
        <w:sz w:val="20"/>
        <w:szCs w:val="20"/>
      </w:rPr>
      <w:fldChar w:fldCharType="separate"/>
    </w:r>
    <w:r w:rsidR="00664B19">
      <w:rPr>
        <w:rFonts w:ascii="Times New Roman" w:hAnsi="Times New Roman"/>
        <w:noProof/>
        <w:sz w:val="20"/>
        <w:szCs w:val="20"/>
      </w:rPr>
      <w:t>1</w:t>
    </w:r>
    <w:r w:rsidRPr="00855ABE">
      <w:rPr>
        <w:rFonts w:ascii="Times New Roman" w:hAnsi="Times New Roman"/>
        <w:sz w:val="20"/>
        <w:szCs w:val="20"/>
      </w:rPr>
      <w:fldChar w:fldCharType="end"/>
    </w:r>
  </w:p>
  <w:p w:rsidR="004D3615" w:rsidRDefault="004D3615" w:rsidP="00465715">
    <w:pPr>
      <w:pStyle w:val="af1"/>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3615" w:rsidRDefault="004D3615" w:rsidP="008C434B">
      <w:pPr>
        <w:spacing w:after="0" w:line="240" w:lineRule="auto"/>
      </w:pPr>
      <w:r>
        <w:separator/>
      </w:r>
    </w:p>
  </w:footnote>
  <w:footnote w:type="continuationSeparator" w:id="0">
    <w:p w:rsidR="004D3615" w:rsidRDefault="004D3615" w:rsidP="008C434B">
      <w:pPr>
        <w:spacing w:after="0" w:line="240" w:lineRule="auto"/>
      </w:pPr>
      <w:r>
        <w:continuationSeparator/>
      </w:r>
    </w:p>
  </w:footnote>
  <w:footnote w:id="1">
    <w:p w:rsidR="004D3615" w:rsidRDefault="004D3615">
      <w:pPr>
        <w:pStyle w:val="ad"/>
      </w:pPr>
      <w:r w:rsidRPr="00855ABE">
        <w:rPr>
          <w:rStyle w:val="af"/>
          <w:sz w:val="16"/>
          <w:szCs w:val="16"/>
        </w:rPr>
        <w:footnoteRef/>
      </w:r>
      <w:r w:rsidRPr="00855ABE">
        <w:rPr>
          <w:sz w:val="16"/>
          <w:szCs w:val="16"/>
        </w:rPr>
        <w:t xml:space="preserve"> </w:t>
      </w:r>
      <w:r w:rsidRPr="00855ABE">
        <w:rPr>
          <w:rFonts w:ascii="Times New Roman" w:hAnsi="Times New Roman"/>
          <w:bCs/>
          <w:sz w:val="16"/>
          <w:szCs w:val="16"/>
          <w:lang w:val="en-AU"/>
        </w:rPr>
        <w:t xml:space="preserve">UNEP/CBD/COP/11/35 Report of the eleventh meeting of the </w:t>
      </w:r>
      <w:r>
        <w:rPr>
          <w:rFonts w:ascii="Times New Roman" w:hAnsi="Times New Roman"/>
          <w:bCs/>
          <w:sz w:val="16"/>
          <w:szCs w:val="16"/>
          <w:lang w:val="en-AU"/>
        </w:rPr>
        <w:t xml:space="preserve"> C</w:t>
      </w:r>
      <w:r w:rsidRPr="00855ABE">
        <w:rPr>
          <w:rFonts w:ascii="Times New Roman" w:hAnsi="Times New Roman"/>
          <w:bCs/>
          <w:sz w:val="16"/>
          <w:szCs w:val="16"/>
          <w:lang w:val="en-AU"/>
        </w:rPr>
        <w:t>onference of the Parties to the Convention On Biological Diversity, Hyderabad, India, 8-19 October 2012, Decision XI/1</w:t>
      </w:r>
      <w:r>
        <w:rPr>
          <w:rFonts w:ascii="Times New Roman" w:hAnsi="Times New Roman"/>
          <w:bCs/>
          <w:sz w:val="16"/>
          <w:szCs w:val="16"/>
          <w:lang w:val="en-AU"/>
        </w:rPr>
        <w:t>.</w:t>
      </w:r>
      <w:r w:rsidRPr="000F3C2D">
        <w:rPr>
          <w:rFonts w:ascii="Times New Roman" w:hAnsi="Times New Roman"/>
          <w:sz w:val="16"/>
          <w:szCs w:val="16"/>
          <w:lang w:val="en-AU"/>
        </w:rPr>
        <w:t xml:space="preserve"> </w:t>
      </w:r>
    </w:p>
  </w:footnote>
  <w:footnote w:id="2">
    <w:p w:rsidR="004D3615" w:rsidRDefault="004D3615">
      <w:pPr>
        <w:pStyle w:val="ad"/>
      </w:pPr>
      <w:r w:rsidRPr="00855ABE">
        <w:rPr>
          <w:rStyle w:val="af"/>
          <w:rFonts w:ascii="Times New Roman" w:hAnsi="Times New Roman"/>
          <w:sz w:val="16"/>
          <w:szCs w:val="16"/>
        </w:rPr>
        <w:footnoteRef/>
      </w:r>
      <w:r w:rsidRPr="00855ABE">
        <w:rPr>
          <w:rFonts w:ascii="Times New Roman" w:hAnsi="Times New Roman"/>
          <w:sz w:val="16"/>
          <w:szCs w:val="16"/>
        </w:rPr>
        <w:t xml:space="preserve"> Note that to avoid confusion, throughout this study ‘Party’</w:t>
      </w:r>
      <w:r>
        <w:rPr>
          <w:rFonts w:ascii="Times New Roman" w:hAnsi="Times New Roman"/>
          <w:sz w:val="16"/>
          <w:szCs w:val="16"/>
        </w:rPr>
        <w:t xml:space="preserve"> </w:t>
      </w:r>
      <w:r w:rsidRPr="00855ABE">
        <w:rPr>
          <w:rFonts w:ascii="Times New Roman" w:hAnsi="Times New Roman"/>
          <w:sz w:val="16"/>
          <w:szCs w:val="16"/>
        </w:rPr>
        <w:t>refers to a state that</w:t>
      </w:r>
      <w:r>
        <w:rPr>
          <w:rFonts w:ascii="Times New Roman" w:hAnsi="Times New Roman"/>
          <w:sz w:val="16"/>
          <w:szCs w:val="16"/>
        </w:rPr>
        <w:t>,</w:t>
      </w:r>
      <w:r w:rsidRPr="00855ABE">
        <w:rPr>
          <w:rFonts w:ascii="Times New Roman" w:hAnsi="Times New Roman"/>
          <w:sz w:val="16"/>
          <w:szCs w:val="16"/>
        </w:rPr>
        <w:t xml:space="preserve"> </w:t>
      </w:r>
      <w:r>
        <w:rPr>
          <w:rFonts w:ascii="Times New Roman" w:hAnsi="Times New Roman"/>
          <w:sz w:val="16"/>
          <w:szCs w:val="16"/>
        </w:rPr>
        <w:t>having ratified or acceded to the Protocol is</w:t>
      </w:r>
      <w:r w:rsidRPr="00855ABE">
        <w:rPr>
          <w:rFonts w:ascii="Times New Roman" w:hAnsi="Times New Roman"/>
          <w:sz w:val="16"/>
          <w:szCs w:val="16"/>
        </w:rPr>
        <w:t xml:space="preserve"> bound by the Nagoya Protocol once it enters into force, whereas</w:t>
      </w:r>
      <w:r>
        <w:rPr>
          <w:rFonts w:ascii="Times New Roman" w:hAnsi="Times New Roman"/>
          <w:sz w:val="16"/>
          <w:szCs w:val="16"/>
        </w:rPr>
        <w:t xml:space="preserve"> </w:t>
      </w:r>
      <w:r w:rsidRPr="00855ABE">
        <w:rPr>
          <w:rFonts w:ascii="Times New Roman" w:hAnsi="Times New Roman"/>
          <w:sz w:val="16"/>
          <w:szCs w:val="16"/>
        </w:rPr>
        <w:t xml:space="preserve">‘party’ refers to one of the principals in a contract. </w:t>
      </w:r>
    </w:p>
  </w:footnote>
  <w:footnote w:id="3">
    <w:p w:rsidR="004D3615" w:rsidRDefault="004D3615">
      <w:pPr>
        <w:pStyle w:val="ad"/>
      </w:pPr>
      <w:r w:rsidRPr="00855ABE">
        <w:rPr>
          <w:rStyle w:val="af"/>
          <w:rFonts w:ascii="Times New Roman" w:hAnsi="Times New Roman"/>
          <w:sz w:val="16"/>
          <w:szCs w:val="16"/>
        </w:rPr>
        <w:footnoteRef/>
      </w:r>
      <w:r w:rsidRPr="00855ABE">
        <w:rPr>
          <w:rFonts w:ascii="Times New Roman" w:hAnsi="Times New Roman"/>
          <w:sz w:val="16"/>
          <w:szCs w:val="16"/>
        </w:rPr>
        <w:t xml:space="preserve"> </w:t>
      </w:r>
      <w:r>
        <w:rPr>
          <w:rFonts w:ascii="Times New Roman" w:hAnsi="Times New Roman"/>
          <w:sz w:val="16"/>
          <w:szCs w:val="16"/>
        </w:rPr>
        <w:t xml:space="preserve">Adopted pursuant to </w:t>
      </w:r>
      <w:r>
        <w:rPr>
          <w:rFonts w:ascii="Times New Roman" w:hAnsi="Times New Roman"/>
          <w:bCs/>
          <w:sz w:val="16"/>
          <w:szCs w:val="16"/>
        </w:rPr>
        <w:t>d</w:t>
      </w:r>
      <w:r w:rsidRPr="00B85F23">
        <w:rPr>
          <w:rFonts w:ascii="Times New Roman" w:hAnsi="Times New Roman"/>
          <w:bCs/>
          <w:sz w:val="16"/>
          <w:szCs w:val="16"/>
        </w:rPr>
        <w:t>ecision VI/24</w:t>
      </w:r>
      <w:r>
        <w:rPr>
          <w:rFonts w:ascii="Times New Roman" w:hAnsi="Times New Roman"/>
          <w:bCs/>
          <w:sz w:val="16"/>
          <w:szCs w:val="16"/>
        </w:rPr>
        <w:t>.</w:t>
      </w:r>
      <w:r w:rsidRPr="00B85F23">
        <w:rPr>
          <w:rFonts w:ascii="Times New Roman" w:hAnsi="Times New Roman"/>
          <w:b/>
          <w:bCs/>
          <w:sz w:val="16"/>
          <w:szCs w:val="16"/>
          <w:lang w:val="en-AU"/>
        </w:rPr>
        <w:t xml:space="preserve"> </w:t>
      </w:r>
      <w:proofErr w:type="gramStart"/>
      <w:r w:rsidRPr="00855ABE">
        <w:rPr>
          <w:rFonts w:ascii="Times New Roman" w:hAnsi="Times New Roman"/>
          <w:sz w:val="16"/>
          <w:szCs w:val="16"/>
        </w:rPr>
        <w:t>UNEP/CBD/COP/6/20 Report of the Sixth Meeting of the Conference of the Parties to the Con</w:t>
      </w:r>
      <w:r>
        <w:rPr>
          <w:rFonts w:ascii="Times New Roman" w:hAnsi="Times New Roman"/>
          <w:sz w:val="16"/>
          <w:szCs w:val="16"/>
        </w:rPr>
        <w:t>vention on Biological Diversity.</w:t>
      </w:r>
      <w:proofErr w:type="gramEnd"/>
      <w:r w:rsidRPr="00855ABE">
        <w:rPr>
          <w:rFonts w:ascii="Times New Roman" w:hAnsi="Times New Roman"/>
          <w:sz w:val="16"/>
          <w:szCs w:val="16"/>
        </w:rPr>
        <w:t xml:space="preserve"> </w:t>
      </w:r>
    </w:p>
  </w:footnote>
  <w:footnote w:id="4">
    <w:p w:rsidR="004D3615" w:rsidRDefault="004D3615">
      <w:pPr>
        <w:pStyle w:val="ad"/>
      </w:pPr>
      <w:r w:rsidRPr="00855ABE">
        <w:rPr>
          <w:rStyle w:val="af"/>
          <w:rFonts w:ascii="Times New Roman" w:hAnsi="Times New Roman"/>
          <w:sz w:val="16"/>
          <w:szCs w:val="16"/>
        </w:rPr>
        <w:footnoteRef/>
      </w:r>
      <w:r w:rsidRPr="00855ABE">
        <w:rPr>
          <w:rFonts w:ascii="Times New Roman" w:hAnsi="Times New Roman"/>
          <w:sz w:val="16"/>
          <w:szCs w:val="16"/>
        </w:rPr>
        <w:t xml:space="preserve"> Article 1 Convention on Biological Diversity.</w:t>
      </w:r>
    </w:p>
  </w:footnote>
  <w:footnote w:id="5">
    <w:p w:rsidR="004D3615" w:rsidRDefault="004D3615">
      <w:pPr>
        <w:pStyle w:val="ad"/>
      </w:pPr>
      <w:r w:rsidRPr="00855ABE">
        <w:rPr>
          <w:rStyle w:val="af"/>
          <w:rFonts w:ascii="Times New Roman" w:hAnsi="Times New Roman"/>
          <w:sz w:val="16"/>
          <w:szCs w:val="16"/>
        </w:rPr>
        <w:footnoteRef/>
      </w:r>
      <w:r w:rsidRPr="00855ABE">
        <w:rPr>
          <w:rFonts w:ascii="Times New Roman" w:hAnsi="Times New Roman"/>
          <w:sz w:val="16"/>
          <w:szCs w:val="16"/>
        </w:rPr>
        <w:t xml:space="preserve"> Article 15(1) Convention on Biological Diversity.</w:t>
      </w:r>
    </w:p>
  </w:footnote>
  <w:footnote w:id="6">
    <w:p w:rsidR="004D3615" w:rsidRDefault="004D3615">
      <w:pPr>
        <w:pStyle w:val="ad"/>
      </w:pPr>
      <w:r w:rsidRPr="00855ABE">
        <w:rPr>
          <w:rStyle w:val="af"/>
          <w:rFonts w:ascii="Times New Roman" w:hAnsi="Times New Roman"/>
          <w:sz w:val="16"/>
          <w:szCs w:val="16"/>
        </w:rPr>
        <w:footnoteRef/>
      </w:r>
      <w:r w:rsidRPr="00855ABE">
        <w:rPr>
          <w:rFonts w:ascii="Times New Roman" w:hAnsi="Times New Roman"/>
          <w:sz w:val="16"/>
          <w:szCs w:val="16"/>
        </w:rPr>
        <w:t xml:space="preserve"> </w:t>
      </w:r>
      <w:proofErr w:type="gramStart"/>
      <w:r w:rsidRPr="00855ABE">
        <w:rPr>
          <w:rFonts w:ascii="Times New Roman" w:hAnsi="Times New Roman"/>
          <w:sz w:val="16"/>
          <w:szCs w:val="16"/>
        </w:rPr>
        <w:t>Article 15(5) Convention on Biological Diversity.</w:t>
      </w:r>
      <w:proofErr w:type="gramEnd"/>
    </w:p>
  </w:footnote>
  <w:footnote w:id="7">
    <w:p w:rsidR="004D3615" w:rsidRDefault="004D3615">
      <w:pPr>
        <w:pStyle w:val="ad"/>
      </w:pPr>
      <w:r w:rsidRPr="00855ABE">
        <w:rPr>
          <w:rStyle w:val="af"/>
          <w:rFonts w:ascii="Times New Roman" w:hAnsi="Times New Roman"/>
          <w:sz w:val="16"/>
          <w:szCs w:val="16"/>
        </w:rPr>
        <w:footnoteRef/>
      </w:r>
      <w:r w:rsidRPr="00855ABE">
        <w:rPr>
          <w:rFonts w:ascii="Times New Roman" w:hAnsi="Times New Roman"/>
          <w:sz w:val="16"/>
          <w:szCs w:val="16"/>
        </w:rPr>
        <w:t>Article 8(j) Convention on Biological Diversity.</w:t>
      </w:r>
    </w:p>
  </w:footnote>
  <w:footnote w:id="8">
    <w:p w:rsidR="004D3615" w:rsidRDefault="004D3615">
      <w:pPr>
        <w:pStyle w:val="ad"/>
      </w:pPr>
      <w:r w:rsidRPr="00855ABE">
        <w:rPr>
          <w:rStyle w:val="af"/>
          <w:rFonts w:ascii="Times New Roman" w:hAnsi="Times New Roman"/>
          <w:sz w:val="16"/>
          <w:szCs w:val="16"/>
        </w:rPr>
        <w:footnoteRef/>
      </w:r>
      <w:proofErr w:type="gramStart"/>
      <w:r w:rsidRPr="00855ABE">
        <w:rPr>
          <w:rFonts w:ascii="Times New Roman" w:hAnsi="Times New Roman"/>
          <w:sz w:val="16"/>
          <w:szCs w:val="16"/>
        </w:rPr>
        <w:t>Article 15(4) Convention on Biological Diversity.</w:t>
      </w:r>
      <w:proofErr w:type="gramEnd"/>
    </w:p>
  </w:footnote>
  <w:footnote w:id="9">
    <w:p w:rsidR="004D3615" w:rsidRDefault="004D3615" w:rsidP="00855ABE">
      <w:pPr>
        <w:autoSpaceDE w:val="0"/>
        <w:autoSpaceDN w:val="0"/>
        <w:adjustRightInd w:val="0"/>
        <w:spacing w:after="0" w:line="240" w:lineRule="auto"/>
      </w:pPr>
      <w:r w:rsidRPr="00855ABE">
        <w:rPr>
          <w:rStyle w:val="af"/>
          <w:rFonts w:ascii="Times New Roman" w:hAnsi="Times New Roman"/>
          <w:sz w:val="16"/>
          <w:szCs w:val="16"/>
        </w:rPr>
        <w:footnoteRef/>
      </w:r>
      <w:r w:rsidRPr="00855ABE">
        <w:rPr>
          <w:rFonts w:ascii="Times New Roman" w:hAnsi="Times New Roman"/>
          <w:sz w:val="16"/>
          <w:szCs w:val="16"/>
        </w:rPr>
        <w:t xml:space="preserve"> </w:t>
      </w:r>
      <w:r>
        <w:rPr>
          <w:rFonts w:ascii="Times New Roman" w:hAnsi="Times New Roman"/>
          <w:sz w:val="16"/>
          <w:szCs w:val="16"/>
        </w:rPr>
        <w:t xml:space="preserve">See, for example, </w:t>
      </w:r>
      <w:proofErr w:type="spellStart"/>
      <w:r w:rsidRPr="00855ABE">
        <w:rPr>
          <w:rFonts w:ascii="Times New Roman" w:hAnsi="Times New Roman"/>
          <w:sz w:val="16"/>
          <w:szCs w:val="16"/>
          <w:lang w:val="en-AU"/>
        </w:rPr>
        <w:t>Tvedt</w:t>
      </w:r>
      <w:proofErr w:type="spellEnd"/>
      <w:r w:rsidRPr="00855ABE">
        <w:rPr>
          <w:rFonts w:ascii="Times New Roman" w:hAnsi="Times New Roman"/>
          <w:sz w:val="16"/>
          <w:szCs w:val="16"/>
          <w:lang w:val="en-AU"/>
        </w:rPr>
        <w:t xml:space="preserve"> MW and Young T (2007) </w:t>
      </w:r>
      <w:r w:rsidRPr="00855ABE">
        <w:rPr>
          <w:rFonts w:ascii="Times New Roman" w:hAnsi="Times New Roman"/>
          <w:iCs/>
          <w:sz w:val="16"/>
          <w:szCs w:val="16"/>
          <w:lang w:val="en-AU"/>
        </w:rPr>
        <w:t>Beyond Access: Exploring Implementation of the Fair and Equitable Sharing Commitment in the CBD</w:t>
      </w:r>
      <w:r w:rsidRPr="00855ABE">
        <w:rPr>
          <w:rFonts w:ascii="Times New Roman" w:hAnsi="Times New Roman"/>
          <w:sz w:val="16"/>
          <w:szCs w:val="16"/>
          <w:lang w:val="en-AU"/>
        </w:rPr>
        <w:t>, IUCN Environmental Policy and Law Paper No. 67/2. IUCN, Gland, Switzerland</w:t>
      </w:r>
      <w:r>
        <w:rPr>
          <w:rFonts w:ascii="Times New Roman" w:hAnsi="Times New Roman"/>
          <w:sz w:val="16"/>
          <w:szCs w:val="16"/>
          <w:lang w:val="en-AU"/>
        </w:rPr>
        <w:t>.</w:t>
      </w:r>
    </w:p>
  </w:footnote>
  <w:footnote w:id="10">
    <w:p w:rsidR="004D3615" w:rsidRDefault="004D3615">
      <w:pPr>
        <w:pStyle w:val="ad"/>
      </w:pPr>
      <w:r w:rsidRPr="00855ABE">
        <w:rPr>
          <w:rStyle w:val="af"/>
          <w:rFonts w:ascii="Times New Roman" w:hAnsi="Times New Roman"/>
          <w:sz w:val="16"/>
          <w:szCs w:val="16"/>
        </w:rPr>
        <w:footnoteRef/>
      </w:r>
      <w:r w:rsidRPr="00855ABE">
        <w:rPr>
          <w:rFonts w:ascii="Times New Roman" w:hAnsi="Times New Roman"/>
          <w:sz w:val="16"/>
          <w:szCs w:val="16"/>
        </w:rPr>
        <w:t xml:space="preserve"> Noting that the Bonn Guidelines were prepared with a view to </w:t>
      </w:r>
      <w:r>
        <w:rPr>
          <w:rFonts w:ascii="Times New Roman" w:hAnsi="Times New Roman"/>
          <w:sz w:val="16"/>
          <w:szCs w:val="16"/>
        </w:rPr>
        <w:t>reducing transaction costs - see section I A 7</w:t>
      </w:r>
      <w:r w:rsidRPr="00CF3BC4">
        <w:rPr>
          <w:rFonts w:ascii="Times New Roman" w:hAnsi="Times New Roman"/>
          <w:sz w:val="16"/>
          <w:szCs w:val="16"/>
        </w:rPr>
        <w:t>(c)</w:t>
      </w:r>
      <w:r>
        <w:rPr>
          <w:rFonts w:ascii="Times New Roman" w:hAnsi="Times New Roman"/>
          <w:sz w:val="16"/>
          <w:szCs w:val="16"/>
        </w:rPr>
        <w:t>.</w:t>
      </w:r>
      <w:r w:rsidRPr="00855ABE">
        <w:rPr>
          <w:rFonts w:ascii="Times New Roman" w:hAnsi="Times New Roman"/>
          <w:sz w:val="16"/>
          <w:szCs w:val="16"/>
        </w:rPr>
        <w:t xml:space="preserve"> </w:t>
      </w:r>
    </w:p>
  </w:footnote>
  <w:footnote w:id="11">
    <w:p w:rsidR="004D3615" w:rsidRDefault="004D3615">
      <w:pPr>
        <w:pStyle w:val="ad"/>
      </w:pPr>
      <w:r w:rsidRPr="00855ABE">
        <w:rPr>
          <w:rStyle w:val="af"/>
          <w:rFonts w:ascii="Times New Roman" w:hAnsi="Times New Roman"/>
          <w:sz w:val="16"/>
          <w:szCs w:val="16"/>
        </w:rPr>
        <w:footnoteRef/>
      </w:r>
      <w:r w:rsidRPr="00855ABE">
        <w:rPr>
          <w:rFonts w:ascii="Times New Roman" w:hAnsi="Times New Roman"/>
          <w:sz w:val="16"/>
          <w:szCs w:val="16"/>
        </w:rPr>
        <w:t xml:space="preserve"> See, Young</w:t>
      </w:r>
      <w:r w:rsidRPr="00855ABE">
        <w:rPr>
          <w:rFonts w:ascii="Times New Roman" w:hAnsi="Times New Roman"/>
          <w:bCs/>
          <w:i/>
          <w:iCs/>
          <w:sz w:val="16"/>
          <w:szCs w:val="16"/>
        </w:rPr>
        <w:t xml:space="preserve"> </w:t>
      </w:r>
      <w:r w:rsidRPr="00855ABE">
        <w:rPr>
          <w:rFonts w:ascii="Times New Roman" w:hAnsi="Times New Roman"/>
          <w:bCs/>
          <w:iCs/>
          <w:sz w:val="16"/>
          <w:szCs w:val="16"/>
        </w:rPr>
        <w:t xml:space="preserve">TR (2008) </w:t>
      </w:r>
      <w:r w:rsidRPr="00855ABE">
        <w:rPr>
          <w:rFonts w:ascii="Times New Roman" w:hAnsi="Times New Roman"/>
          <w:iCs/>
          <w:sz w:val="16"/>
          <w:szCs w:val="16"/>
        </w:rPr>
        <w:t>The Challenge of a New Regime: The Quest for Certainty in "Access to Genetic Resources and Benefit-Sharing.</w:t>
      </w:r>
      <w:r>
        <w:rPr>
          <w:rFonts w:ascii="Times New Roman" w:hAnsi="Times New Roman"/>
          <w:iCs/>
          <w:sz w:val="16"/>
          <w:szCs w:val="16"/>
        </w:rPr>
        <w:t>"</w:t>
      </w:r>
      <w:r w:rsidRPr="00855ABE">
        <w:rPr>
          <w:rFonts w:ascii="Times New Roman" w:hAnsi="Times New Roman"/>
          <w:sz w:val="16"/>
          <w:szCs w:val="16"/>
        </w:rPr>
        <w:t xml:space="preserve"> </w:t>
      </w:r>
      <w:r w:rsidRPr="00855ABE">
        <w:rPr>
          <w:rFonts w:ascii="Times New Roman" w:hAnsi="Times New Roman"/>
          <w:bCs/>
          <w:iCs/>
          <w:sz w:val="16"/>
          <w:szCs w:val="16"/>
        </w:rPr>
        <w:t>Asian Biotechnology and Development Review</w:t>
      </w:r>
      <w:r w:rsidRPr="00855ABE">
        <w:rPr>
          <w:rFonts w:ascii="Times New Roman" w:hAnsi="Times New Roman"/>
          <w:bCs/>
          <w:sz w:val="16"/>
          <w:szCs w:val="16"/>
        </w:rPr>
        <w:t>, Vol. 10, No 3</w:t>
      </w:r>
      <w:r>
        <w:rPr>
          <w:rFonts w:ascii="Times New Roman" w:hAnsi="Times New Roman"/>
          <w:bCs/>
          <w:sz w:val="16"/>
          <w:szCs w:val="16"/>
        </w:rPr>
        <w:t xml:space="preserve">; </w:t>
      </w:r>
      <w:r w:rsidRPr="00855ABE">
        <w:rPr>
          <w:rFonts w:ascii="Times New Roman" w:hAnsi="Times New Roman"/>
          <w:sz w:val="16"/>
          <w:szCs w:val="16"/>
        </w:rPr>
        <w:t xml:space="preserve"> </w:t>
      </w:r>
      <w:r w:rsidRPr="005275E1">
        <w:rPr>
          <w:rFonts w:ascii="Times New Roman" w:hAnsi="Times New Roman"/>
          <w:sz w:val="16"/>
          <w:szCs w:val="16"/>
        </w:rPr>
        <w:t>UNEP/CBD/WG-ABS/3/INF/10 Summary Analysis: Legal Certainty for Users of Genetic Resources under Existing Access and Benefit-sharing (ABS) Legislation and Policy February 2005</w:t>
      </w:r>
      <w:r>
        <w:rPr>
          <w:rFonts w:ascii="Times New Roman" w:hAnsi="Times New Roman"/>
          <w:sz w:val="16"/>
          <w:szCs w:val="16"/>
        </w:rPr>
        <w:t>.</w:t>
      </w:r>
    </w:p>
  </w:footnote>
  <w:footnote w:id="12">
    <w:p w:rsidR="004D3615" w:rsidRDefault="004D3615">
      <w:pPr>
        <w:pStyle w:val="ad"/>
      </w:pPr>
      <w:r w:rsidRPr="00855ABE">
        <w:rPr>
          <w:rStyle w:val="af"/>
          <w:rFonts w:ascii="Times New Roman" w:hAnsi="Times New Roman"/>
          <w:sz w:val="16"/>
          <w:szCs w:val="16"/>
        </w:rPr>
        <w:footnoteRef/>
      </w:r>
      <w:r w:rsidRPr="00855ABE">
        <w:rPr>
          <w:rFonts w:ascii="Times New Roman" w:hAnsi="Times New Roman"/>
          <w:sz w:val="16"/>
          <w:szCs w:val="16"/>
        </w:rPr>
        <w:t xml:space="preserve"> UNEP/CBD/COP/6/20 Report of the Sixth Meeting of the Conference of the Parties to the Convention on Biological Diversity  </w:t>
      </w:r>
      <w:r w:rsidRPr="00855ABE">
        <w:rPr>
          <w:rFonts w:ascii="Times New Roman" w:hAnsi="Times New Roman"/>
          <w:bCs/>
          <w:sz w:val="16"/>
          <w:szCs w:val="16"/>
        </w:rPr>
        <w:t>Decision VI/24</w:t>
      </w:r>
    </w:p>
  </w:footnote>
  <w:footnote w:id="13">
    <w:p w:rsidR="004D3615" w:rsidRDefault="004D3615">
      <w:pPr>
        <w:pStyle w:val="ad"/>
      </w:pPr>
      <w:r w:rsidRPr="00855ABE">
        <w:rPr>
          <w:rStyle w:val="af"/>
          <w:rFonts w:ascii="Times New Roman" w:hAnsi="Times New Roman"/>
          <w:sz w:val="16"/>
          <w:szCs w:val="16"/>
        </w:rPr>
        <w:footnoteRef/>
      </w:r>
      <w:r w:rsidRPr="00855ABE">
        <w:rPr>
          <w:rFonts w:ascii="Times New Roman" w:hAnsi="Times New Roman"/>
          <w:sz w:val="16"/>
          <w:szCs w:val="16"/>
        </w:rPr>
        <w:t xml:space="preserve"> See example model contracts, codes of conduct, standards, best practices described in Annex I and II of this study. </w:t>
      </w:r>
    </w:p>
  </w:footnote>
  <w:footnote w:id="14">
    <w:p w:rsidR="004D3615" w:rsidRDefault="004D3615" w:rsidP="001319DB">
      <w:pPr>
        <w:pStyle w:val="ad"/>
      </w:pPr>
      <w:r w:rsidRPr="001319DB">
        <w:rPr>
          <w:rStyle w:val="af"/>
          <w:rFonts w:ascii="Times New Roman" w:hAnsi="Times New Roman"/>
          <w:sz w:val="16"/>
          <w:szCs w:val="16"/>
        </w:rPr>
        <w:footnoteRef/>
      </w:r>
      <w:r w:rsidRPr="001319DB">
        <w:rPr>
          <w:rFonts w:ascii="Times New Roman" w:hAnsi="Times New Roman"/>
          <w:sz w:val="16"/>
          <w:szCs w:val="16"/>
        </w:rPr>
        <w:t xml:space="preserve"> Article 12(3)(c) of the Nagoya Protocol provides that Parties shall </w:t>
      </w:r>
      <w:proofErr w:type="spellStart"/>
      <w:r w:rsidRPr="001319DB">
        <w:rPr>
          <w:rFonts w:ascii="Times New Roman" w:hAnsi="Times New Roman"/>
          <w:sz w:val="16"/>
          <w:szCs w:val="16"/>
        </w:rPr>
        <w:t>endeavour</w:t>
      </w:r>
      <w:proofErr w:type="spellEnd"/>
      <w:r w:rsidRPr="001319DB">
        <w:rPr>
          <w:rFonts w:ascii="Times New Roman" w:hAnsi="Times New Roman"/>
          <w:sz w:val="16"/>
          <w:szCs w:val="16"/>
        </w:rPr>
        <w:t xml:space="preserve"> to support, as appropriate, the development by indigenous and local communities, including wome</w:t>
      </w:r>
      <w:r>
        <w:rPr>
          <w:rFonts w:ascii="Times New Roman" w:hAnsi="Times New Roman"/>
          <w:sz w:val="16"/>
          <w:szCs w:val="16"/>
        </w:rPr>
        <w:t>n within these communities, of m</w:t>
      </w:r>
      <w:r w:rsidRPr="001319DB">
        <w:rPr>
          <w:rFonts w:ascii="Times New Roman" w:hAnsi="Times New Roman"/>
          <w:sz w:val="16"/>
          <w:szCs w:val="16"/>
        </w:rPr>
        <w:t>odel contractual clauses for benefit-sharing arising from the utilization of traditional knowledge associated with genetic resources.</w:t>
      </w:r>
    </w:p>
  </w:footnote>
  <w:footnote w:id="15">
    <w:p w:rsidR="004D3615" w:rsidRDefault="004D3615">
      <w:pPr>
        <w:pStyle w:val="ad"/>
      </w:pPr>
      <w:r w:rsidRPr="00855ABE">
        <w:rPr>
          <w:rStyle w:val="af"/>
          <w:rFonts w:ascii="Times New Roman" w:hAnsi="Times New Roman"/>
          <w:sz w:val="16"/>
          <w:szCs w:val="16"/>
        </w:rPr>
        <w:footnoteRef/>
      </w:r>
      <w:r w:rsidRPr="00855ABE">
        <w:rPr>
          <w:rFonts w:ascii="Times New Roman" w:hAnsi="Times New Roman"/>
          <w:sz w:val="16"/>
          <w:szCs w:val="16"/>
        </w:rPr>
        <w:t xml:space="preserve"> Article 14</w:t>
      </w:r>
      <w:r w:rsidRPr="0069594A">
        <w:rPr>
          <w:rFonts w:ascii="Times New Roman" w:hAnsi="Times New Roman"/>
          <w:sz w:val="16"/>
          <w:szCs w:val="16"/>
        </w:rPr>
        <w:t xml:space="preserve"> of the Nagoya Protocol</w:t>
      </w:r>
      <w:r w:rsidRPr="00855ABE">
        <w:rPr>
          <w:rFonts w:ascii="Times New Roman" w:hAnsi="Times New Roman"/>
          <w:sz w:val="16"/>
          <w:szCs w:val="16"/>
        </w:rPr>
        <w:t xml:space="preserve"> includes model contractual clauses, codes of conduct and best practices among the additional information that may be made available to the Access and Benefit</w:t>
      </w:r>
      <w:r>
        <w:rPr>
          <w:rFonts w:ascii="Times New Roman" w:hAnsi="Times New Roman"/>
          <w:sz w:val="16"/>
          <w:szCs w:val="16"/>
        </w:rPr>
        <w:t>-</w:t>
      </w:r>
      <w:r w:rsidRPr="00855ABE">
        <w:rPr>
          <w:rFonts w:ascii="Times New Roman" w:hAnsi="Times New Roman"/>
          <w:sz w:val="16"/>
          <w:szCs w:val="16"/>
        </w:rPr>
        <w:t>Sharing Clearing</w:t>
      </w:r>
      <w:r>
        <w:rPr>
          <w:rFonts w:ascii="Times New Roman" w:hAnsi="Times New Roman"/>
          <w:sz w:val="16"/>
          <w:szCs w:val="16"/>
        </w:rPr>
        <w:t>-</w:t>
      </w:r>
      <w:r w:rsidRPr="00855ABE">
        <w:rPr>
          <w:rFonts w:ascii="Times New Roman" w:hAnsi="Times New Roman"/>
          <w:sz w:val="16"/>
          <w:szCs w:val="16"/>
        </w:rPr>
        <w:t xml:space="preserve">House. </w:t>
      </w:r>
    </w:p>
  </w:footnote>
  <w:footnote w:id="16">
    <w:p w:rsidR="004D3615" w:rsidRDefault="004D3615">
      <w:pPr>
        <w:pStyle w:val="ad"/>
      </w:pPr>
      <w:r w:rsidRPr="00855ABE">
        <w:rPr>
          <w:rStyle w:val="af"/>
          <w:rFonts w:ascii="Times New Roman" w:hAnsi="Times New Roman"/>
          <w:sz w:val="16"/>
          <w:szCs w:val="16"/>
        </w:rPr>
        <w:footnoteRef/>
      </w:r>
      <w:r w:rsidRPr="00855ABE">
        <w:rPr>
          <w:rFonts w:ascii="Times New Roman" w:hAnsi="Times New Roman"/>
          <w:sz w:val="16"/>
          <w:szCs w:val="16"/>
        </w:rPr>
        <w:t xml:space="preserve"> See Box 1 for the text of Article 19. </w:t>
      </w:r>
    </w:p>
  </w:footnote>
  <w:footnote w:id="17">
    <w:p w:rsidR="004D3615" w:rsidRDefault="004D3615">
      <w:pPr>
        <w:pStyle w:val="ad"/>
      </w:pPr>
      <w:r w:rsidRPr="00855ABE">
        <w:rPr>
          <w:rStyle w:val="af"/>
          <w:rFonts w:ascii="Times New Roman" w:hAnsi="Times New Roman"/>
          <w:sz w:val="16"/>
          <w:szCs w:val="16"/>
        </w:rPr>
        <w:footnoteRef/>
      </w:r>
      <w:r w:rsidRPr="00855ABE">
        <w:rPr>
          <w:rFonts w:ascii="Times New Roman" w:hAnsi="Times New Roman"/>
          <w:sz w:val="16"/>
          <w:szCs w:val="16"/>
        </w:rPr>
        <w:t xml:space="preserve"> See Box 1 for the text of Article 20. </w:t>
      </w:r>
    </w:p>
  </w:footnote>
  <w:footnote w:id="18">
    <w:p w:rsidR="004D3615" w:rsidRDefault="004D3615">
      <w:pPr>
        <w:pStyle w:val="ad"/>
      </w:pPr>
      <w:r w:rsidRPr="00855ABE">
        <w:rPr>
          <w:rStyle w:val="af"/>
          <w:rFonts w:ascii="Times New Roman" w:hAnsi="Times New Roman"/>
          <w:sz w:val="16"/>
          <w:szCs w:val="16"/>
        </w:rPr>
        <w:footnoteRef/>
      </w:r>
      <w:r w:rsidRPr="00855ABE">
        <w:rPr>
          <w:rFonts w:ascii="Times New Roman" w:hAnsi="Times New Roman"/>
          <w:sz w:val="16"/>
          <w:szCs w:val="16"/>
        </w:rPr>
        <w:t xml:space="preserve"> Article 21 of the Nagoya Protocol </w:t>
      </w:r>
      <w:r>
        <w:rPr>
          <w:rFonts w:ascii="Times New Roman" w:hAnsi="Times New Roman"/>
          <w:sz w:val="16"/>
          <w:szCs w:val="16"/>
        </w:rPr>
        <w:t>provides that</w:t>
      </w:r>
      <w:r w:rsidRPr="00855ABE">
        <w:rPr>
          <w:rFonts w:ascii="Times New Roman" w:hAnsi="Times New Roman"/>
          <w:sz w:val="16"/>
          <w:szCs w:val="16"/>
        </w:rPr>
        <w:t xml:space="preserve"> measures</w:t>
      </w:r>
      <w:r>
        <w:rPr>
          <w:rFonts w:ascii="Times New Roman" w:hAnsi="Times New Roman"/>
          <w:sz w:val="16"/>
          <w:szCs w:val="16"/>
        </w:rPr>
        <w:t xml:space="preserve"> that each Party shall take to raise awareness of the importance of genetic resources and traditional knowledge associated with genetic resources, and related access and benefit sharing issues </w:t>
      </w:r>
      <w:r w:rsidRPr="00855ABE">
        <w:rPr>
          <w:rFonts w:ascii="Times New Roman" w:hAnsi="Times New Roman"/>
          <w:sz w:val="16"/>
          <w:szCs w:val="16"/>
        </w:rPr>
        <w:t>may include promotion of voluntary codes of conduct, guidelines and best practices and/or standards in consultation with indigenous and local communities and relevant stakeholders (21(e)).</w:t>
      </w:r>
    </w:p>
  </w:footnote>
  <w:footnote w:id="19">
    <w:p w:rsidR="004D3615" w:rsidRDefault="004D3615">
      <w:pPr>
        <w:pStyle w:val="ad"/>
      </w:pPr>
      <w:r w:rsidRPr="00855ABE">
        <w:rPr>
          <w:rStyle w:val="af"/>
          <w:rFonts w:ascii="Times New Roman" w:hAnsi="Times New Roman"/>
          <w:sz w:val="16"/>
          <w:szCs w:val="16"/>
        </w:rPr>
        <w:footnoteRef/>
      </w:r>
      <w:r w:rsidRPr="00855ABE">
        <w:rPr>
          <w:rFonts w:ascii="Times New Roman" w:hAnsi="Times New Roman"/>
          <w:sz w:val="16"/>
          <w:szCs w:val="16"/>
        </w:rPr>
        <w:t xml:space="preserve"> See: </w:t>
      </w:r>
      <w:hyperlink r:id="rId1" w:history="1">
        <w:r w:rsidRPr="00577DC7">
          <w:rPr>
            <w:rStyle w:val="ac"/>
            <w:rFonts w:ascii="Times New Roman" w:hAnsi="Times New Roman"/>
            <w:sz w:val="16"/>
            <w:szCs w:val="16"/>
          </w:rPr>
          <w:t>http://www.cbd.int/abs/instruments/default.shtml</w:t>
        </w:r>
      </w:hyperlink>
      <w:r>
        <w:rPr>
          <w:rFonts w:ascii="Times New Roman" w:hAnsi="Times New Roman"/>
          <w:sz w:val="16"/>
          <w:szCs w:val="16"/>
        </w:rPr>
        <w:t xml:space="preserve"> </w:t>
      </w:r>
    </w:p>
  </w:footnote>
  <w:footnote w:id="20">
    <w:p w:rsidR="004D3615" w:rsidRDefault="004D3615" w:rsidP="00551348">
      <w:pPr>
        <w:autoSpaceDE w:val="0"/>
        <w:autoSpaceDN w:val="0"/>
        <w:adjustRightInd w:val="0"/>
        <w:spacing w:after="0" w:line="240" w:lineRule="auto"/>
      </w:pPr>
      <w:r w:rsidRPr="00855ABE">
        <w:rPr>
          <w:rStyle w:val="af"/>
          <w:rFonts w:ascii="Times New Roman" w:hAnsi="Times New Roman"/>
          <w:sz w:val="16"/>
          <w:szCs w:val="16"/>
        </w:rPr>
        <w:footnoteRef/>
      </w:r>
      <w:r w:rsidRPr="00855ABE">
        <w:rPr>
          <w:rFonts w:ascii="Times New Roman" w:hAnsi="Times New Roman"/>
          <w:sz w:val="16"/>
          <w:szCs w:val="16"/>
        </w:rPr>
        <w:t xml:space="preserve"> </w:t>
      </w:r>
      <w:r w:rsidRPr="00855ABE">
        <w:rPr>
          <w:rFonts w:ascii="Times New Roman" w:hAnsi="Times New Roman"/>
          <w:bCs/>
          <w:sz w:val="16"/>
          <w:szCs w:val="16"/>
          <w:lang w:val="en-AU"/>
        </w:rPr>
        <w:t>UNEP/CBD/WG-ABS/5/INF/2 Compilation of Submissions by Parties on Experiences in Developing And Implementing Article 15 Of The Convention at the National Level and Measures Taken to Support Compliance with Prior Informed Consent and Mutually Agreed Terms,</w:t>
      </w:r>
      <w:r w:rsidRPr="00855ABE">
        <w:rPr>
          <w:rFonts w:ascii="Times New Roman" w:hAnsi="Times New Roman"/>
          <w:b/>
          <w:bCs/>
          <w:sz w:val="16"/>
          <w:szCs w:val="16"/>
          <w:lang w:val="en-AU"/>
        </w:rPr>
        <w:t xml:space="preserve"> </w:t>
      </w:r>
      <w:r w:rsidRPr="00855ABE">
        <w:rPr>
          <w:rFonts w:ascii="Times New Roman" w:hAnsi="Times New Roman"/>
          <w:bCs/>
          <w:iCs/>
          <w:sz w:val="16"/>
          <w:szCs w:val="16"/>
          <w:lang w:val="en-AU"/>
        </w:rPr>
        <w:t xml:space="preserve">Note by the Executive Secretary </w:t>
      </w:r>
      <w:r>
        <w:rPr>
          <w:rFonts w:ascii="Times New Roman" w:hAnsi="Times New Roman"/>
          <w:bCs/>
          <w:sz w:val="16"/>
          <w:szCs w:val="16"/>
          <w:lang w:val="en-AU"/>
        </w:rPr>
        <w:t>20 July 2007.</w:t>
      </w:r>
    </w:p>
  </w:footnote>
  <w:footnote w:id="21">
    <w:p w:rsidR="004D3615" w:rsidRDefault="004D3615">
      <w:pPr>
        <w:pStyle w:val="ad"/>
      </w:pPr>
      <w:r w:rsidRPr="00855ABE">
        <w:rPr>
          <w:rStyle w:val="af"/>
          <w:rFonts w:ascii="Times New Roman" w:hAnsi="Times New Roman"/>
          <w:sz w:val="16"/>
          <w:szCs w:val="16"/>
        </w:rPr>
        <w:footnoteRef/>
      </w:r>
      <w:r w:rsidRPr="00855ABE">
        <w:rPr>
          <w:rFonts w:ascii="Times New Roman" w:hAnsi="Times New Roman"/>
          <w:sz w:val="16"/>
          <w:szCs w:val="16"/>
        </w:rPr>
        <w:t xml:space="preserve"> </w:t>
      </w:r>
      <w:r w:rsidRPr="00855ABE">
        <w:rPr>
          <w:rFonts w:ascii="Times New Roman" w:hAnsi="Times New Roman"/>
          <w:bCs/>
          <w:sz w:val="16"/>
          <w:szCs w:val="16"/>
          <w:lang w:val="en-AU"/>
        </w:rPr>
        <w:t xml:space="preserve">UNEP/CBD/COP/11/35 Report of the eleventh meeting of the </w:t>
      </w:r>
      <w:r>
        <w:rPr>
          <w:rFonts w:ascii="Times New Roman" w:hAnsi="Times New Roman"/>
          <w:bCs/>
          <w:sz w:val="16"/>
          <w:szCs w:val="16"/>
          <w:lang w:val="en-AU"/>
        </w:rPr>
        <w:t>C</w:t>
      </w:r>
      <w:r w:rsidRPr="00855ABE">
        <w:rPr>
          <w:rFonts w:ascii="Times New Roman" w:hAnsi="Times New Roman"/>
          <w:bCs/>
          <w:sz w:val="16"/>
          <w:szCs w:val="16"/>
          <w:lang w:val="en-AU"/>
        </w:rPr>
        <w:t xml:space="preserve">onference of the Parties to the Convention </w:t>
      </w:r>
      <w:r>
        <w:rPr>
          <w:rFonts w:ascii="Times New Roman" w:hAnsi="Times New Roman"/>
          <w:bCs/>
          <w:sz w:val="16"/>
          <w:szCs w:val="16"/>
          <w:lang w:val="en-AU"/>
        </w:rPr>
        <w:t>o</w:t>
      </w:r>
      <w:r w:rsidRPr="00855ABE">
        <w:rPr>
          <w:rFonts w:ascii="Times New Roman" w:hAnsi="Times New Roman"/>
          <w:bCs/>
          <w:sz w:val="16"/>
          <w:szCs w:val="16"/>
          <w:lang w:val="en-AU"/>
        </w:rPr>
        <w:t>n Biological Diversity, Hyderabad, India, 8-19 October 2012,  Decision XI/1.</w:t>
      </w:r>
    </w:p>
  </w:footnote>
  <w:footnote w:id="22">
    <w:p w:rsidR="004D3615" w:rsidRDefault="004D3615">
      <w:pPr>
        <w:pStyle w:val="ad"/>
      </w:pPr>
      <w:r w:rsidRPr="00855ABE">
        <w:rPr>
          <w:rStyle w:val="af"/>
          <w:rFonts w:ascii="Times New Roman" w:hAnsi="Times New Roman"/>
          <w:sz w:val="16"/>
          <w:szCs w:val="16"/>
        </w:rPr>
        <w:footnoteRef/>
      </w:r>
      <w:r w:rsidRPr="00855ABE">
        <w:rPr>
          <w:rFonts w:ascii="Times New Roman" w:hAnsi="Times New Roman"/>
          <w:sz w:val="16"/>
          <w:szCs w:val="16"/>
        </w:rPr>
        <w:t xml:space="preserve"> See: http://www.cbd.int/abs/resources/contracts.shtml</w:t>
      </w:r>
    </w:p>
  </w:footnote>
  <w:footnote w:id="23">
    <w:p w:rsidR="004D3615" w:rsidRDefault="004D3615">
      <w:pPr>
        <w:pStyle w:val="ad"/>
      </w:pPr>
      <w:r w:rsidRPr="00855ABE">
        <w:rPr>
          <w:rStyle w:val="af"/>
          <w:rFonts w:ascii="Times New Roman" w:hAnsi="Times New Roman"/>
          <w:sz w:val="16"/>
          <w:szCs w:val="16"/>
        </w:rPr>
        <w:footnoteRef/>
      </w:r>
      <w:r w:rsidRPr="00855ABE">
        <w:rPr>
          <w:rFonts w:ascii="Times New Roman" w:hAnsi="Times New Roman"/>
          <w:sz w:val="16"/>
          <w:szCs w:val="16"/>
        </w:rPr>
        <w:t xml:space="preserve"> See: http://www.wipo.int/tk/en/databases/contracts/index.html</w:t>
      </w:r>
    </w:p>
  </w:footnote>
  <w:footnote w:id="24">
    <w:p w:rsidR="004D3615" w:rsidRDefault="004D3615" w:rsidP="00855ABE">
      <w:pPr>
        <w:spacing w:after="0"/>
      </w:pPr>
      <w:r w:rsidRPr="00855ABE">
        <w:rPr>
          <w:rStyle w:val="af"/>
          <w:rFonts w:ascii="Times New Roman" w:hAnsi="Times New Roman"/>
          <w:sz w:val="16"/>
          <w:szCs w:val="16"/>
        </w:rPr>
        <w:footnoteRef/>
      </w:r>
      <w:r w:rsidRPr="00855ABE">
        <w:rPr>
          <w:rFonts w:ascii="Times New Roman" w:hAnsi="Times New Roman"/>
          <w:sz w:val="16"/>
          <w:szCs w:val="16"/>
        </w:rPr>
        <w:t xml:space="preserve"> </w:t>
      </w:r>
      <w:r w:rsidRPr="00855ABE">
        <w:rPr>
          <w:rFonts w:ascii="Times New Roman" w:hAnsi="Times New Roman"/>
          <w:sz w:val="16"/>
          <w:szCs w:val="16"/>
          <w:lang w:val="en-AU"/>
        </w:rPr>
        <w:t>See: http://www.cbd.int/doc/lists/nfp-cbd.pdf</w:t>
      </w:r>
    </w:p>
  </w:footnote>
  <w:footnote w:id="25">
    <w:p w:rsidR="004D3615" w:rsidRDefault="004D3615">
      <w:pPr>
        <w:pStyle w:val="ad"/>
      </w:pPr>
      <w:r w:rsidRPr="00855ABE">
        <w:rPr>
          <w:rStyle w:val="af"/>
          <w:rFonts w:ascii="Times New Roman" w:hAnsi="Times New Roman"/>
          <w:sz w:val="16"/>
          <w:szCs w:val="16"/>
        </w:rPr>
        <w:footnoteRef/>
      </w:r>
      <w:r w:rsidRPr="00855ABE">
        <w:rPr>
          <w:rFonts w:ascii="Times New Roman" w:hAnsi="Times New Roman"/>
          <w:sz w:val="16"/>
          <w:szCs w:val="16"/>
        </w:rPr>
        <w:t xml:space="preserve"> See: http://</w:t>
      </w:r>
      <w:hyperlink r:id="rId2" w:history="1">
        <w:r w:rsidRPr="00855ABE">
          <w:rPr>
            <w:rStyle w:val="ac"/>
            <w:rFonts w:ascii="Times New Roman" w:hAnsi="Times New Roman"/>
            <w:sz w:val="16"/>
            <w:szCs w:val="16"/>
          </w:rPr>
          <w:t>www.bioprospector.org</w:t>
        </w:r>
      </w:hyperlink>
    </w:p>
  </w:footnote>
  <w:footnote w:id="26">
    <w:p w:rsidR="004D3615" w:rsidRDefault="004D3615" w:rsidP="0054287C">
      <w:pPr>
        <w:pStyle w:val="ad"/>
      </w:pPr>
      <w:r w:rsidRPr="00855ABE">
        <w:rPr>
          <w:rStyle w:val="af"/>
          <w:rFonts w:ascii="Times New Roman" w:hAnsi="Times New Roman"/>
          <w:sz w:val="16"/>
          <w:szCs w:val="16"/>
        </w:rPr>
        <w:footnoteRef/>
      </w:r>
      <w:r w:rsidRPr="00855ABE">
        <w:rPr>
          <w:rFonts w:ascii="Times New Roman" w:hAnsi="Times New Roman"/>
          <w:sz w:val="16"/>
          <w:szCs w:val="16"/>
        </w:rPr>
        <w:t xml:space="preserve"> Refer to the list of authoring organizations in Annexes I and II to this s</w:t>
      </w:r>
      <w:r w:rsidR="00952B17">
        <w:rPr>
          <w:rFonts w:ascii="Times New Roman" w:hAnsi="Times New Roman"/>
          <w:sz w:val="16"/>
          <w:szCs w:val="16"/>
        </w:rPr>
        <w:t>tudy</w:t>
      </w:r>
      <w:r w:rsidRPr="00855ABE">
        <w:rPr>
          <w:rFonts w:ascii="Times New Roman" w:hAnsi="Times New Roman"/>
          <w:sz w:val="16"/>
          <w:szCs w:val="16"/>
        </w:rPr>
        <w:t>.</w:t>
      </w:r>
    </w:p>
  </w:footnote>
  <w:footnote w:id="27">
    <w:p w:rsidR="004D3615" w:rsidRDefault="004D3615">
      <w:pPr>
        <w:pStyle w:val="ad"/>
      </w:pPr>
      <w:r w:rsidRPr="00855ABE">
        <w:rPr>
          <w:rStyle w:val="af"/>
          <w:rFonts w:ascii="Times New Roman" w:hAnsi="Times New Roman"/>
          <w:sz w:val="16"/>
          <w:szCs w:val="16"/>
        </w:rPr>
        <w:footnoteRef/>
      </w:r>
      <w:r w:rsidRPr="00855ABE">
        <w:rPr>
          <w:rFonts w:ascii="Times New Roman" w:hAnsi="Times New Roman"/>
          <w:sz w:val="16"/>
          <w:szCs w:val="16"/>
        </w:rPr>
        <w:t xml:space="preserve"> </w:t>
      </w:r>
      <w:r>
        <w:rPr>
          <w:rFonts w:ascii="Times New Roman" w:hAnsi="Times New Roman"/>
          <w:sz w:val="16"/>
          <w:szCs w:val="16"/>
        </w:rPr>
        <w:t xml:space="preserve">For example, see </w:t>
      </w:r>
      <w:r w:rsidRPr="00ED5B5D">
        <w:rPr>
          <w:rFonts w:ascii="Times New Roman" w:hAnsi="Times New Roman"/>
          <w:sz w:val="16"/>
          <w:szCs w:val="16"/>
        </w:rPr>
        <w:t>Swiss State Secretariat for Economic Affairs (2012) ABS Management Tool (ABS-MT),</w:t>
      </w:r>
      <w:r>
        <w:rPr>
          <w:rFonts w:ascii="Times New Roman" w:hAnsi="Times New Roman"/>
          <w:sz w:val="16"/>
          <w:szCs w:val="16"/>
        </w:rPr>
        <w:t xml:space="preserve"> available at</w:t>
      </w:r>
      <w:r w:rsidRPr="00ED5B5D">
        <w:rPr>
          <w:rFonts w:ascii="Times New Roman" w:hAnsi="Times New Roman"/>
          <w:sz w:val="16"/>
          <w:szCs w:val="16"/>
        </w:rPr>
        <w:t xml:space="preserve"> </w:t>
      </w:r>
      <w:hyperlink r:id="rId3" w:history="1">
        <w:r w:rsidRPr="00ED5B5D">
          <w:rPr>
            <w:rStyle w:val="ac"/>
            <w:rFonts w:ascii="Times New Roman" w:hAnsi="Times New Roman"/>
            <w:sz w:val="16"/>
            <w:szCs w:val="16"/>
          </w:rPr>
          <w:t>http://www.sib.admin.ch/en/nagoya-protocol/abs-management-tool/index.html</w:t>
        </w:r>
      </w:hyperlink>
    </w:p>
  </w:footnote>
  <w:footnote w:id="28">
    <w:p w:rsidR="004D3615" w:rsidRDefault="004D3615" w:rsidP="00855ABE">
      <w:pPr>
        <w:spacing w:after="0" w:line="240" w:lineRule="auto"/>
      </w:pPr>
      <w:r w:rsidRPr="00855ABE">
        <w:rPr>
          <w:rStyle w:val="af"/>
          <w:rFonts w:ascii="Times New Roman" w:hAnsi="Times New Roman"/>
          <w:sz w:val="16"/>
          <w:szCs w:val="16"/>
        </w:rPr>
        <w:footnoteRef/>
      </w:r>
      <w:r w:rsidRPr="00855ABE">
        <w:rPr>
          <w:rFonts w:ascii="Times New Roman" w:hAnsi="Times New Roman"/>
          <w:sz w:val="16"/>
          <w:szCs w:val="16"/>
        </w:rPr>
        <w:t xml:space="preserve"> </w:t>
      </w:r>
      <w:r w:rsidRPr="008C0AEE">
        <w:rPr>
          <w:rFonts w:ascii="Times New Roman" w:hAnsi="Times New Roman"/>
          <w:sz w:val="16"/>
          <w:szCs w:val="16"/>
        </w:rPr>
        <w:t xml:space="preserve">See, for </w:t>
      </w:r>
      <w:r>
        <w:rPr>
          <w:rFonts w:ascii="Times New Roman" w:hAnsi="Times New Roman"/>
          <w:sz w:val="16"/>
          <w:szCs w:val="16"/>
        </w:rPr>
        <w:t>example:</w:t>
      </w:r>
      <w:r w:rsidRPr="00BD53BA">
        <w:rPr>
          <w:rFonts w:ascii="Times New Roman" w:hAnsi="Times New Roman"/>
          <w:sz w:val="16"/>
          <w:szCs w:val="16"/>
        </w:rPr>
        <w:t xml:space="preserve"> the </w:t>
      </w:r>
      <w:proofErr w:type="spellStart"/>
      <w:r w:rsidRPr="00BD53BA">
        <w:rPr>
          <w:rFonts w:ascii="Times New Roman" w:hAnsi="Times New Roman"/>
          <w:sz w:val="16"/>
          <w:szCs w:val="16"/>
        </w:rPr>
        <w:t>ipHandbook</w:t>
      </w:r>
      <w:proofErr w:type="spellEnd"/>
      <w:r w:rsidRPr="00BD53BA">
        <w:rPr>
          <w:rFonts w:ascii="Times New Roman" w:hAnsi="Times New Roman"/>
          <w:sz w:val="16"/>
          <w:szCs w:val="16"/>
        </w:rPr>
        <w:t xml:space="preserve"> available at </w:t>
      </w:r>
      <w:hyperlink r:id="rId4" w:history="1">
        <w:r w:rsidRPr="00855ABE">
          <w:rPr>
            <w:rFonts w:ascii="Times New Roman" w:hAnsi="Times New Roman"/>
            <w:color w:val="0000FF"/>
            <w:sz w:val="16"/>
            <w:szCs w:val="16"/>
            <w:u w:val="single"/>
            <w:lang w:val="en-AU"/>
          </w:rPr>
          <w:t>www.ipHandbook.org</w:t>
        </w:r>
      </w:hyperlink>
      <w:r w:rsidRPr="00855ABE">
        <w:rPr>
          <w:rFonts w:ascii="Times New Roman" w:hAnsi="Times New Roman"/>
          <w:sz w:val="16"/>
          <w:szCs w:val="16"/>
        </w:rPr>
        <w:t>; Correa, CM (2010) A Legal Perspective on options for the exchange of ANGRS including standard and model material transfer agreements and clauses, presentation to t</w:t>
      </w:r>
      <w:r w:rsidRPr="00855ABE">
        <w:rPr>
          <w:rFonts w:ascii="Times New Roman" w:hAnsi="Times New Roman"/>
          <w:sz w:val="16"/>
          <w:szCs w:val="16"/>
          <w:lang w:val="en-AU"/>
        </w:rPr>
        <w:t xml:space="preserve">he International Technical Expert Workshop Exploring the Need for Specific Measures on Access and Benefit Sharing in Animal Genetic Resources for Food and Agriculture, held in </w:t>
      </w:r>
      <w:proofErr w:type="spellStart"/>
      <w:r w:rsidRPr="00855ABE">
        <w:rPr>
          <w:rFonts w:ascii="Times New Roman" w:hAnsi="Times New Roman"/>
          <w:sz w:val="16"/>
          <w:szCs w:val="16"/>
          <w:lang w:val="en-AU"/>
        </w:rPr>
        <w:t>Wageningen</w:t>
      </w:r>
      <w:proofErr w:type="spellEnd"/>
      <w:r w:rsidRPr="00855ABE">
        <w:rPr>
          <w:rFonts w:ascii="Times New Roman" w:hAnsi="Times New Roman"/>
          <w:sz w:val="16"/>
          <w:szCs w:val="16"/>
          <w:lang w:val="en-AU"/>
        </w:rPr>
        <w:t>, 8 – 10 December, 2010</w:t>
      </w:r>
      <w:r>
        <w:rPr>
          <w:rFonts w:ascii="Times New Roman" w:hAnsi="Times New Roman"/>
          <w:sz w:val="16"/>
          <w:szCs w:val="16"/>
          <w:lang w:val="en-AU"/>
        </w:rPr>
        <w:t xml:space="preserve">; </w:t>
      </w:r>
      <w:proofErr w:type="spellStart"/>
      <w:r w:rsidRPr="00B85F23">
        <w:rPr>
          <w:rFonts w:ascii="Times New Roman" w:hAnsi="Times New Roman"/>
          <w:sz w:val="16"/>
          <w:szCs w:val="16"/>
        </w:rPr>
        <w:t>Kamau</w:t>
      </w:r>
      <w:proofErr w:type="spellEnd"/>
      <w:r w:rsidRPr="00B85F23">
        <w:rPr>
          <w:rFonts w:ascii="Times New Roman" w:hAnsi="Times New Roman"/>
          <w:sz w:val="16"/>
          <w:szCs w:val="16"/>
        </w:rPr>
        <w:t xml:space="preserve">, EC, </w:t>
      </w:r>
      <w:proofErr w:type="spellStart"/>
      <w:r w:rsidRPr="00B85F23">
        <w:rPr>
          <w:rFonts w:ascii="Times New Roman" w:hAnsi="Times New Roman"/>
          <w:sz w:val="16"/>
          <w:szCs w:val="16"/>
        </w:rPr>
        <w:t>Fedder</w:t>
      </w:r>
      <w:proofErr w:type="spellEnd"/>
      <w:r w:rsidRPr="00B85F23">
        <w:rPr>
          <w:rFonts w:ascii="Times New Roman" w:hAnsi="Times New Roman"/>
          <w:sz w:val="16"/>
          <w:szCs w:val="16"/>
        </w:rPr>
        <w:t xml:space="preserve"> B and Winter G (2010) The Nagoya Protocol on Access to Genetic Resources and Benefit Sharing: What is new and What are the Implications for Provider and User Countries and the Scientific Community? 6/3 Law, Environment and Development Journal, p.246</w:t>
      </w:r>
    </w:p>
  </w:footnote>
  <w:footnote w:id="29">
    <w:p w:rsidR="004D3615" w:rsidRDefault="004D3615">
      <w:pPr>
        <w:pStyle w:val="ad"/>
      </w:pPr>
      <w:r w:rsidRPr="00855ABE">
        <w:rPr>
          <w:rStyle w:val="af"/>
          <w:rFonts w:ascii="Times New Roman" w:hAnsi="Times New Roman"/>
          <w:sz w:val="16"/>
          <w:szCs w:val="16"/>
        </w:rPr>
        <w:footnoteRef/>
      </w:r>
      <w:r w:rsidRPr="00855ABE">
        <w:rPr>
          <w:rFonts w:ascii="Times New Roman" w:hAnsi="Times New Roman"/>
          <w:sz w:val="16"/>
          <w:szCs w:val="16"/>
        </w:rPr>
        <w:t xml:space="preserve"> </w:t>
      </w:r>
      <w:proofErr w:type="gramStart"/>
      <w:r w:rsidRPr="00855ABE">
        <w:rPr>
          <w:rFonts w:ascii="Times New Roman" w:hAnsi="Times New Roman"/>
          <w:sz w:val="16"/>
          <w:szCs w:val="16"/>
        </w:rPr>
        <w:t>Article 15(5) Convention on Biological Diversity.</w:t>
      </w:r>
      <w:proofErr w:type="gramEnd"/>
    </w:p>
  </w:footnote>
  <w:footnote w:id="30">
    <w:p w:rsidR="004D3615" w:rsidRDefault="004D3615">
      <w:pPr>
        <w:pStyle w:val="ad"/>
      </w:pPr>
      <w:r w:rsidRPr="00855ABE">
        <w:rPr>
          <w:rStyle w:val="af"/>
          <w:rFonts w:ascii="Times New Roman" w:hAnsi="Times New Roman"/>
          <w:sz w:val="16"/>
          <w:szCs w:val="16"/>
        </w:rPr>
        <w:footnoteRef/>
      </w:r>
      <w:r w:rsidRPr="00855ABE">
        <w:rPr>
          <w:rFonts w:ascii="Times New Roman" w:hAnsi="Times New Roman"/>
          <w:sz w:val="16"/>
          <w:szCs w:val="16"/>
        </w:rPr>
        <w:t xml:space="preserve"> </w:t>
      </w:r>
      <w:proofErr w:type="gramStart"/>
      <w:r w:rsidRPr="00855ABE">
        <w:rPr>
          <w:rFonts w:ascii="Times New Roman" w:hAnsi="Times New Roman"/>
          <w:sz w:val="16"/>
          <w:szCs w:val="16"/>
        </w:rPr>
        <w:t>Article 15(4) Convention on Biological Diversity.</w:t>
      </w:r>
      <w:proofErr w:type="gramEnd"/>
    </w:p>
  </w:footnote>
  <w:footnote w:id="31">
    <w:p w:rsidR="004D3615" w:rsidRDefault="004D3615">
      <w:pPr>
        <w:pStyle w:val="ad"/>
      </w:pPr>
      <w:r w:rsidRPr="00855ABE">
        <w:rPr>
          <w:rStyle w:val="af"/>
          <w:rFonts w:ascii="Times New Roman" w:hAnsi="Times New Roman"/>
          <w:sz w:val="16"/>
          <w:szCs w:val="16"/>
        </w:rPr>
        <w:footnoteRef/>
      </w:r>
      <w:r w:rsidRPr="00855ABE">
        <w:rPr>
          <w:rFonts w:ascii="Times New Roman" w:hAnsi="Times New Roman"/>
          <w:sz w:val="16"/>
          <w:szCs w:val="16"/>
        </w:rPr>
        <w:t xml:space="preserve"> </w:t>
      </w:r>
      <w:proofErr w:type="gramStart"/>
      <w:r w:rsidRPr="00855ABE">
        <w:rPr>
          <w:rFonts w:ascii="Times New Roman" w:hAnsi="Times New Roman"/>
          <w:sz w:val="16"/>
          <w:szCs w:val="16"/>
        </w:rPr>
        <w:t>Article 15(7) Convention on Biological Diversity.</w:t>
      </w:r>
      <w:proofErr w:type="gramEnd"/>
    </w:p>
  </w:footnote>
  <w:footnote w:id="32">
    <w:p w:rsidR="004D3615" w:rsidRDefault="004D3615">
      <w:pPr>
        <w:pStyle w:val="ad"/>
      </w:pPr>
      <w:r w:rsidRPr="00855ABE">
        <w:rPr>
          <w:rStyle w:val="af"/>
          <w:rFonts w:ascii="Times New Roman" w:hAnsi="Times New Roman"/>
          <w:sz w:val="16"/>
          <w:szCs w:val="16"/>
        </w:rPr>
        <w:footnoteRef/>
      </w:r>
      <w:r w:rsidRPr="00855ABE">
        <w:rPr>
          <w:rFonts w:ascii="Times New Roman" w:hAnsi="Times New Roman"/>
          <w:sz w:val="16"/>
          <w:szCs w:val="16"/>
        </w:rPr>
        <w:t xml:space="preserve"> Article 8(j) Convention on Biological Diversity.</w:t>
      </w:r>
    </w:p>
  </w:footnote>
  <w:footnote w:id="33">
    <w:p w:rsidR="004D3615" w:rsidRDefault="004D3615">
      <w:pPr>
        <w:pStyle w:val="ad"/>
      </w:pPr>
      <w:r w:rsidRPr="00855ABE">
        <w:rPr>
          <w:rStyle w:val="af"/>
          <w:rFonts w:ascii="Times New Roman" w:hAnsi="Times New Roman"/>
          <w:sz w:val="16"/>
          <w:szCs w:val="16"/>
        </w:rPr>
        <w:footnoteRef/>
      </w:r>
      <w:r w:rsidRPr="00855ABE">
        <w:rPr>
          <w:rFonts w:ascii="Times New Roman" w:hAnsi="Times New Roman"/>
          <w:sz w:val="16"/>
          <w:szCs w:val="16"/>
        </w:rPr>
        <w:t xml:space="preserve"> </w:t>
      </w:r>
      <w:proofErr w:type="gramStart"/>
      <w:r w:rsidRPr="00855ABE">
        <w:rPr>
          <w:rFonts w:ascii="Times New Roman" w:hAnsi="Times New Roman"/>
          <w:sz w:val="16"/>
          <w:szCs w:val="16"/>
        </w:rPr>
        <w:t>Article 15(6) Convention on Biological Diversity.</w:t>
      </w:r>
      <w:proofErr w:type="gramEnd"/>
    </w:p>
  </w:footnote>
  <w:footnote w:id="34">
    <w:p w:rsidR="004D3615" w:rsidRDefault="004D3615">
      <w:pPr>
        <w:pStyle w:val="ad"/>
      </w:pPr>
      <w:r w:rsidRPr="00855ABE">
        <w:rPr>
          <w:rStyle w:val="af"/>
          <w:rFonts w:ascii="Times New Roman" w:hAnsi="Times New Roman"/>
          <w:sz w:val="16"/>
          <w:szCs w:val="16"/>
        </w:rPr>
        <w:footnoteRef/>
      </w:r>
      <w:r w:rsidRPr="00855ABE">
        <w:rPr>
          <w:rFonts w:ascii="Times New Roman" w:hAnsi="Times New Roman"/>
          <w:sz w:val="16"/>
          <w:szCs w:val="16"/>
        </w:rPr>
        <w:t xml:space="preserve"> </w:t>
      </w:r>
      <w:r w:rsidRPr="00CC4B4E">
        <w:rPr>
          <w:rFonts w:ascii="Times New Roman" w:hAnsi="Times New Roman"/>
          <w:sz w:val="16"/>
          <w:szCs w:val="16"/>
        </w:rPr>
        <w:t>As reflected in the preamble to the Nagaya Protocol.</w:t>
      </w:r>
    </w:p>
  </w:footnote>
  <w:footnote w:id="35">
    <w:p w:rsidR="004D3615" w:rsidRDefault="004D3615" w:rsidP="00855ABE">
      <w:pPr>
        <w:autoSpaceDE w:val="0"/>
        <w:autoSpaceDN w:val="0"/>
        <w:adjustRightInd w:val="0"/>
        <w:spacing w:after="0" w:line="240" w:lineRule="auto"/>
      </w:pPr>
      <w:r w:rsidRPr="00855ABE">
        <w:rPr>
          <w:rStyle w:val="af"/>
          <w:rFonts w:ascii="Times New Roman" w:hAnsi="Times New Roman"/>
          <w:sz w:val="16"/>
          <w:szCs w:val="16"/>
        </w:rPr>
        <w:footnoteRef/>
      </w:r>
      <w:r w:rsidRPr="00855ABE">
        <w:rPr>
          <w:rFonts w:ascii="Times New Roman" w:hAnsi="Times New Roman"/>
          <w:sz w:val="16"/>
          <w:szCs w:val="16"/>
        </w:rPr>
        <w:t xml:space="preserve"> </w:t>
      </w:r>
      <w:r>
        <w:rPr>
          <w:rFonts w:ascii="Times New Roman" w:hAnsi="Times New Roman"/>
          <w:sz w:val="16"/>
          <w:szCs w:val="16"/>
        </w:rPr>
        <w:t>For an analysis of the implications for users, providers and the scientific community, s</w:t>
      </w:r>
      <w:r w:rsidRPr="00855ABE">
        <w:rPr>
          <w:rFonts w:ascii="Times New Roman" w:hAnsi="Times New Roman"/>
          <w:sz w:val="16"/>
          <w:szCs w:val="16"/>
        </w:rPr>
        <w:t xml:space="preserve">ee, </w:t>
      </w:r>
      <w:proofErr w:type="spellStart"/>
      <w:r w:rsidRPr="00855ABE">
        <w:rPr>
          <w:rFonts w:ascii="Times New Roman" w:hAnsi="Times New Roman"/>
          <w:sz w:val="16"/>
          <w:szCs w:val="16"/>
        </w:rPr>
        <w:t>Kamau</w:t>
      </w:r>
      <w:proofErr w:type="spellEnd"/>
      <w:r w:rsidRPr="00855ABE">
        <w:rPr>
          <w:rFonts w:ascii="Times New Roman" w:hAnsi="Times New Roman"/>
          <w:sz w:val="16"/>
          <w:szCs w:val="16"/>
        </w:rPr>
        <w:t xml:space="preserve">, EC, </w:t>
      </w:r>
      <w:proofErr w:type="spellStart"/>
      <w:r w:rsidRPr="00855ABE">
        <w:rPr>
          <w:rFonts w:ascii="Times New Roman" w:hAnsi="Times New Roman"/>
          <w:sz w:val="16"/>
          <w:szCs w:val="16"/>
        </w:rPr>
        <w:t>Fedder</w:t>
      </w:r>
      <w:proofErr w:type="spellEnd"/>
      <w:r w:rsidRPr="00855ABE">
        <w:rPr>
          <w:rFonts w:ascii="Times New Roman" w:hAnsi="Times New Roman"/>
          <w:sz w:val="16"/>
          <w:szCs w:val="16"/>
        </w:rPr>
        <w:t xml:space="preserve"> B and Winter G (2010) The Nagoya Protocol on Access to Genetic Resources and Benefit Sharing: What is new and What are the Implications for Provider and User Countries and the Scientific Community? 6/3 Law, Environment and Development Journal, p.246</w:t>
      </w:r>
    </w:p>
  </w:footnote>
  <w:footnote w:id="36">
    <w:p w:rsidR="004D3615" w:rsidRPr="00BC2A8C" w:rsidRDefault="004D3615">
      <w:pPr>
        <w:pStyle w:val="ad"/>
      </w:pPr>
      <w:r w:rsidRPr="00855ABE">
        <w:rPr>
          <w:rStyle w:val="af"/>
          <w:rFonts w:ascii="Times New Roman" w:hAnsi="Times New Roman"/>
          <w:sz w:val="16"/>
          <w:szCs w:val="16"/>
        </w:rPr>
        <w:footnoteRef/>
      </w:r>
      <w:r w:rsidRPr="00BC2A8C">
        <w:rPr>
          <w:rFonts w:ascii="Times New Roman" w:hAnsi="Times New Roman"/>
          <w:sz w:val="16"/>
          <w:szCs w:val="16"/>
        </w:rPr>
        <w:t>Article 6(3</w:t>
      </w:r>
      <w:proofErr w:type="gramStart"/>
      <w:r w:rsidRPr="00BC2A8C">
        <w:rPr>
          <w:rFonts w:ascii="Times New Roman" w:hAnsi="Times New Roman"/>
          <w:sz w:val="16"/>
          <w:szCs w:val="16"/>
        </w:rPr>
        <w:t>)(</w:t>
      </w:r>
      <w:proofErr w:type="gramEnd"/>
      <w:r w:rsidRPr="00BC2A8C">
        <w:rPr>
          <w:rFonts w:ascii="Times New Roman" w:hAnsi="Times New Roman"/>
          <w:sz w:val="16"/>
          <w:szCs w:val="16"/>
        </w:rPr>
        <w:t>g) Nagoya Protocol.</w:t>
      </w:r>
    </w:p>
  </w:footnote>
  <w:footnote w:id="37">
    <w:p w:rsidR="004D3615" w:rsidRPr="00A86195" w:rsidRDefault="004D3615" w:rsidP="000E34C1">
      <w:pPr>
        <w:pStyle w:val="ad"/>
      </w:pPr>
      <w:r w:rsidRPr="00855ABE">
        <w:rPr>
          <w:rStyle w:val="af"/>
          <w:rFonts w:ascii="Times New Roman" w:hAnsi="Times New Roman"/>
          <w:sz w:val="16"/>
          <w:szCs w:val="16"/>
        </w:rPr>
        <w:footnoteRef/>
      </w:r>
      <w:r w:rsidRPr="00A86195">
        <w:rPr>
          <w:rFonts w:ascii="Times New Roman" w:hAnsi="Times New Roman"/>
          <w:sz w:val="16"/>
          <w:szCs w:val="16"/>
        </w:rPr>
        <w:t xml:space="preserve"> Article 8(a) Nagoya Protocol.</w:t>
      </w:r>
    </w:p>
  </w:footnote>
  <w:footnote w:id="38">
    <w:p w:rsidR="004D3615" w:rsidRPr="00664B19" w:rsidRDefault="004D3615">
      <w:pPr>
        <w:pStyle w:val="ad"/>
      </w:pPr>
      <w:r w:rsidRPr="00855ABE">
        <w:rPr>
          <w:rStyle w:val="af"/>
          <w:rFonts w:ascii="Times New Roman" w:hAnsi="Times New Roman"/>
          <w:sz w:val="16"/>
          <w:szCs w:val="16"/>
        </w:rPr>
        <w:footnoteRef/>
      </w:r>
      <w:r w:rsidRPr="00664B19">
        <w:rPr>
          <w:rFonts w:ascii="Times New Roman" w:hAnsi="Times New Roman"/>
          <w:sz w:val="16"/>
          <w:szCs w:val="16"/>
        </w:rPr>
        <w:t xml:space="preserve"> Article 5(2) Nagoya Protocol.</w:t>
      </w:r>
    </w:p>
  </w:footnote>
  <w:footnote w:id="39">
    <w:p w:rsidR="004D3615" w:rsidRPr="00664B19" w:rsidRDefault="004D3615" w:rsidP="00551348">
      <w:pPr>
        <w:pStyle w:val="ad"/>
      </w:pPr>
      <w:r w:rsidRPr="00855ABE">
        <w:rPr>
          <w:rStyle w:val="af"/>
          <w:rFonts w:ascii="Times New Roman" w:hAnsi="Times New Roman"/>
          <w:sz w:val="16"/>
          <w:szCs w:val="16"/>
        </w:rPr>
        <w:footnoteRef/>
      </w:r>
      <w:r w:rsidRPr="00664B19">
        <w:rPr>
          <w:rFonts w:ascii="Times New Roman" w:hAnsi="Times New Roman"/>
          <w:sz w:val="16"/>
          <w:szCs w:val="16"/>
        </w:rPr>
        <w:t xml:space="preserve"> Article 5(5) Nagoya Protocol.</w:t>
      </w:r>
    </w:p>
  </w:footnote>
  <w:footnote w:id="40">
    <w:p w:rsidR="004D3615" w:rsidRPr="00664B19" w:rsidRDefault="004D3615">
      <w:pPr>
        <w:pStyle w:val="ad"/>
        <w:rPr>
          <w:lang w:val="pt-PT"/>
        </w:rPr>
      </w:pPr>
      <w:r w:rsidRPr="001F6A91">
        <w:rPr>
          <w:rStyle w:val="af"/>
          <w:rFonts w:ascii="Times New Roman" w:hAnsi="Times New Roman"/>
          <w:sz w:val="16"/>
          <w:szCs w:val="16"/>
        </w:rPr>
        <w:footnoteRef/>
      </w:r>
      <w:r w:rsidRPr="00664B19">
        <w:rPr>
          <w:rFonts w:ascii="Times New Roman" w:hAnsi="Times New Roman"/>
          <w:sz w:val="16"/>
          <w:szCs w:val="16"/>
          <w:lang w:val="pt-PT"/>
        </w:rPr>
        <w:t xml:space="preserve"> Article 6(2) Nagoya Protocol.</w:t>
      </w:r>
    </w:p>
  </w:footnote>
  <w:footnote w:id="41">
    <w:p w:rsidR="004D3615" w:rsidRPr="00664B19" w:rsidRDefault="004D3615">
      <w:pPr>
        <w:pStyle w:val="ad"/>
        <w:rPr>
          <w:lang w:val="pt-PT"/>
        </w:rPr>
      </w:pPr>
      <w:r w:rsidRPr="00855ABE">
        <w:rPr>
          <w:rStyle w:val="af"/>
          <w:rFonts w:ascii="Times New Roman" w:hAnsi="Times New Roman"/>
          <w:sz w:val="16"/>
          <w:szCs w:val="16"/>
        </w:rPr>
        <w:footnoteRef/>
      </w:r>
      <w:r w:rsidRPr="00664B19">
        <w:rPr>
          <w:rFonts w:ascii="Times New Roman" w:hAnsi="Times New Roman"/>
          <w:sz w:val="16"/>
          <w:szCs w:val="16"/>
          <w:lang w:val="pt-PT"/>
        </w:rPr>
        <w:t xml:space="preserve"> Article 7 Nagoya Protocol.</w:t>
      </w:r>
    </w:p>
  </w:footnote>
  <w:footnote w:id="42">
    <w:p w:rsidR="004D3615" w:rsidRPr="00664B19" w:rsidRDefault="004D3615">
      <w:pPr>
        <w:pStyle w:val="ad"/>
        <w:rPr>
          <w:lang w:val="pt-PT"/>
        </w:rPr>
      </w:pPr>
      <w:r w:rsidRPr="00855ABE">
        <w:rPr>
          <w:rStyle w:val="af"/>
          <w:rFonts w:ascii="Times New Roman" w:hAnsi="Times New Roman"/>
          <w:sz w:val="16"/>
          <w:szCs w:val="16"/>
        </w:rPr>
        <w:footnoteRef/>
      </w:r>
      <w:r w:rsidRPr="00664B19">
        <w:rPr>
          <w:rFonts w:ascii="Times New Roman" w:hAnsi="Times New Roman"/>
          <w:sz w:val="16"/>
          <w:szCs w:val="16"/>
          <w:lang w:val="pt-PT"/>
        </w:rPr>
        <w:t xml:space="preserve"> Article 12(c) Nagoya Protocol.</w:t>
      </w:r>
    </w:p>
  </w:footnote>
  <w:footnote w:id="43">
    <w:p w:rsidR="004D3615" w:rsidRPr="00664B19" w:rsidRDefault="004D3615">
      <w:pPr>
        <w:pStyle w:val="ad"/>
        <w:rPr>
          <w:lang w:val="pt-PT"/>
        </w:rPr>
      </w:pPr>
      <w:r w:rsidRPr="00855ABE">
        <w:rPr>
          <w:rStyle w:val="af"/>
          <w:rFonts w:ascii="Times New Roman" w:hAnsi="Times New Roman"/>
          <w:sz w:val="16"/>
          <w:szCs w:val="16"/>
        </w:rPr>
        <w:footnoteRef/>
      </w:r>
      <w:r w:rsidRPr="00664B19">
        <w:rPr>
          <w:rFonts w:ascii="Times New Roman" w:hAnsi="Times New Roman"/>
          <w:sz w:val="16"/>
          <w:szCs w:val="16"/>
          <w:lang w:val="pt-PT"/>
        </w:rPr>
        <w:t xml:space="preserve"> Article 17(a) Nagoya Protocol.</w:t>
      </w:r>
    </w:p>
  </w:footnote>
  <w:footnote w:id="44">
    <w:p w:rsidR="004D3615" w:rsidRPr="00664B19" w:rsidRDefault="004D3615" w:rsidP="004C4E14">
      <w:pPr>
        <w:pStyle w:val="ad"/>
        <w:rPr>
          <w:lang w:val="pt-PT"/>
        </w:rPr>
      </w:pPr>
      <w:r w:rsidRPr="00B85F23">
        <w:rPr>
          <w:rStyle w:val="af"/>
          <w:rFonts w:ascii="Times New Roman" w:hAnsi="Times New Roman"/>
          <w:sz w:val="16"/>
          <w:szCs w:val="16"/>
        </w:rPr>
        <w:footnoteRef/>
      </w:r>
      <w:r w:rsidRPr="00664B19">
        <w:rPr>
          <w:rFonts w:ascii="Times New Roman" w:hAnsi="Times New Roman"/>
          <w:sz w:val="16"/>
          <w:szCs w:val="16"/>
          <w:lang w:val="pt-PT"/>
        </w:rPr>
        <w:t xml:space="preserve"> Article 14(4) Nagoya Protocol.</w:t>
      </w:r>
    </w:p>
  </w:footnote>
  <w:footnote w:id="45">
    <w:p w:rsidR="004D3615" w:rsidRPr="00664B19" w:rsidRDefault="004D3615">
      <w:pPr>
        <w:pStyle w:val="ad"/>
        <w:rPr>
          <w:lang w:val="pt-PT"/>
        </w:rPr>
      </w:pPr>
      <w:r w:rsidRPr="00855ABE">
        <w:rPr>
          <w:rStyle w:val="af"/>
          <w:rFonts w:ascii="Times New Roman" w:hAnsi="Times New Roman"/>
          <w:sz w:val="16"/>
          <w:szCs w:val="16"/>
        </w:rPr>
        <w:footnoteRef/>
      </w:r>
      <w:r w:rsidRPr="00664B19">
        <w:rPr>
          <w:rFonts w:ascii="Times New Roman" w:hAnsi="Times New Roman"/>
          <w:sz w:val="16"/>
          <w:szCs w:val="16"/>
          <w:lang w:val="pt-PT"/>
        </w:rPr>
        <w:t xml:space="preserve"> Article 17 (b) Nagoya Protocol. Note also Article 6(3)(g).</w:t>
      </w:r>
    </w:p>
  </w:footnote>
  <w:footnote w:id="46">
    <w:p w:rsidR="004D3615" w:rsidRPr="00664B19" w:rsidRDefault="004D3615">
      <w:pPr>
        <w:pStyle w:val="ad"/>
        <w:rPr>
          <w:lang w:val="pt-PT"/>
        </w:rPr>
      </w:pPr>
      <w:r w:rsidRPr="00855ABE">
        <w:rPr>
          <w:rStyle w:val="af"/>
          <w:rFonts w:ascii="Times New Roman" w:hAnsi="Times New Roman"/>
          <w:sz w:val="16"/>
          <w:szCs w:val="16"/>
        </w:rPr>
        <w:footnoteRef/>
      </w:r>
      <w:r w:rsidRPr="00664B19">
        <w:rPr>
          <w:rFonts w:ascii="Times New Roman" w:hAnsi="Times New Roman"/>
          <w:sz w:val="16"/>
          <w:szCs w:val="16"/>
          <w:lang w:val="pt-PT"/>
        </w:rPr>
        <w:t xml:space="preserve"> Article 18 Nagoya Protocol.</w:t>
      </w:r>
    </w:p>
  </w:footnote>
  <w:footnote w:id="47">
    <w:p w:rsidR="004D3615" w:rsidRPr="00664B19" w:rsidRDefault="004D3615" w:rsidP="003B117A">
      <w:pPr>
        <w:pStyle w:val="ad"/>
        <w:rPr>
          <w:lang w:val="pt-PT"/>
        </w:rPr>
      </w:pPr>
      <w:r w:rsidRPr="00855ABE">
        <w:rPr>
          <w:rStyle w:val="af"/>
          <w:rFonts w:ascii="Times New Roman" w:hAnsi="Times New Roman"/>
          <w:sz w:val="16"/>
          <w:szCs w:val="16"/>
        </w:rPr>
        <w:footnoteRef/>
      </w:r>
      <w:r w:rsidRPr="00664B19">
        <w:rPr>
          <w:rFonts w:ascii="Times New Roman" w:hAnsi="Times New Roman"/>
          <w:sz w:val="16"/>
          <w:szCs w:val="16"/>
          <w:lang w:val="pt-PT"/>
        </w:rPr>
        <w:t xml:space="preserve"> Article 22 Nagoya Protocol.</w:t>
      </w:r>
    </w:p>
  </w:footnote>
  <w:footnote w:id="48">
    <w:p w:rsidR="004D3615" w:rsidRPr="006846AF" w:rsidRDefault="004D3615">
      <w:pPr>
        <w:pStyle w:val="ad"/>
        <w:rPr>
          <w:lang w:val="fr-CH"/>
        </w:rPr>
      </w:pPr>
      <w:r w:rsidRPr="00855ABE">
        <w:rPr>
          <w:rStyle w:val="af"/>
          <w:rFonts w:ascii="Times New Roman" w:hAnsi="Times New Roman"/>
          <w:sz w:val="16"/>
          <w:szCs w:val="16"/>
        </w:rPr>
        <w:footnoteRef/>
      </w:r>
      <w:r w:rsidRPr="006846AF">
        <w:rPr>
          <w:rFonts w:ascii="Times New Roman" w:hAnsi="Times New Roman"/>
          <w:sz w:val="16"/>
          <w:szCs w:val="16"/>
          <w:lang w:val="fr-CH"/>
        </w:rPr>
        <w:t>Article 23 Nagoya Protocol.</w:t>
      </w:r>
    </w:p>
  </w:footnote>
  <w:footnote w:id="49">
    <w:p w:rsidR="004D3615" w:rsidRDefault="004D3615" w:rsidP="00133D07">
      <w:pPr>
        <w:pStyle w:val="a3"/>
        <w:spacing w:after="0" w:line="240" w:lineRule="auto"/>
        <w:ind w:left="0"/>
        <w:jc w:val="both"/>
      </w:pPr>
      <w:r w:rsidRPr="00B85F23">
        <w:rPr>
          <w:rStyle w:val="af"/>
          <w:rFonts w:ascii="Times New Roman" w:hAnsi="Times New Roman"/>
          <w:sz w:val="16"/>
          <w:szCs w:val="16"/>
        </w:rPr>
        <w:footnoteRef/>
      </w:r>
      <w:r w:rsidRPr="00B85F23">
        <w:rPr>
          <w:rFonts w:ascii="Times New Roman" w:hAnsi="Times New Roman"/>
          <w:sz w:val="16"/>
          <w:szCs w:val="16"/>
        </w:rPr>
        <w:t xml:space="preserve"> Examples include the Swiss Academy of Sciences Agreement on Access and Benefit-sharing for Non-Commercial Research - Sector specific approach containing Model Clauses; </w:t>
      </w:r>
      <w:r w:rsidRPr="00B85F23">
        <w:rPr>
          <w:rFonts w:ascii="Times New Roman" w:hAnsi="Times New Roman"/>
          <w:sz w:val="16"/>
          <w:szCs w:val="16"/>
          <w:lang w:eastAsia="fr-CH"/>
        </w:rPr>
        <w:t xml:space="preserve">the SECO ABS Management Tool (ABS–MT); the </w:t>
      </w:r>
      <w:hyperlink r:id="rId5" w:history="1">
        <w:r w:rsidRPr="00B85F23">
          <w:rPr>
            <w:rFonts w:ascii="Times New Roman" w:hAnsi="Times New Roman"/>
            <w:sz w:val="16"/>
            <w:szCs w:val="16"/>
            <w:lang w:eastAsia="fr-CH"/>
          </w:rPr>
          <w:t xml:space="preserve">Model Material Transfer Agreement developed by  the </w:t>
        </w:r>
      </w:hyperlink>
      <w:hyperlink r:id="rId6" w:history="1">
        <w:r w:rsidRPr="00B85F23">
          <w:rPr>
            <w:rFonts w:ascii="Times New Roman" w:hAnsi="Times New Roman"/>
            <w:sz w:val="16"/>
            <w:szCs w:val="16"/>
            <w:lang w:eastAsia="fr-CH"/>
          </w:rPr>
          <w:t>Biotechnology Industry Organization (BIO)</w:t>
        </w:r>
      </w:hyperlink>
      <w:r w:rsidRPr="00B85F23">
        <w:rPr>
          <w:rFonts w:ascii="Times New Roman" w:hAnsi="Times New Roman"/>
          <w:sz w:val="16"/>
          <w:szCs w:val="16"/>
          <w:lang w:eastAsia="fr-CH"/>
        </w:rPr>
        <w:t>; and the</w:t>
      </w:r>
      <w:r w:rsidRPr="00B85F23">
        <w:rPr>
          <w:rFonts w:ascii="Times New Roman" w:hAnsi="Times New Roman"/>
          <w:sz w:val="16"/>
          <w:szCs w:val="16"/>
        </w:rPr>
        <w:t xml:space="preserve"> </w:t>
      </w:r>
      <w:r w:rsidRPr="00B85F23">
        <w:rPr>
          <w:rFonts w:ascii="Times New Roman" w:hAnsi="Times New Roman"/>
          <w:sz w:val="16"/>
          <w:szCs w:val="16"/>
          <w:lang w:eastAsia="fr-CH"/>
        </w:rPr>
        <w:t>Model Agreement accompanying the Micro-Organisms Sustainable use and Access Regulation International Code of Conduct</w:t>
      </w:r>
      <w:r>
        <w:rPr>
          <w:rFonts w:ascii="Times New Roman" w:hAnsi="Times New Roman"/>
          <w:sz w:val="16"/>
          <w:szCs w:val="16"/>
          <w:lang w:eastAsia="fr-CH"/>
        </w:rPr>
        <w:t xml:space="preserve"> (</w:t>
      </w:r>
      <w:r w:rsidRPr="00B85F23">
        <w:rPr>
          <w:rFonts w:ascii="Times New Roman" w:hAnsi="Times New Roman"/>
          <w:sz w:val="16"/>
          <w:szCs w:val="16"/>
          <w:lang w:eastAsia="fr-CH"/>
        </w:rPr>
        <w:t>MOSAICC</w:t>
      </w:r>
      <w:r>
        <w:rPr>
          <w:rFonts w:ascii="Times New Roman" w:hAnsi="Times New Roman"/>
          <w:sz w:val="16"/>
          <w:szCs w:val="16"/>
          <w:lang w:eastAsia="fr-CH"/>
        </w:rPr>
        <w:t>)</w:t>
      </w:r>
      <w:r w:rsidRPr="00B85F23">
        <w:rPr>
          <w:rFonts w:ascii="Times New Roman" w:hAnsi="Times New Roman"/>
          <w:sz w:val="16"/>
          <w:szCs w:val="16"/>
          <w:lang w:eastAsia="fr-CH"/>
        </w:rPr>
        <w:t xml:space="preserve"> (See Annex I).</w:t>
      </w:r>
    </w:p>
  </w:footnote>
  <w:footnote w:id="50">
    <w:p w:rsidR="004D3615" w:rsidRDefault="004D3615" w:rsidP="00133D07">
      <w:pPr>
        <w:spacing w:after="0" w:line="240" w:lineRule="auto"/>
      </w:pPr>
      <w:r w:rsidRPr="00B85F23">
        <w:rPr>
          <w:rStyle w:val="af"/>
          <w:rFonts w:ascii="Times New Roman" w:hAnsi="Times New Roman"/>
          <w:sz w:val="16"/>
          <w:szCs w:val="16"/>
        </w:rPr>
        <w:footnoteRef/>
      </w:r>
      <w:r w:rsidRPr="00B85F23">
        <w:rPr>
          <w:rFonts w:ascii="Times New Roman" w:hAnsi="Times New Roman"/>
          <w:sz w:val="16"/>
          <w:szCs w:val="16"/>
        </w:rPr>
        <w:t xml:space="preserve"> Examples include the Australian Deed of Agreement between Commonwealth of Australia and (Name of Access Party) in relation to Access to Biological Resources in Commonwealth Areas for Commercial or Potential Commercial Purposes and Benefit Sharing; the Australian simplified produced for non-commercial access and benefit sharing; the Argentinian Model 1. General Agreement, Model 2. </w:t>
      </w:r>
      <w:proofErr w:type="gramStart"/>
      <w:r w:rsidRPr="00B85F23">
        <w:rPr>
          <w:rFonts w:ascii="Times New Roman" w:hAnsi="Times New Roman"/>
          <w:sz w:val="16"/>
          <w:szCs w:val="16"/>
        </w:rPr>
        <w:t>Project Research Collaboration Agreement and Model 3.</w:t>
      </w:r>
      <w:proofErr w:type="gramEnd"/>
      <w:r w:rsidRPr="00B85F23">
        <w:rPr>
          <w:rFonts w:ascii="Times New Roman" w:hAnsi="Times New Roman"/>
          <w:sz w:val="16"/>
          <w:szCs w:val="16"/>
        </w:rPr>
        <w:t xml:space="preserve"> </w:t>
      </w:r>
      <w:proofErr w:type="gramStart"/>
      <w:r w:rsidRPr="00B85F23">
        <w:rPr>
          <w:rFonts w:ascii="Times New Roman" w:hAnsi="Times New Roman"/>
          <w:sz w:val="16"/>
          <w:szCs w:val="16"/>
        </w:rPr>
        <w:t>Terms of Material Transfer Agreement including minimum clauses common to all; and South Africa’s Department of Environmental Affairs Model Material Transfer Agreement and Model Benefit Sharing Agreement (See Annex I).</w:t>
      </w:r>
      <w:proofErr w:type="gramEnd"/>
      <w:r>
        <w:rPr>
          <w:rFonts w:ascii="Times New Roman" w:hAnsi="Times New Roman"/>
          <w:sz w:val="16"/>
          <w:szCs w:val="16"/>
        </w:rPr>
        <w:t xml:space="preserve"> In this context note that an agreement is taken, for the purposes of this s</w:t>
      </w:r>
      <w:r w:rsidR="00952B17">
        <w:rPr>
          <w:rFonts w:ascii="Times New Roman" w:hAnsi="Times New Roman"/>
          <w:sz w:val="16"/>
          <w:szCs w:val="16"/>
        </w:rPr>
        <w:t>tudy</w:t>
      </w:r>
      <w:r>
        <w:rPr>
          <w:rFonts w:ascii="Times New Roman" w:hAnsi="Times New Roman"/>
          <w:sz w:val="16"/>
          <w:szCs w:val="16"/>
        </w:rPr>
        <w:t xml:space="preserve"> to be a model rather than a standard agreement where it leaves some room for tailoring based on negotiation between the parties, and/or where its use is not obligatory by parties. </w:t>
      </w:r>
    </w:p>
  </w:footnote>
  <w:footnote w:id="51">
    <w:p w:rsidR="004D3615" w:rsidRDefault="004D3615" w:rsidP="00133D07">
      <w:pPr>
        <w:spacing w:after="0" w:line="240" w:lineRule="auto"/>
      </w:pPr>
      <w:r w:rsidRPr="00B85F23">
        <w:rPr>
          <w:rStyle w:val="af"/>
          <w:rFonts w:ascii="Times New Roman" w:hAnsi="Times New Roman"/>
          <w:sz w:val="16"/>
          <w:szCs w:val="16"/>
        </w:rPr>
        <w:footnoteRef/>
      </w:r>
      <w:r w:rsidRPr="00B85F23">
        <w:rPr>
          <w:rFonts w:ascii="Times New Roman" w:hAnsi="Times New Roman"/>
          <w:sz w:val="16"/>
          <w:szCs w:val="16"/>
        </w:rPr>
        <w:t xml:space="preserve"> Examples include the </w:t>
      </w:r>
      <w:hyperlink r:id="rId7" w:history="1">
        <w:r w:rsidRPr="00B85F23">
          <w:rPr>
            <w:rFonts w:ascii="Times New Roman" w:hAnsi="Times New Roman"/>
            <w:sz w:val="16"/>
            <w:szCs w:val="16"/>
            <w:lang w:eastAsia="fr-CH"/>
          </w:rPr>
          <w:t>Model Transfer Agreement: Terms and Conditions of limited non-exclusive license model agreement to use genetic material of the Culture Collection of Dairy Microorganisms (CCDM) of the Czech Republic</w:t>
        </w:r>
      </w:hyperlink>
      <w:r w:rsidRPr="00B85F23">
        <w:rPr>
          <w:rFonts w:ascii="Times New Roman" w:hAnsi="Times New Roman"/>
          <w:sz w:val="16"/>
          <w:szCs w:val="16"/>
          <w:lang w:eastAsia="fr-CH"/>
        </w:rPr>
        <w:t xml:space="preserve">; the </w:t>
      </w:r>
      <w:hyperlink r:id="rId8" w:history="1">
        <w:r w:rsidRPr="00B85F23">
          <w:rPr>
            <w:rFonts w:ascii="Times New Roman" w:hAnsi="Times New Roman"/>
            <w:sz w:val="16"/>
            <w:szCs w:val="16"/>
            <w:lang w:eastAsia="fr-CH"/>
          </w:rPr>
          <w:t>Model Material Transfer Agreement between the American National Cancer Institute (NCI) and Applicant Investigators</w:t>
        </w:r>
      </w:hyperlink>
      <w:r w:rsidRPr="00B85F23">
        <w:rPr>
          <w:rFonts w:ascii="Times New Roman" w:hAnsi="Times New Roman"/>
          <w:sz w:val="16"/>
          <w:szCs w:val="16"/>
        </w:rPr>
        <w:t xml:space="preserve">; the </w:t>
      </w:r>
      <w:hyperlink r:id="rId9" w:history="1">
        <w:r w:rsidRPr="00B85F23">
          <w:rPr>
            <w:rFonts w:ascii="Times New Roman" w:hAnsi="Times New Roman"/>
            <w:sz w:val="16"/>
            <w:szCs w:val="16"/>
            <w:lang w:eastAsia="fr-CH"/>
          </w:rPr>
          <w:t>Model Letter of Collaboration between the Developmental Therapeutics Program Division of Cancer Treatment/Diagnosis National Cancer Institute, United States of America (DTP/NCI) and a Source Country Government (SCG)/Source Country Organization(s) (SCO)</w:t>
        </w:r>
      </w:hyperlink>
      <w:r w:rsidRPr="00B85F23">
        <w:rPr>
          <w:rFonts w:ascii="Times New Roman" w:hAnsi="Times New Roman"/>
          <w:sz w:val="16"/>
          <w:szCs w:val="16"/>
        </w:rPr>
        <w:t xml:space="preserve">; the </w:t>
      </w:r>
      <w:hyperlink r:id="rId10" w:history="1">
        <w:r w:rsidRPr="00B85F23">
          <w:rPr>
            <w:rFonts w:ascii="Times New Roman" w:hAnsi="Times New Roman"/>
            <w:sz w:val="16"/>
            <w:szCs w:val="16"/>
            <w:lang w:eastAsia="fr-CH"/>
          </w:rPr>
          <w:t>Model Material Transfer Agreement of the Korean Research Institute of Bioscience and Biotechnology</w:t>
        </w:r>
      </w:hyperlink>
      <w:r w:rsidRPr="00B85F23">
        <w:rPr>
          <w:rFonts w:ascii="Times New Roman" w:hAnsi="Times New Roman"/>
          <w:sz w:val="16"/>
          <w:szCs w:val="16"/>
          <w:lang w:eastAsia="fr-CH"/>
        </w:rPr>
        <w:t>; and the</w:t>
      </w:r>
      <w:r>
        <w:rPr>
          <w:rFonts w:ascii="Times New Roman" w:hAnsi="Times New Roman"/>
          <w:sz w:val="16"/>
          <w:szCs w:val="16"/>
          <w:lang w:eastAsia="fr-CH"/>
        </w:rPr>
        <w:t xml:space="preserve"> Material Transfer Agreement of the Korean Agricultural Culture Collection (</w:t>
      </w:r>
      <w:r w:rsidRPr="00B85F23">
        <w:rPr>
          <w:rFonts w:ascii="Times New Roman" w:hAnsi="Times New Roman"/>
          <w:sz w:val="16"/>
          <w:szCs w:val="16"/>
          <w:lang w:eastAsia="fr-CH"/>
        </w:rPr>
        <w:t xml:space="preserve">See: </w:t>
      </w:r>
      <w:hyperlink r:id="rId11" w:history="1">
        <w:r w:rsidRPr="00B85F23">
          <w:rPr>
            <w:rStyle w:val="ac"/>
            <w:rFonts w:ascii="Times New Roman" w:hAnsi="Times New Roman"/>
            <w:sz w:val="16"/>
            <w:szCs w:val="16"/>
            <w:lang w:eastAsia="fr-CH"/>
          </w:rPr>
          <w:t>http://www.cbd.int/abs/resources/contracts.shtml</w:t>
        </w:r>
      </w:hyperlink>
      <w:r>
        <w:rPr>
          <w:rFonts w:ascii="Times New Roman" w:hAnsi="Times New Roman"/>
          <w:sz w:val="16"/>
          <w:szCs w:val="16"/>
          <w:lang w:eastAsia="fr-CH"/>
        </w:rPr>
        <w:t xml:space="preserve">; and </w:t>
      </w:r>
      <w:hyperlink r:id="rId12" w:history="1">
        <w:r w:rsidRPr="00671DA3">
          <w:rPr>
            <w:rStyle w:val="ac"/>
            <w:rFonts w:ascii="Times New Roman" w:hAnsi="Times New Roman"/>
            <w:sz w:val="16"/>
            <w:szCs w:val="16"/>
            <w:lang w:eastAsia="fr-CH"/>
          </w:rPr>
          <w:t>http://www.wipo.int/tk/en/databases/contracts/index.html</w:t>
        </w:r>
      </w:hyperlink>
      <w:r>
        <w:rPr>
          <w:rFonts w:ascii="Times New Roman" w:hAnsi="Times New Roman"/>
          <w:sz w:val="16"/>
          <w:szCs w:val="16"/>
          <w:lang w:eastAsia="fr-CH"/>
        </w:rPr>
        <w:t>).</w:t>
      </w:r>
    </w:p>
  </w:footnote>
  <w:footnote w:id="52">
    <w:p w:rsidR="004D3615" w:rsidRDefault="004D3615" w:rsidP="00855ABE">
      <w:pPr>
        <w:spacing w:after="0" w:line="240" w:lineRule="auto"/>
      </w:pPr>
      <w:r w:rsidRPr="00B85F23">
        <w:rPr>
          <w:rStyle w:val="af"/>
          <w:rFonts w:ascii="Times New Roman" w:hAnsi="Times New Roman"/>
          <w:sz w:val="16"/>
          <w:szCs w:val="16"/>
        </w:rPr>
        <w:footnoteRef/>
      </w:r>
      <w:r w:rsidRPr="00B85F23">
        <w:rPr>
          <w:rFonts w:ascii="Times New Roman" w:hAnsi="Times New Roman"/>
          <w:sz w:val="16"/>
          <w:szCs w:val="16"/>
        </w:rPr>
        <w:t xml:space="preserve"> Examples include the </w:t>
      </w:r>
      <w:hyperlink r:id="rId13" w:history="1">
        <w:r w:rsidRPr="00B85F23">
          <w:rPr>
            <w:rFonts w:ascii="Times New Roman" w:hAnsi="Times New Roman"/>
            <w:sz w:val="16"/>
            <w:szCs w:val="16"/>
            <w:lang w:eastAsia="fr-CH"/>
          </w:rPr>
          <w:t>Model Agreement between the National Institute for Pharmaceutical Research and Development, Nigeria and a Consultant Herbalist, 1997</w:t>
        </w:r>
      </w:hyperlink>
      <w:r w:rsidRPr="00B85F23">
        <w:rPr>
          <w:rFonts w:ascii="Times New Roman" w:hAnsi="Times New Roman"/>
          <w:sz w:val="16"/>
          <w:szCs w:val="16"/>
          <w:lang w:eastAsia="fr-CH"/>
        </w:rPr>
        <w:t xml:space="preserve"> (See</w:t>
      </w:r>
      <w:r w:rsidRPr="00B85F23">
        <w:rPr>
          <w:rFonts w:ascii="Times New Roman" w:hAnsi="Times New Roman"/>
          <w:sz w:val="16"/>
          <w:szCs w:val="16"/>
        </w:rPr>
        <w:t xml:space="preserve"> </w:t>
      </w:r>
      <w:r w:rsidRPr="00B85F23">
        <w:rPr>
          <w:rFonts w:ascii="Times New Roman" w:hAnsi="Times New Roman"/>
          <w:sz w:val="16"/>
          <w:szCs w:val="16"/>
          <w:lang w:eastAsia="fr-CH"/>
        </w:rPr>
        <w:t>http://www.wipo.int/tk/en/databases/contracts/index.html)</w:t>
      </w:r>
      <w:r>
        <w:rPr>
          <w:rFonts w:ascii="Times New Roman" w:hAnsi="Times New Roman"/>
          <w:sz w:val="16"/>
          <w:szCs w:val="16"/>
          <w:lang w:eastAsia="fr-CH"/>
        </w:rPr>
        <w:t>.</w:t>
      </w:r>
    </w:p>
  </w:footnote>
  <w:footnote w:id="53">
    <w:p w:rsidR="004D3615" w:rsidRPr="00A86195" w:rsidRDefault="004D3615">
      <w:pPr>
        <w:pStyle w:val="ad"/>
        <w:rPr>
          <w:rFonts w:ascii="Times New Roman" w:hAnsi="Times New Roman"/>
          <w:sz w:val="16"/>
          <w:szCs w:val="16"/>
        </w:rPr>
      </w:pPr>
      <w:r w:rsidRPr="00A86195">
        <w:rPr>
          <w:rStyle w:val="af"/>
          <w:rFonts w:ascii="Times New Roman" w:hAnsi="Times New Roman"/>
          <w:sz w:val="16"/>
          <w:szCs w:val="16"/>
        </w:rPr>
        <w:footnoteRef/>
      </w:r>
      <w:r w:rsidRPr="00A86195">
        <w:rPr>
          <w:rFonts w:ascii="Times New Roman" w:hAnsi="Times New Roman"/>
          <w:sz w:val="16"/>
          <w:szCs w:val="16"/>
        </w:rPr>
        <w:t xml:space="preserve"> </w:t>
      </w:r>
      <w:r>
        <w:rPr>
          <w:rFonts w:ascii="Times New Roman" w:hAnsi="Times New Roman"/>
          <w:sz w:val="16"/>
          <w:szCs w:val="16"/>
        </w:rPr>
        <w:t xml:space="preserve">The text of the SMTA is available from </w:t>
      </w:r>
      <w:hyperlink r:id="rId14" w:history="1">
        <w:r w:rsidRPr="00577DC7">
          <w:rPr>
            <w:rStyle w:val="ac"/>
            <w:rFonts w:ascii="Times New Roman" w:hAnsi="Times New Roman"/>
            <w:sz w:val="16"/>
            <w:szCs w:val="16"/>
          </w:rPr>
          <w:t>http://www.planttreaty.org/content/what-smta</w:t>
        </w:r>
      </w:hyperlink>
      <w:r>
        <w:rPr>
          <w:rFonts w:ascii="Times New Roman" w:hAnsi="Times New Roman"/>
          <w:sz w:val="16"/>
          <w:szCs w:val="16"/>
        </w:rPr>
        <w:t xml:space="preserve"> </w:t>
      </w:r>
    </w:p>
  </w:footnote>
  <w:footnote w:id="54">
    <w:p w:rsidR="004D3615" w:rsidRDefault="004D3615">
      <w:pPr>
        <w:pStyle w:val="ad"/>
      </w:pPr>
      <w:r w:rsidRPr="00855ABE">
        <w:rPr>
          <w:rStyle w:val="af"/>
          <w:rFonts w:ascii="Times New Roman" w:hAnsi="Times New Roman"/>
          <w:sz w:val="16"/>
          <w:szCs w:val="16"/>
        </w:rPr>
        <w:footnoteRef/>
      </w:r>
      <w:r w:rsidRPr="00855ABE">
        <w:rPr>
          <w:rFonts w:ascii="Times New Roman" w:hAnsi="Times New Roman"/>
          <w:sz w:val="16"/>
          <w:szCs w:val="16"/>
        </w:rPr>
        <w:t xml:space="preserve"> Note that throughout this text use of the term access and benefit sharing ‘arrangement’ refers to the combined set of legal instruments that, when taken together, give effect to the access and benefit sharing provisions of the Convention and Protocol, and/or the specific access and benefit sharing requirements of a particular jurisdiction. Where the text uses the word ‘agreement’, a single legal instrument </w:t>
      </w:r>
      <w:r>
        <w:rPr>
          <w:rFonts w:ascii="Times New Roman" w:hAnsi="Times New Roman"/>
          <w:sz w:val="16"/>
          <w:szCs w:val="16"/>
        </w:rPr>
        <w:t xml:space="preserve">(i.e. containing several clauses) </w:t>
      </w:r>
      <w:r w:rsidRPr="00855ABE">
        <w:rPr>
          <w:rFonts w:ascii="Times New Roman" w:hAnsi="Times New Roman"/>
          <w:sz w:val="16"/>
          <w:szCs w:val="16"/>
        </w:rPr>
        <w:t>is referred to.</w:t>
      </w:r>
    </w:p>
  </w:footnote>
  <w:footnote w:id="55">
    <w:p w:rsidR="004D3615" w:rsidRDefault="004D3615">
      <w:pPr>
        <w:pStyle w:val="ad"/>
      </w:pPr>
      <w:r w:rsidRPr="00855ABE">
        <w:rPr>
          <w:rStyle w:val="af"/>
          <w:rFonts w:ascii="Times New Roman" w:hAnsi="Times New Roman"/>
          <w:sz w:val="16"/>
          <w:szCs w:val="16"/>
        </w:rPr>
        <w:footnoteRef/>
      </w:r>
      <w:r w:rsidRPr="00855ABE">
        <w:rPr>
          <w:rFonts w:ascii="Times New Roman" w:hAnsi="Times New Roman"/>
          <w:sz w:val="16"/>
          <w:szCs w:val="16"/>
        </w:rPr>
        <w:t xml:space="preserve">As is the case in the example of the </w:t>
      </w:r>
      <w:r w:rsidRPr="00855ABE">
        <w:rPr>
          <w:rFonts w:ascii="Times New Roman" w:hAnsi="Times New Roman"/>
          <w:sz w:val="16"/>
          <w:szCs w:val="16"/>
          <w:lang w:val="en-AU"/>
        </w:rPr>
        <w:t xml:space="preserve">ABS-Working Group of the Deutsche </w:t>
      </w:r>
      <w:proofErr w:type="spellStart"/>
      <w:r w:rsidRPr="00855ABE">
        <w:rPr>
          <w:rFonts w:ascii="Times New Roman" w:hAnsi="Times New Roman"/>
          <w:sz w:val="16"/>
          <w:szCs w:val="16"/>
          <w:lang w:val="en-AU"/>
        </w:rPr>
        <w:t>Forschungsgemeinschaft</w:t>
      </w:r>
      <w:proofErr w:type="spellEnd"/>
      <w:r w:rsidRPr="00855ABE">
        <w:rPr>
          <w:rFonts w:ascii="Times New Roman" w:hAnsi="Times New Roman"/>
          <w:sz w:val="16"/>
          <w:szCs w:val="16"/>
          <w:lang w:val="en-AU"/>
        </w:rPr>
        <w:t xml:space="preserve">, </w:t>
      </w:r>
      <w:r w:rsidRPr="00855ABE">
        <w:rPr>
          <w:rFonts w:ascii="Times New Roman" w:hAnsi="Times New Roman"/>
          <w:sz w:val="16"/>
          <w:szCs w:val="16"/>
        </w:rPr>
        <w:t xml:space="preserve">Supplementary Instructions for Funding Proposals Concerning Research Projects within the Scope of the Convention on Biological Diversity, available through </w:t>
      </w:r>
      <w:hyperlink r:id="rId15" w:history="1">
        <w:r w:rsidRPr="00855ABE">
          <w:rPr>
            <w:rStyle w:val="ac"/>
            <w:rFonts w:ascii="Times New Roman" w:hAnsi="Times New Roman"/>
            <w:sz w:val="16"/>
            <w:szCs w:val="16"/>
            <w:lang w:val="en-AU"/>
          </w:rPr>
          <w:t>www.dfg.de</w:t>
        </w:r>
      </w:hyperlink>
    </w:p>
  </w:footnote>
  <w:footnote w:id="56">
    <w:p w:rsidR="004D3615" w:rsidRDefault="004D3615">
      <w:pPr>
        <w:pStyle w:val="ad"/>
      </w:pPr>
      <w:r w:rsidRPr="00855ABE">
        <w:rPr>
          <w:rStyle w:val="af"/>
          <w:rFonts w:ascii="Times New Roman" w:hAnsi="Times New Roman"/>
          <w:sz w:val="16"/>
          <w:szCs w:val="16"/>
        </w:rPr>
        <w:footnoteRef/>
      </w:r>
      <w:r w:rsidRPr="00855ABE">
        <w:rPr>
          <w:rFonts w:ascii="Times New Roman" w:hAnsi="Times New Roman"/>
          <w:sz w:val="16"/>
          <w:szCs w:val="16"/>
        </w:rPr>
        <w:t xml:space="preserve"> Note, for example, the relationship between the Australian model agreement and the Environment Protection and Biodiversity Conservation Regulations: Commonwealth of Australia Department of Sustainability, Environment, Water, Population and Communities (2012) Deed of Agreement between Commonwealth of Australia and (Name of Access Party) in relation to Access to Biological Resources in Commonwealth Areas for Commercial or Potential Commercial Purposes and Benefit Sharing, available </w:t>
      </w:r>
      <w:r>
        <w:rPr>
          <w:rFonts w:ascii="Times New Roman" w:hAnsi="Times New Roman"/>
          <w:sz w:val="16"/>
          <w:szCs w:val="16"/>
        </w:rPr>
        <w:t>at</w:t>
      </w:r>
      <w:r w:rsidRPr="00855ABE">
        <w:rPr>
          <w:rFonts w:ascii="Times New Roman" w:hAnsi="Times New Roman"/>
          <w:sz w:val="16"/>
          <w:szCs w:val="16"/>
        </w:rPr>
        <w:t xml:space="preserve"> </w:t>
      </w:r>
      <w:hyperlink r:id="rId16" w:history="1">
        <w:r w:rsidRPr="00855ABE">
          <w:rPr>
            <w:rStyle w:val="ac"/>
            <w:rFonts w:ascii="Times New Roman" w:hAnsi="Times New Roman"/>
            <w:sz w:val="16"/>
            <w:szCs w:val="16"/>
          </w:rPr>
          <w:t>www.environment.gov.au/biodiversity/science/access/model-agreements/index.html</w:t>
        </w:r>
      </w:hyperlink>
    </w:p>
  </w:footnote>
  <w:footnote w:id="57">
    <w:p w:rsidR="004D3615" w:rsidRDefault="004D3615">
      <w:pPr>
        <w:pStyle w:val="ad"/>
      </w:pPr>
      <w:r w:rsidRPr="00855ABE">
        <w:rPr>
          <w:rStyle w:val="af"/>
          <w:rFonts w:ascii="Times New Roman" w:hAnsi="Times New Roman"/>
          <w:sz w:val="16"/>
          <w:szCs w:val="16"/>
        </w:rPr>
        <w:footnoteRef/>
      </w:r>
      <w:r w:rsidRPr="00855ABE">
        <w:rPr>
          <w:rFonts w:ascii="Times New Roman" w:hAnsi="Times New Roman"/>
          <w:sz w:val="16"/>
          <w:szCs w:val="16"/>
        </w:rPr>
        <w:t xml:space="preserve"> See, for example, Swiss Academy of Sciences (2010) Agreement on Access and Benefit-sharing for Non-Commercial Research - Sector specific approach containing Model Clauses, available at </w:t>
      </w:r>
      <w:hyperlink r:id="rId17" w:history="1">
        <w:r w:rsidRPr="00855ABE">
          <w:rPr>
            <w:rStyle w:val="ac"/>
            <w:rFonts w:ascii="Times New Roman" w:hAnsi="Times New Roman"/>
            <w:sz w:val="16"/>
            <w:szCs w:val="16"/>
          </w:rPr>
          <w:t>http://abs.scnat.ch/downloads/documents/NonCommResearch_ABS_Agreement.pdf</w:t>
        </w:r>
      </w:hyperlink>
    </w:p>
  </w:footnote>
  <w:footnote w:id="58">
    <w:p w:rsidR="004D3615" w:rsidRDefault="004D3615">
      <w:pPr>
        <w:pStyle w:val="ad"/>
      </w:pPr>
      <w:r w:rsidRPr="00855ABE">
        <w:rPr>
          <w:rStyle w:val="af"/>
          <w:rFonts w:ascii="Times New Roman" w:hAnsi="Times New Roman"/>
          <w:sz w:val="16"/>
          <w:szCs w:val="16"/>
        </w:rPr>
        <w:footnoteRef/>
      </w:r>
      <w:r w:rsidRPr="00855ABE">
        <w:rPr>
          <w:rFonts w:ascii="Times New Roman" w:hAnsi="Times New Roman"/>
          <w:sz w:val="16"/>
          <w:szCs w:val="16"/>
        </w:rPr>
        <w:t xml:space="preserve"> See, for example, Argentina Ministry of Environment and Sustainable Development (2010) Model 2. Project Research Collaboration Agreement, </w:t>
      </w:r>
      <w:r w:rsidRPr="00855ABE">
        <w:rPr>
          <w:rFonts w:ascii="Times New Roman" w:hAnsi="Times New Roman"/>
          <w:sz w:val="16"/>
          <w:szCs w:val="16"/>
          <w:lang w:val="en-AU"/>
        </w:rPr>
        <w:t xml:space="preserve">available at </w:t>
      </w:r>
      <w:r w:rsidRPr="00855ABE">
        <w:rPr>
          <w:rFonts w:ascii="Times New Roman" w:hAnsi="Times New Roman"/>
          <w:sz w:val="16"/>
          <w:szCs w:val="16"/>
        </w:rPr>
        <w:t>www.cbd.int/abs/resources/contracts.shtml</w:t>
      </w:r>
      <w:r w:rsidRPr="00855ABE">
        <w:rPr>
          <w:rFonts w:ascii="Times New Roman" w:hAnsi="Times New Roman"/>
          <w:sz w:val="16"/>
          <w:szCs w:val="16"/>
          <w:lang w:val="en-AU"/>
        </w:rPr>
        <w:t>.</w:t>
      </w:r>
    </w:p>
  </w:footnote>
  <w:footnote w:id="59">
    <w:p w:rsidR="004D3615" w:rsidRDefault="004D3615" w:rsidP="00133D07">
      <w:pPr>
        <w:pStyle w:val="ad"/>
      </w:pPr>
      <w:r w:rsidRPr="00B85F23">
        <w:rPr>
          <w:rStyle w:val="af"/>
          <w:rFonts w:ascii="Times New Roman" w:hAnsi="Times New Roman"/>
          <w:sz w:val="16"/>
          <w:szCs w:val="16"/>
        </w:rPr>
        <w:footnoteRef/>
      </w:r>
      <w:r w:rsidRPr="00B85F23">
        <w:rPr>
          <w:rFonts w:ascii="Times New Roman" w:hAnsi="Times New Roman"/>
          <w:sz w:val="16"/>
          <w:szCs w:val="16"/>
          <w:lang w:val="en-AU"/>
        </w:rPr>
        <w:t xml:space="preserve"> </w:t>
      </w:r>
      <w:r w:rsidRPr="00B85F23">
        <w:rPr>
          <w:rFonts w:ascii="Times New Roman" w:hAnsi="Times New Roman"/>
          <w:sz w:val="16"/>
          <w:szCs w:val="16"/>
        </w:rPr>
        <w:t xml:space="preserve">Commonwealth of Australia Department of Sustainability, Environment, Water, Population and Communities (2005) Simplified procedure for Access and Benefit Sharing available through </w:t>
      </w:r>
      <w:hyperlink r:id="rId18" w:history="1">
        <w:r w:rsidRPr="00B85F23">
          <w:rPr>
            <w:rStyle w:val="ac"/>
            <w:rFonts w:ascii="Times New Roman" w:hAnsi="Times New Roman"/>
            <w:sz w:val="16"/>
            <w:szCs w:val="16"/>
          </w:rPr>
          <w:t>http://www.environment.gov.au/biodiversity/science/access/permits/non-commercial.html</w:t>
        </w:r>
      </w:hyperlink>
    </w:p>
  </w:footnote>
  <w:footnote w:id="60">
    <w:p w:rsidR="004D3615" w:rsidRDefault="004D3615">
      <w:pPr>
        <w:pStyle w:val="ad"/>
      </w:pPr>
      <w:r w:rsidRPr="00855ABE">
        <w:rPr>
          <w:rStyle w:val="af"/>
          <w:rFonts w:ascii="Times New Roman" w:hAnsi="Times New Roman"/>
          <w:sz w:val="16"/>
          <w:szCs w:val="16"/>
        </w:rPr>
        <w:footnoteRef/>
      </w:r>
      <w:r w:rsidRPr="00855ABE">
        <w:rPr>
          <w:rFonts w:ascii="Times New Roman" w:hAnsi="Times New Roman"/>
          <w:sz w:val="16"/>
          <w:szCs w:val="16"/>
        </w:rPr>
        <w:t xml:space="preserve"> </w:t>
      </w:r>
      <w:r w:rsidRPr="005B1B4F">
        <w:rPr>
          <w:rFonts w:ascii="Times New Roman" w:hAnsi="Times New Roman"/>
          <w:sz w:val="16"/>
          <w:szCs w:val="16"/>
        </w:rPr>
        <w:t xml:space="preserve">See, Swiss Academy of Sciences (2010) Agreement on Access and Benefit-sharing for Non-Commercial Research - Sector specific approach containing Model Clauses, available at </w:t>
      </w:r>
      <w:hyperlink r:id="rId19" w:history="1">
        <w:r w:rsidRPr="005B1B4F">
          <w:rPr>
            <w:rStyle w:val="ac"/>
            <w:rFonts w:ascii="Times New Roman" w:hAnsi="Times New Roman"/>
            <w:sz w:val="16"/>
            <w:szCs w:val="16"/>
          </w:rPr>
          <w:t>http://abs.scnat.ch/downloads/documents/NonCommResearch_ABS_Agreement.pdf</w:t>
        </w:r>
      </w:hyperlink>
      <w:r>
        <w:rPr>
          <w:rStyle w:val="ac"/>
          <w:rFonts w:ascii="Times New Roman" w:hAnsi="Times New Roman"/>
          <w:sz w:val="16"/>
          <w:szCs w:val="16"/>
        </w:rPr>
        <w:t>.</w:t>
      </w:r>
    </w:p>
  </w:footnote>
  <w:footnote w:id="61">
    <w:p w:rsidR="004D3615" w:rsidRDefault="004D3615" w:rsidP="00855ABE">
      <w:pPr>
        <w:autoSpaceDE w:val="0"/>
        <w:autoSpaceDN w:val="0"/>
        <w:adjustRightInd w:val="0"/>
        <w:spacing w:after="0" w:line="240" w:lineRule="auto"/>
      </w:pPr>
      <w:r w:rsidRPr="00855ABE">
        <w:rPr>
          <w:rStyle w:val="af"/>
          <w:rFonts w:ascii="Times New Roman" w:hAnsi="Times New Roman"/>
          <w:sz w:val="16"/>
          <w:szCs w:val="16"/>
        </w:rPr>
        <w:footnoteRef/>
      </w:r>
      <w:r>
        <w:rPr>
          <w:rFonts w:ascii="Times New Roman" w:hAnsi="Times New Roman"/>
          <w:sz w:val="16"/>
          <w:szCs w:val="16"/>
        </w:rPr>
        <w:t xml:space="preserve"> See:</w:t>
      </w:r>
      <w:r w:rsidRPr="005B1B4F">
        <w:rPr>
          <w:rFonts w:ascii="Times New Roman" w:hAnsi="Times New Roman"/>
          <w:sz w:val="16"/>
          <w:szCs w:val="16"/>
        </w:rPr>
        <w:t xml:space="preserve"> </w:t>
      </w:r>
      <w:r w:rsidRPr="00855ABE">
        <w:rPr>
          <w:rFonts w:ascii="Times New Roman" w:hAnsi="Times New Roman"/>
          <w:sz w:val="16"/>
          <w:szCs w:val="16"/>
        </w:rPr>
        <w:t xml:space="preserve"> Commonwealth of Australia Department of Sustainability, Environment, Water, Population and Communities (2012) Deed of Agreement between Commonwealth of Australia and (Name of Access Party) in relation to Access to Biological Resources in Commonwealth Areas for Commercial or Potential Commercial Purposes and Benefit Sharing, available through </w:t>
      </w:r>
      <w:hyperlink r:id="rId20" w:history="1">
        <w:r w:rsidRPr="00855ABE">
          <w:rPr>
            <w:rStyle w:val="ac"/>
            <w:rFonts w:ascii="Times New Roman" w:hAnsi="Times New Roman"/>
            <w:sz w:val="16"/>
            <w:szCs w:val="16"/>
          </w:rPr>
          <w:t>www.environment.gov.au/biodiversity/science/access/model-agreements/index.html</w:t>
        </w:r>
      </w:hyperlink>
      <w:r w:rsidRPr="00855ABE">
        <w:rPr>
          <w:rFonts w:ascii="Times New Roman" w:hAnsi="Times New Roman"/>
          <w:sz w:val="16"/>
          <w:szCs w:val="16"/>
        </w:rPr>
        <w:t xml:space="preserve">; Republic of South Africa Department of Environmental Affairs, Benefit-Sharing Agreement South Africa – Department of Environmental Affairs, available at </w:t>
      </w:r>
      <w:hyperlink r:id="rId21" w:history="1">
        <w:r w:rsidRPr="00855ABE">
          <w:rPr>
            <w:rStyle w:val="ac"/>
            <w:rFonts w:ascii="Times New Roman" w:hAnsi="Times New Roman"/>
            <w:sz w:val="16"/>
            <w:szCs w:val="16"/>
          </w:rPr>
          <w:t>https://www.environment.gov.za/?q=content/documents/forms</w:t>
        </w:r>
      </w:hyperlink>
      <w:r w:rsidRPr="00855ABE">
        <w:rPr>
          <w:rFonts w:ascii="Times New Roman" w:hAnsi="Times New Roman"/>
          <w:sz w:val="16"/>
          <w:szCs w:val="16"/>
        </w:rPr>
        <w:t xml:space="preserve">; Republic of South Africa Department of Environmental Affairs, Model Material Transfer Agreement available at </w:t>
      </w:r>
      <w:hyperlink r:id="rId22" w:history="1">
        <w:r w:rsidRPr="00855ABE">
          <w:rPr>
            <w:rStyle w:val="ac"/>
            <w:rFonts w:ascii="Times New Roman" w:hAnsi="Times New Roman"/>
            <w:sz w:val="16"/>
            <w:szCs w:val="16"/>
          </w:rPr>
          <w:t>https://www.environment.gov.za/?q=content/documents/forms</w:t>
        </w:r>
      </w:hyperlink>
      <w:r>
        <w:rPr>
          <w:rFonts w:ascii="Times New Roman" w:hAnsi="Times New Roman"/>
          <w:sz w:val="16"/>
          <w:szCs w:val="16"/>
        </w:rPr>
        <w:t>.</w:t>
      </w:r>
    </w:p>
  </w:footnote>
  <w:footnote w:id="62">
    <w:p w:rsidR="004D3615" w:rsidRPr="00855ABE" w:rsidRDefault="004D3615" w:rsidP="00513770">
      <w:pPr>
        <w:pStyle w:val="ad"/>
        <w:rPr>
          <w:rFonts w:ascii="Times New Roman" w:hAnsi="Times New Roman"/>
          <w:sz w:val="16"/>
          <w:szCs w:val="16"/>
        </w:rPr>
      </w:pPr>
      <w:r w:rsidRPr="00855ABE">
        <w:rPr>
          <w:rStyle w:val="af"/>
          <w:rFonts w:ascii="Times New Roman" w:hAnsi="Times New Roman"/>
          <w:sz w:val="16"/>
          <w:szCs w:val="16"/>
        </w:rPr>
        <w:footnoteRef/>
      </w:r>
      <w:r w:rsidRPr="00855ABE">
        <w:rPr>
          <w:rFonts w:ascii="Times New Roman" w:hAnsi="Times New Roman"/>
          <w:sz w:val="16"/>
          <w:szCs w:val="16"/>
        </w:rPr>
        <w:t xml:space="preserve"> Swiss State Secretariat for Economic Affairs (2012) ABS Management Tool (ABS-MT),</w:t>
      </w:r>
    </w:p>
    <w:p w:rsidR="004D3615" w:rsidRDefault="004D3615">
      <w:pPr>
        <w:pStyle w:val="ad"/>
      </w:pPr>
      <w:r w:rsidRPr="00855ABE">
        <w:rPr>
          <w:rFonts w:ascii="Times New Roman" w:hAnsi="Times New Roman"/>
          <w:sz w:val="16"/>
          <w:szCs w:val="16"/>
        </w:rPr>
        <w:t xml:space="preserve">available through </w:t>
      </w:r>
      <w:hyperlink r:id="rId23" w:history="1">
        <w:r w:rsidRPr="00855ABE">
          <w:rPr>
            <w:rStyle w:val="ac"/>
            <w:rFonts w:ascii="Times New Roman" w:hAnsi="Times New Roman"/>
            <w:sz w:val="16"/>
            <w:szCs w:val="16"/>
          </w:rPr>
          <w:t>http://www.sib.admin.ch/en/nagoya-protocol/abs-management-tool/index.html</w:t>
        </w:r>
      </w:hyperlink>
    </w:p>
  </w:footnote>
  <w:footnote w:id="63">
    <w:p w:rsidR="004D3615" w:rsidRDefault="004D3615">
      <w:pPr>
        <w:pStyle w:val="ad"/>
      </w:pPr>
      <w:r w:rsidRPr="00855ABE">
        <w:rPr>
          <w:rStyle w:val="af"/>
          <w:rFonts w:ascii="Times New Roman" w:hAnsi="Times New Roman"/>
          <w:sz w:val="16"/>
          <w:szCs w:val="16"/>
        </w:rPr>
        <w:footnoteRef/>
      </w:r>
      <w:r w:rsidRPr="00855ABE">
        <w:rPr>
          <w:rFonts w:ascii="Times New Roman" w:hAnsi="Times New Roman"/>
          <w:sz w:val="16"/>
          <w:szCs w:val="16"/>
        </w:rPr>
        <w:t xml:space="preserve"> </w:t>
      </w:r>
      <w:r w:rsidRPr="00855ABE">
        <w:rPr>
          <w:rFonts w:ascii="Times New Roman" w:hAnsi="Times New Roman"/>
          <w:iCs/>
          <w:sz w:val="16"/>
          <w:szCs w:val="16"/>
        </w:rPr>
        <w:t xml:space="preserve">Biotechnology Industry Organization, Guidelines for BIO Members Engaging in </w:t>
      </w:r>
      <w:proofErr w:type="spellStart"/>
      <w:r w:rsidRPr="00855ABE">
        <w:rPr>
          <w:rFonts w:ascii="Times New Roman" w:hAnsi="Times New Roman"/>
          <w:iCs/>
          <w:sz w:val="16"/>
          <w:szCs w:val="16"/>
        </w:rPr>
        <w:t>Bioprospecting</w:t>
      </w:r>
      <w:proofErr w:type="spellEnd"/>
      <w:r w:rsidRPr="00855ABE">
        <w:rPr>
          <w:rFonts w:ascii="Times New Roman" w:hAnsi="Times New Roman"/>
          <w:iCs/>
          <w:sz w:val="16"/>
          <w:szCs w:val="16"/>
        </w:rPr>
        <w:t xml:space="preserve">, available through </w:t>
      </w:r>
      <w:hyperlink r:id="rId24" w:history="1">
        <w:r w:rsidRPr="00855ABE">
          <w:rPr>
            <w:rStyle w:val="ac"/>
            <w:rFonts w:ascii="Times New Roman" w:hAnsi="Times New Roman"/>
            <w:iCs/>
            <w:sz w:val="16"/>
            <w:szCs w:val="16"/>
          </w:rPr>
          <w:t>http://test.bio.org/intl/ip/international/</w:t>
        </w:r>
      </w:hyperlink>
    </w:p>
  </w:footnote>
  <w:footnote w:id="64">
    <w:p w:rsidR="004D3615" w:rsidRDefault="004D3615">
      <w:pPr>
        <w:pStyle w:val="ad"/>
      </w:pPr>
      <w:r w:rsidRPr="00855ABE">
        <w:rPr>
          <w:rStyle w:val="af"/>
          <w:rFonts w:ascii="Times New Roman" w:hAnsi="Times New Roman"/>
          <w:sz w:val="16"/>
          <w:szCs w:val="16"/>
        </w:rPr>
        <w:footnoteRef/>
      </w:r>
      <w:r>
        <w:rPr>
          <w:rFonts w:ascii="Times New Roman" w:hAnsi="Times New Roman"/>
          <w:sz w:val="16"/>
          <w:szCs w:val="16"/>
        </w:rPr>
        <w:t xml:space="preserve"> </w:t>
      </w:r>
      <w:r w:rsidRPr="00855ABE">
        <w:rPr>
          <w:rFonts w:ascii="Times New Roman" w:hAnsi="Times New Roman"/>
          <w:sz w:val="16"/>
          <w:szCs w:val="16"/>
        </w:rPr>
        <w:t xml:space="preserve">See:  </w:t>
      </w:r>
      <w:hyperlink r:id="rId25" w:history="1">
        <w:r w:rsidRPr="00577DC7">
          <w:rPr>
            <w:rStyle w:val="ac"/>
            <w:rFonts w:ascii="Times New Roman" w:hAnsi="Times New Roman"/>
            <w:sz w:val="16"/>
            <w:szCs w:val="16"/>
          </w:rPr>
          <w:t>http://www.cbd.int/abs/instruments/default.shtml</w:t>
        </w:r>
      </w:hyperlink>
      <w:r>
        <w:rPr>
          <w:rFonts w:ascii="Times New Roman" w:hAnsi="Times New Roman"/>
          <w:sz w:val="16"/>
          <w:szCs w:val="16"/>
        </w:rPr>
        <w:t xml:space="preserve"> </w:t>
      </w:r>
    </w:p>
  </w:footnote>
  <w:footnote w:id="65">
    <w:p w:rsidR="004D3615" w:rsidRDefault="004D3615">
      <w:pPr>
        <w:pStyle w:val="ad"/>
      </w:pPr>
      <w:r w:rsidRPr="00855ABE">
        <w:rPr>
          <w:rStyle w:val="af"/>
          <w:rFonts w:ascii="Times New Roman" w:hAnsi="Times New Roman"/>
          <w:sz w:val="16"/>
          <w:szCs w:val="16"/>
        </w:rPr>
        <w:footnoteRef/>
      </w:r>
      <w:r w:rsidRPr="00855ABE">
        <w:rPr>
          <w:rFonts w:ascii="Times New Roman" w:hAnsi="Times New Roman"/>
          <w:sz w:val="16"/>
          <w:szCs w:val="16"/>
        </w:rPr>
        <w:t xml:space="preserve"> See the list of authoring institutions in Annex II to this study. </w:t>
      </w:r>
    </w:p>
  </w:footnote>
  <w:footnote w:id="66">
    <w:p w:rsidR="004D3615" w:rsidRDefault="004D3615" w:rsidP="004B4ED1">
      <w:pPr>
        <w:pStyle w:val="ad"/>
      </w:pPr>
      <w:r w:rsidRPr="00855ABE">
        <w:rPr>
          <w:rStyle w:val="af"/>
          <w:rFonts w:ascii="Times New Roman" w:hAnsi="Times New Roman"/>
          <w:sz w:val="16"/>
          <w:szCs w:val="16"/>
        </w:rPr>
        <w:footnoteRef/>
      </w:r>
      <w:r w:rsidRPr="00855ABE">
        <w:rPr>
          <w:rFonts w:ascii="Times New Roman" w:hAnsi="Times New Roman"/>
          <w:sz w:val="16"/>
          <w:szCs w:val="16"/>
        </w:rPr>
        <w:t xml:space="preserve"> For example, as provided</w:t>
      </w:r>
      <w:r>
        <w:rPr>
          <w:rFonts w:ascii="Times New Roman" w:hAnsi="Times New Roman"/>
          <w:sz w:val="16"/>
          <w:szCs w:val="16"/>
        </w:rPr>
        <w:t xml:space="preserve"> within </w:t>
      </w:r>
      <w:proofErr w:type="spellStart"/>
      <w:r>
        <w:rPr>
          <w:rFonts w:ascii="Times New Roman" w:hAnsi="Times New Roman"/>
          <w:sz w:val="16"/>
          <w:szCs w:val="16"/>
        </w:rPr>
        <w:t>Bioprospector</w:t>
      </w:r>
      <w:proofErr w:type="spellEnd"/>
      <w:r>
        <w:rPr>
          <w:rFonts w:ascii="Times New Roman" w:hAnsi="Times New Roman"/>
          <w:sz w:val="16"/>
          <w:szCs w:val="16"/>
        </w:rPr>
        <w:t xml:space="preserve"> database of the United Nations University Institute of Advanced Studies </w:t>
      </w:r>
      <w:hyperlink r:id="rId26" w:history="1">
        <w:r w:rsidRPr="004B1E1B">
          <w:rPr>
            <w:rStyle w:val="ac"/>
            <w:rFonts w:ascii="Times New Roman" w:hAnsi="Times New Roman"/>
            <w:sz w:val="16"/>
            <w:szCs w:val="16"/>
          </w:rPr>
          <w:t>www.bioprospector.org</w:t>
        </w:r>
      </w:hyperlink>
      <w:r>
        <w:rPr>
          <w:rFonts w:ascii="Times New Roman" w:hAnsi="Times New Roman"/>
          <w:sz w:val="16"/>
          <w:szCs w:val="16"/>
        </w:rPr>
        <w:t xml:space="preserve">, the </w:t>
      </w:r>
      <w:r w:rsidRPr="00855ABE">
        <w:rPr>
          <w:rFonts w:ascii="Times New Roman" w:hAnsi="Times New Roman"/>
          <w:sz w:val="16"/>
          <w:szCs w:val="16"/>
        </w:rPr>
        <w:t xml:space="preserve">International Cooperative Biodiversity </w:t>
      </w:r>
      <w:r>
        <w:rPr>
          <w:rFonts w:ascii="Times New Roman" w:hAnsi="Times New Roman"/>
          <w:sz w:val="16"/>
          <w:szCs w:val="16"/>
        </w:rPr>
        <w:t>Groups:</w:t>
      </w:r>
      <w:r w:rsidRPr="00855ABE">
        <w:rPr>
          <w:rFonts w:ascii="Times New Roman" w:hAnsi="Times New Roman"/>
          <w:sz w:val="16"/>
          <w:szCs w:val="16"/>
        </w:rPr>
        <w:t xml:space="preserve"> http:</w:t>
      </w:r>
      <w:r>
        <w:rPr>
          <w:rFonts w:ascii="Times New Roman" w:hAnsi="Times New Roman"/>
          <w:sz w:val="16"/>
          <w:szCs w:val="16"/>
        </w:rPr>
        <w:t xml:space="preserve">//www.icbg.org/resources/abs.php and the </w:t>
      </w:r>
      <w:r w:rsidRPr="00855ABE">
        <w:rPr>
          <w:rFonts w:ascii="Times New Roman" w:hAnsi="Times New Roman"/>
          <w:i/>
          <w:sz w:val="16"/>
          <w:szCs w:val="16"/>
        </w:rPr>
        <w:t>online resources</w:t>
      </w:r>
      <w:r>
        <w:rPr>
          <w:rFonts w:ascii="Times New Roman" w:hAnsi="Times New Roman"/>
          <w:sz w:val="16"/>
          <w:szCs w:val="16"/>
        </w:rPr>
        <w:t xml:space="preserve"> of the </w:t>
      </w:r>
      <w:r w:rsidRPr="004B4ED1">
        <w:rPr>
          <w:rFonts w:ascii="Times New Roman" w:hAnsi="Times New Roman"/>
          <w:sz w:val="16"/>
          <w:szCs w:val="16"/>
        </w:rPr>
        <w:t>BGCI</w:t>
      </w:r>
      <w:r>
        <w:rPr>
          <w:rFonts w:ascii="Times New Roman" w:hAnsi="Times New Roman"/>
          <w:sz w:val="16"/>
          <w:szCs w:val="16"/>
        </w:rPr>
        <w:t xml:space="preserve">: </w:t>
      </w:r>
      <w:r w:rsidRPr="004B4ED1">
        <w:rPr>
          <w:rFonts w:ascii="Times New Roman" w:hAnsi="Times New Roman"/>
          <w:sz w:val="16"/>
          <w:szCs w:val="16"/>
        </w:rPr>
        <w:t>http://www.bgci.org/resources/abs/</w:t>
      </w:r>
      <w:r>
        <w:rPr>
          <w:rFonts w:ascii="Times New Roman" w:hAnsi="Times New Roman"/>
          <w:sz w:val="16"/>
          <w:szCs w:val="16"/>
        </w:rPr>
        <w:t>.</w:t>
      </w:r>
    </w:p>
  </w:footnote>
  <w:footnote w:id="67">
    <w:p w:rsidR="004D3615" w:rsidRDefault="004D3615" w:rsidP="005A768B">
      <w:pPr>
        <w:pStyle w:val="ad"/>
      </w:pPr>
      <w:r w:rsidRPr="00A86195">
        <w:rPr>
          <w:rStyle w:val="af"/>
          <w:rFonts w:ascii="Times New Roman" w:hAnsi="Times New Roman"/>
          <w:sz w:val="16"/>
          <w:szCs w:val="16"/>
        </w:rPr>
        <w:footnoteRef/>
      </w:r>
      <w:r w:rsidRPr="00A86195">
        <w:rPr>
          <w:rFonts w:ascii="Times New Roman" w:hAnsi="Times New Roman"/>
          <w:sz w:val="16"/>
          <w:szCs w:val="16"/>
        </w:rPr>
        <w:t xml:space="preserve"> </w:t>
      </w:r>
      <w:r w:rsidRPr="00855ABE">
        <w:rPr>
          <w:rFonts w:ascii="Times New Roman" w:hAnsi="Times New Roman"/>
          <w:sz w:val="16"/>
          <w:szCs w:val="16"/>
        </w:rPr>
        <w:t>Such as in the case of the Swiss State Secretariat for Economic Affairs (2012) ABS Management Tool (ABS-MT)</w:t>
      </w:r>
      <w:r>
        <w:rPr>
          <w:rFonts w:ascii="Times New Roman" w:hAnsi="Times New Roman"/>
          <w:sz w:val="16"/>
          <w:szCs w:val="16"/>
        </w:rPr>
        <w:t>:</w:t>
      </w:r>
      <w:r w:rsidRPr="00855ABE">
        <w:rPr>
          <w:rFonts w:ascii="Times New Roman" w:hAnsi="Times New Roman"/>
          <w:sz w:val="16"/>
          <w:szCs w:val="16"/>
        </w:rPr>
        <w:t xml:space="preserve"> </w:t>
      </w:r>
      <w:hyperlink r:id="rId27" w:history="1">
        <w:r w:rsidRPr="00855ABE">
          <w:rPr>
            <w:rStyle w:val="ac"/>
            <w:rFonts w:ascii="Times New Roman" w:hAnsi="Times New Roman"/>
            <w:sz w:val="16"/>
            <w:szCs w:val="16"/>
          </w:rPr>
          <w:t>http://www.sib.admin.ch/en/nagoya-protocol/abs-management-tool/index.html</w:t>
        </w:r>
      </w:hyperlink>
    </w:p>
  </w:footnote>
  <w:footnote w:id="68">
    <w:p w:rsidR="004D3615" w:rsidRDefault="004D3615" w:rsidP="00855ABE">
      <w:pPr>
        <w:autoSpaceDE w:val="0"/>
        <w:autoSpaceDN w:val="0"/>
        <w:adjustRightInd w:val="0"/>
        <w:spacing w:after="0" w:line="240" w:lineRule="auto"/>
      </w:pPr>
      <w:r w:rsidRPr="00855ABE">
        <w:rPr>
          <w:rStyle w:val="af"/>
          <w:rFonts w:ascii="Times New Roman" w:hAnsi="Times New Roman"/>
          <w:sz w:val="16"/>
          <w:szCs w:val="16"/>
        </w:rPr>
        <w:footnoteRef/>
      </w:r>
      <w:r w:rsidRPr="00855ABE">
        <w:rPr>
          <w:rFonts w:ascii="Times New Roman" w:hAnsi="Times New Roman"/>
          <w:sz w:val="16"/>
          <w:szCs w:val="16"/>
        </w:rPr>
        <w:t xml:space="preserve"> For example, see</w:t>
      </w:r>
      <w:r>
        <w:rPr>
          <w:rFonts w:ascii="Times New Roman" w:hAnsi="Times New Roman"/>
          <w:sz w:val="16"/>
          <w:szCs w:val="16"/>
        </w:rPr>
        <w:t xml:space="preserve">: </w:t>
      </w:r>
      <w:r w:rsidRPr="00855ABE">
        <w:rPr>
          <w:rFonts w:ascii="Times New Roman" w:hAnsi="Times New Roman"/>
          <w:sz w:val="16"/>
          <w:szCs w:val="16"/>
          <w:lang w:val="en-AU"/>
        </w:rPr>
        <w:t xml:space="preserve">Society for Economic Botany (1995). </w:t>
      </w:r>
      <w:r w:rsidRPr="00855ABE">
        <w:rPr>
          <w:rFonts w:ascii="Times New Roman" w:hAnsi="Times New Roman"/>
          <w:iCs/>
          <w:sz w:val="16"/>
          <w:szCs w:val="16"/>
          <w:lang w:val="en-AU"/>
        </w:rPr>
        <w:t>Guidelines of Professional Ethics: A Brief History of the Society for Economic Botany’s Guidelines of Professional Ethics</w:t>
      </w:r>
      <w:r w:rsidRPr="00855ABE">
        <w:rPr>
          <w:rFonts w:ascii="Times New Roman" w:hAnsi="Times New Roman"/>
          <w:sz w:val="16"/>
          <w:szCs w:val="16"/>
          <w:lang w:val="en-AU"/>
        </w:rPr>
        <w:t xml:space="preserve">;  </w:t>
      </w:r>
      <w:proofErr w:type="spellStart"/>
      <w:r w:rsidRPr="00855ABE">
        <w:rPr>
          <w:rFonts w:ascii="Times New Roman" w:hAnsi="Times New Roman"/>
          <w:sz w:val="16"/>
          <w:szCs w:val="16"/>
          <w:lang w:val="en-AU"/>
        </w:rPr>
        <w:t>Latorre</w:t>
      </w:r>
      <w:proofErr w:type="spellEnd"/>
      <w:r w:rsidRPr="00855ABE">
        <w:rPr>
          <w:rFonts w:ascii="Times New Roman" w:hAnsi="Times New Roman"/>
          <w:sz w:val="16"/>
          <w:szCs w:val="16"/>
          <w:lang w:val="en-AU"/>
        </w:rPr>
        <w:t xml:space="preserve"> </w:t>
      </w:r>
      <w:proofErr w:type="spellStart"/>
      <w:r w:rsidRPr="00855ABE">
        <w:rPr>
          <w:rFonts w:ascii="Times New Roman" w:hAnsi="Times New Roman"/>
          <w:sz w:val="16"/>
          <w:szCs w:val="16"/>
          <w:lang w:val="en-AU"/>
        </w:rPr>
        <w:t>García</w:t>
      </w:r>
      <w:proofErr w:type="spellEnd"/>
      <w:r w:rsidRPr="00855ABE">
        <w:rPr>
          <w:rFonts w:ascii="Times New Roman" w:hAnsi="Times New Roman"/>
          <w:sz w:val="16"/>
          <w:szCs w:val="16"/>
          <w:lang w:val="en-AU"/>
        </w:rPr>
        <w:t xml:space="preserve"> F, Williams, C, ten Kate, K and </w:t>
      </w:r>
      <w:proofErr w:type="spellStart"/>
      <w:r w:rsidRPr="00855ABE">
        <w:rPr>
          <w:rFonts w:ascii="Times New Roman" w:hAnsi="Times New Roman"/>
          <w:sz w:val="16"/>
          <w:szCs w:val="16"/>
          <w:lang w:val="en-AU"/>
        </w:rPr>
        <w:t>Cheyne</w:t>
      </w:r>
      <w:proofErr w:type="spellEnd"/>
      <w:r w:rsidRPr="00855ABE">
        <w:rPr>
          <w:rFonts w:ascii="Times New Roman" w:hAnsi="Times New Roman"/>
          <w:sz w:val="16"/>
          <w:szCs w:val="16"/>
          <w:lang w:val="en-AU"/>
        </w:rPr>
        <w:t xml:space="preserve">, P (2001) </w:t>
      </w:r>
      <w:r w:rsidRPr="00855ABE">
        <w:rPr>
          <w:rFonts w:ascii="Times New Roman" w:hAnsi="Times New Roman"/>
          <w:iCs/>
          <w:sz w:val="16"/>
          <w:szCs w:val="16"/>
          <w:lang w:val="en-AU"/>
        </w:rPr>
        <w:t xml:space="preserve">Principles on Access to Genetic Resources and Benefit-Sharing for Participating Institutions. </w:t>
      </w:r>
      <w:r w:rsidRPr="00855ABE">
        <w:rPr>
          <w:rFonts w:ascii="Times New Roman" w:hAnsi="Times New Roman"/>
          <w:sz w:val="16"/>
          <w:szCs w:val="16"/>
          <w:lang w:val="en-AU"/>
        </w:rPr>
        <w:t xml:space="preserve">Results Of The Pilot Project For Botanic Gardens - Principles On Access To Genetic Resources And Benefit-Sharing, Common Policy Guidelines To Assist With Their Implementation And Explanatory Text. </w:t>
      </w:r>
      <w:proofErr w:type="gramStart"/>
      <w:r w:rsidRPr="00855ABE">
        <w:rPr>
          <w:rFonts w:ascii="Times New Roman" w:hAnsi="Times New Roman"/>
          <w:sz w:val="16"/>
          <w:szCs w:val="16"/>
          <w:lang w:val="en-AU"/>
        </w:rPr>
        <w:t xml:space="preserve">Royal Botanic Gardens, Kew; </w:t>
      </w:r>
      <w:r w:rsidRPr="000B31A0">
        <w:rPr>
          <w:rFonts w:ascii="Times New Roman" w:hAnsi="Times New Roman"/>
          <w:sz w:val="16"/>
          <w:szCs w:val="16"/>
        </w:rPr>
        <w:t>Commonwealth of Australia Department of Sustainability, Environment, Water, Population and</w:t>
      </w:r>
      <w:r>
        <w:rPr>
          <w:rFonts w:ascii="Times New Roman" w:hAnsi="Times New Roman"/>
          <w:sz w:val="16"/>
          <w:szCs w:val="16"/>
        </w:rPr>
        <w:t xml:space="preserve"> Communities (2012) Explanatory </w:t>
      </w:r>
      <w:r w:rsidRPr="000B31A0">
        <w:rPr>
          <w:rFonts w:ascii="Times New Roman" w:hAnsi="Times New Roman"/>
          <w:sz w:val="16"/>
          <w:szCs w:val="16"/>
        </w:rPr>
        <w:t xml:space="preserve">Guide available through </w:t>
      </w:r>
      <w:hyperlink r:id="rId28" w:history="1">
        <w:r w:rsidRPr="00671DA3">
          <w:rPr>
            <w:rStyle w:val="ac"/>
            <w:rFonts w:ascii="Times New Roman" w:hAnsi="Times New Roman"/>
            <w:sz w:val="16"/>
            <w:szCs w:val="16"/>
          </w:rPr>
          <w:t>www.environment.gov.au/biodiversity/science/access/model-agreements/index.html</w:t>
        </w:r>
      </w:hyperlink>
      <w:r w:rsidRPr="002B2C21">
        <w:rPr>
          <w:rFonts w:ascii="Times New Roman" w:hAnsi="Times New Roman"/>
          <w:sz w:val="16"/>
          <w:szCs w:val="16"/>
        </w:rPr>
        <w:t>.</w:t>
      </w:r>
      <w:proofErr w:type="gramEnd"/>
      <w:r w:rsidRPr="00925E70">
        <w:rPr>
          <w:rFonts w:ascii="Times New Roman" w:hAnsi="Times New Roman"/>
          <w:sz w:val="16"/>
          <w:szCs w:val="16"/>
          <w:lang w:val="en-AU"/>
        </w:rPr>
        <w:t xml:space="preserve"> </w:t>
      </w:r>
      <w:r>
        <w:rPr>
          <w:rFonts w:ascii="Times New Roman" w:hAnsi="Times New Roman"/>
          <w:sz w:val="16"/>
          <w:szCs w:val="16"/>
          <w:lang w:val="en-AU"/>
        </w:rPr>
        <w:t xml:space="preserve">Also see more general consideration of Article 20, such as in: </w:t>
      </w:r>
      <w:proofErr w:type="spellStart"/>
      <w:r w:rsidRPr="000B31A0">
        <w:rPr>
          <w:rFonts w:ascii="Times New Roman" w:hAnsi="Times New Roman"/>
          <w:sz w:val="16"/>
          <w:szCs w:val="16"/>
          <w:lang w:val="en-AU"/>
        </w:rPr>
        <w:t>Greiber</w:t>
      </w:r>
      <w:proofErr w:type="spellEnd"/>
      <w:r w:rsidRPr="000B31A0">
        <w:rPr>
          <w:rFonts w:ascii="Times New Roman" w:hAnsi="Times New Roman"/>
          <w:sz w:val="16"/>
          <w:szCs w:val="16"/>
          <w:lang w:val="en-AU"/>
        </w:rPr>
        <w:t xml:space="preserve"> T, </w:t>
      </w:r>
      <w:proofErr w:type="spellStart"/>
      <w:r w:rsidRPr="000B31A0">
        <w:rPr>
          <w:rFonts w:ascii="Times New Roman" w:hAnsi="Times New Roman"/>
          <w:sz w:val="16"/>
          <w:szCs w:val="16"/>
          <w:lang w:val="en-AU"/>
        </w:rPr>
        <w:t>Peña</w:t>
      </w:r>
      <w:proofErr w:type="spellEnd"/>
      <w:r w:rsidRPr="000B31A0">
        <w:rPr>
          <w:rFonts w:ascii="Times New Roman" w:hAnsi="Times New Roman"/>
          <w:sz w:val="16"/>
          <w:szCs w:val="16"/>
          <w:lang w:val="en-AU"/>
        </w:rPr>
        <w:t xml:space="preserve"> Moreno S, </w:t>
      </w:r>
      <w:proofErr w:type="spellStart"/>
      <w:r w:rsidRPr="000B31A0">
        <w:rPr>
          <w:rFonts w:ascii="Times New Roman" w:hAnsi="Times New Roman"/>
          <w:sz w:val="16"/>
          <w:szCs w:val="16"/>
          <w:lang w:val="en-AU"/>
        </w:rPr>
        <w:t>Åhrén</w:t>
      </w:r>
      <w:proofErr w:type="spellEnd"/>
      <w:r w:rsidRPr="000B31A0">
        <w:rPr>
          <w:rFonts w:ascii="Times New Roman" w:hAnsi="Times New Roman"/>
          <w:sz w:val="16"/>
          <w:szCs w:val="16"/>
          <w:lang w:val="en-AU"/>
        </w:rPr>
        <w:t xml:space="preserve"> M, Nieto </w:t>
      </w:r>
      <w:proofErr w:type="spellStart"/>
      <w:r w:rsidRPr="000B31A0">
        <w:rPr>
          <w:rFonts w:ascii="Times New Roman" w:hAnsi="Times New Roman"/>
          <w:sz w:val="16"/>
          <w:szCs w:val="16"/>
          <w:lang w:val="en-AU"/>
        </w:rPr>
        <w:t>CarrascoJ</w:t>
      </w:r>
      <w:proofErr w:type="spellEnd"/>
      <w:r w:rsidRPr="000B31A0">
        <w:rPr>
          <w:rFonts w:ascii="Times New Roman" w:hAnsi="Times New Roman"/>
          <w:sz w:val="16"/>
          <w:szCs w:val="16"/>
          <w:lang w:val="en-AU"/>
        </w:rPr>
        <w:t xml:space="preserve">, </w:t>
      </w:r>
      <w:proofErr w:type="spellStart"/>
      <w:r w:rsidRPr="000B31A0">
        <w:rPr>
          <w:rFonts w:ascii="Times New Roman" w:hAnsi="Times New Roman"/>
          <w:sz w:val="16"/>
          <w:szCs w:val="16"/>
          <w:lang w:val="en-AU"/>
        </w:rPr>
        <w:t>Chege</w:t>
      </w:r>
      <w:proofErr w:type="spellEnd"/>
      <w:r w:rsidRPr="000B31A0">
        <w:rPr>
          <w:rFonts w:ascii="Times New Roman" w:hAnsi="Times New Roman"/>
          <w:sz w:val="16"/>
          <w:szCs w:val="16"/>
          <w:lang w:val="en-AU"/>
        </w:rPr>
        <w:t xml:space="preserve"> </w:t>
      </w:r>
      <w:proofErr w:type="spellStart"/>
      <w:r w:rsidRPr="000B31A0">
        <w:rPr>
          <w:rFonts w:ascii="Times New Roman" w:hAnsi="Times New Roman"/>
          <w:sz w:val="16"/>
          <w:szCs w:val="16"/>
          <w:lang w:val="en-AU"/>
        </w:rPr>
        <w:t>Kamau</w:t>
      </w:r>
      <w:proofErr w:type="spellEnd"/>
      <w:r w:rsidRPr="000B31A0">
        <w:rPr>
          <w:rFonts w:ascii="Times New Roman" w:hAnsi="Times New Roman"/>
          <w:sz w:val="16"/>
          <w:szCs w:val="16"/>
          <w:lang w:val="en-AU"/>
        </w:rPr>
        <w:t xml:space="preserve"> E, Cabrera </w:t>
      </w:r>
      <w:proofErr w:type="spellStart"/>
      <w:r w:rsidRPr="000B31A0">
        <w:rPr>
          <w:rFonts w:ascii="Times New Roman" w:hAnsi="Times New Roman"/>
          <w:sz w:val="16"/>
          <w:szCs w:val="16"/>
          <w:lang w:val="en-AU"/>
        </w:rPr>
        <w:t>Medaglia</w:t>
      </w:r>
      <w:proofErr w:type="spellEnd"/>
      <w:r w:rsidRPr="000B31A0">
        <w:rPr>
          <w:rFonts w:ascii="Times New Roman" w:hAnsi="Times New Roman"/>
          <w:sz w:val="16"/>
          <w:szCs w:val="16"/>
          <w:lang w:val="en-AU"/>
        </w:rPr>
        <w:t xml:space="preserve"> J, </w:t>
      </w:r>
      <w:proofErr w:type="spellStart"/>
      <w:r w:rsidRPr="000B31A0">
        <w:rPr>
          <w:rFonts w:ascii="Times New Roman" w:hAnsi="Times New Roman"/>
          <w:sz w:val="16"/>
          <w:szCs w:val="16"/>
          <w:lang w:val="en-AU"/>
        </w:rPr>
        <w:t>Oliva</w:t>
      </w:r>
      <w:proofErr w:type="spellEnd"/>
      <w:r w:rsidRPr="000B31A0">
        <w:rPr>
          <w:rFonts w:ascii="Times New Roman" w:hAnsi="Times New Roman"/>
          <w:sz w:val="16"/>
          <w:szCs w:val="16"/>
          <w:lang w:val="en-AU"/>
        </w:rPr>
        <w:t xml:space="preserve"> MJ, Perron-Welch F in cooperation with Ali N and Williams C (2012). </w:t>
      </w:r>
      <w:r w:rsidRPr="000B31A0">
        <w:rPr>
          <w:rFonts w:ascii="Times New Roman" w:hAnsi="Times New Roman"/>
          <w:iCs/>
          <w:sz w:val="16"/>
          <w:szCs w:val="16"/>
          <w:lang w:val="en-AU"/>
        </w:rPr>
        <w:t>An Explanatory Guide to the Nagoya Protocol on Access and Be</w:t>
      </w:r>
      <w:r w:rsidRPr="000D241E">
        <w:rPr>
          <w:rFonts w:ascii="Times New Roman" w:hAnsi="Times New Roman"/>
          <w:iCs/>
          <w:sz w:val="16"/>
          <w:szCs w:val="16"/>
          <w:lang w:val="en-AU"/>
        </w:rPr>
        <w:t>nefit-sharing</w:t>
      </w:r>
      <w:r w:rsidRPr="000D241E">
        <w:rPr>
          <w:rFonts w:ascii="Times New Roman" w:hAnsi="Times New Roman"/>
          <w:sz w:val="16"/>
          <w:szCs w:val="16"/>
          <w:lang w:val="en-AU"/>
        </w:rPr>
        <w:t xml:space="preserve">; </w:t>
      </w:r>
      <w:proofErr w:type="spellStart"/>
      <w:r w:rsidRPr="00855ABE">
        <w:rPr>
          <w:rFonts w:ascii="Times New Roman" w:hAnsi="Times New Roman"/>
          <w:sz w:val="16"/>
          <w:szCs w:val="16"/>
          <w:lang w:val="en-AU"/>
        </w:rPr>
        <w:t>Morgera</w:t>
      </w:r>
      <w:proofErr w:type="spellEnd"/>
      <w:r w:rsidRPr="00855ABE">
        <w:rPr>
          <w:rFonts w:ascii="Times New Roman" w:hAnsi="Times New Roman"/>
          <w:sz w:val="16"/>
          <w:szCs w:val="16"/>
          <w:lang w:val="en-AU"/>
        </w:rPr>
        <w:t xml:space="preserve"> E, Buck M, </w:t>
      </w:r>
      <w:proofErr w:type="spellStart"/>
      <w:r w:rsidRPr="00855ABE">
        <w:rPr>
          <w:rFonts w:ascii="Times New Roman" w:hAnsi="Times New Roman"/>
          <w:sz w:val="16"/>
          <w:szCs w:val="16"/>
          <w:lang w:val="en-AU"/>
        </w:rPr>
        <w:t>Tsioumani</w:t>
      </w:r>
      <w:proofErr w:type="spellEnd"/>
      <w:r w:rsidRPr="00855ABE">
        <w:rPr>
          <w:rFonts w:ascii="Times New Roman" w:hAnsi="Times New Roman"/>
          <w:sz w:val="16"/>
          <w:szCs w:val="16"/>
          <w:lang w:val="en-AU"/>
        </w:rPr>
        <w:t xml:space="preserve"> E (Eds.) (2012) The 2010 Nagoya Protocol on Access and Benefit-sharing in Perspective: Implications for International Law and Implementation Challenges, Volume 1 Legal Studies on Access and Benefit-sharing, </w:t>
      </w:r>
      <w:proofErr w:type="spellStart"/>
      <w:r w:rsidRPr="00855ABE">
        <w:rPr>
          <w:rFonts w:ascii="Times New Roman" w:hAnsi="Times New Roman"/>
          <w:sz w:val="16"/>
          <w:szCs w:val="16"/>
          <w:lang w:val="en-AU"/>
        </w:rPr>
        <w:t>Martinus</w:t>
      </w:r>
      <w:proofErr w:type="spellEnd"/>
      <w:r w:rsidRPr="00855ABE">
        <w:rPr>
          <w:rFonts w:ascii="Times New Roman" w:hAnsi="Times New Roman"/>
          <w:sz w:val="16"/>
          <w:szCs w:val="16"/>
          <w:lang w:val="en-AU"/>
        </w:rPr>
        <w:t xml:space="preserve"> </w:t>
      </w:r>
      <w:proofErr w:type="spellStart"/>
      <w:r w:rsidRPr="00855ABE">
        <w:rPr>
          <w:rFonts w:ascii="Times New Roman" w:hAnsi="Times New Roman"/>
          <w:sz w:val="16"/>
          <w:szCs w:val="16"/>
          <w:lang w:val="en-AU"/>
        </w:rPr>
        <w:t>Nijhoff</w:t>
      </w:r>
      <w:proofErr w:type="spellEnd"/>
      <w:r w:rsidRPr="00855ABE">
        <w:rPr>
          <w:rFonts w:ascii="Times New Roman" w:hAnsi="Times New Roman"/>
          <w:sz w:val="16"/>
          <w:szCs w:val="16"/>
          <w:lang w:val="en-AU"/>
        </w:rPr>
        <w:t xml:space="preserve"> Brill, Netherlands.</w:t>
      </w:r>
    </w:p>
  </w:footnote>
  <w:footnote w:id="69">
    <w:p w:rsidR="004D3615" w:rsidRDefault="004D3615">
      <w:pPr>
        <w:pStyle w:val="ad"/>
      </w:pPr>
      <w:r w:rsidRPr="00855ABE">
        <w:rPr>
          <w:rStyle w:val="af"/>
          <w:rFonts w:ascii="Times New Roman" w:hAnsi="Times New Roman"/>
          <w:sz w:val="16"/>
          <w:szCs w:val="16"/>
        </w:rPr>
        <w:footnoteRef/>
      </w:r>
      <w:r w:rsidRPr="00855ABE">
        <w:rPr>
          <w:rFonts w:ascii="Times New Roman" w:hAnsi="Times New Roman"/>
          <w:sz w:val="16"/>
          <w:szCs w:val="16"/>
        </w:rPr>
        <w:t xml:space="preserve"> Tools authored or commissioned by g</w:t>
      </w:r>
      <w:r>
        <w:rPr>
          <w:rFonts w:ascii="Times New Roman" w:hAnsi="Times New Roman"/>
          <w:sz w:val="16"/>
          <w:szCs w:val="16"/>
        </w:rPr>
        <w:t>overnment departments include</w:t>
      </w:r>
      <w:r w:rsidRPr="00855ABE">
        <w:rPr>
          <w:rFonts w:ascii="Times New Roman" w:hAnsi="Times New Roman"/>
          <w:sz w:val="16"/>
          <w:szCs w:val="16"/>
        </w:rPr>
        <w:t xml:space="preserve"> the Swiss ABS Management Tool (ABS-MT)</w:t>
      </w:r>
      <w:r w:rsidRPr="00077505">
        <w:rPr>
          <w:rFonts w:ascii="Times New Roman" w:hAnsi="Times New Roman"/>
          <w:sz w:val="16"/>
          <w:szCs w:val="16"/>
        </w:rPr>
        <w:t xml:space="preserve"> (See Annex II).</w:t>
      </w:r>
    </w:p>
  </w:footnote>
  <w:footnote w:id="70">
    <w:p w:rsidR="004D3615" w:rsidRPr="00855ABE" w:rsidRDefault="004D3615" w:rsidP="00855ABE">
      <w:pPr>
        <w:pStyle w:val="ad"/>
        <w:rPr>
          <w:rFonts w:ascii="Times New Roman" w:hAnsi="Times New Roman"/>
          <w:sz w:val="16"/>
          <w:szCs w:val="16"/>
        </w:rPr>
      </w:pPr>
      <w:r w:rsidRPr="00855ABE">
        <w:rPr>
          <w:rStyle w:val="af"/>
          <w:rFonts w:ascii="Times New Roman" w:hAnsi="Times New Roman"/>
          <w:sz w:val="16"/>
          <w:szCs w:val="16"/>
        </w:rPr>
        <w:footnoteRef/>
      </w:r>
      <w:r w:rsidRPr="00855ABE">
        <w:rPr>
          <w:rFonts w:ascii="Times New Roman" w:hAnsi="Times New Roman"/>
          <w:sz w:val="16"/>
          <w:szCs w:val="16"/>
        </w:rPr>
        <w:t xml:space="preserve"> Tools authored by public sector collections institutions, including botanic gardens include</w:t>
      </w:r>
      <w:r w:rsidRPr="003C2D18">
        <w:rPr>
          <w:rFonts w:ascii="Times New Roman" w:hAnsi="Times New Roman"/>
          <w:sz w:val="16"/>
          <w:szCs w:val="16"/>
        </w:rPr>
        <w:t xml:space="preserve"> the</w:t>
      </w:r>
      <w:r w:rsidRPr="00855ABE">
        <w:rPr>
          <w:rFonts w:ascii="Times New Roman" w:hAnsi="Times New Roman"/>
          <w:sz w:val="16"/>
          <w:szCs w:val="16"/>
        </w:rPr>
        <w:t xml:space="preserve"> Micro-organisms Sustainable Use and Access Regulation International Code of Conduct (MOSAICC)</w:t>
      </w:r>
      <w:r w:rsidRPr="003C2D18">
        <w:rPr>
          <w:rFonts w:ascii="Times New Roman" w:hAnsi="Times New Roman"/>
          <w:sz w:val="16"/>
          <w:szCs w:val="16"/>
        </w:rPr>
        <w:t xml:space="preserve"> and the  </w:t>
      </w:r>
      <w:r w:rsidRPr="00855ABE">
        <w:rPr>
          <w:rFonts w:ascii="Times New Roman" w:hAnsi="Times New Roman"/>
          <w:sz w:val="16"/>
          <w:szCs w:val="16"/>
        </w:rPr>
        <w:t>Botanic Gardens Principles on Access to Genetic Resources and Benefit-sharing</w:t>
      </w:r>
    </w:p>
    <w:p w:rsidR="004D3615" w:rsidRDefault="004D3615">
      <w:pPr>
        <w:pStyle w:val="ad"/>
      </w:pPr>
      <w:r w:rsidRPr="00855ABE">
        <w:rPr>
          <w:rFonts w:ascii="Times New Roman" w:hAnsi="Times New Roman"/>
          <w:sz w:val="16"/>
          <w:szCs w:val="16"/>
        </w:rPr>
        <w:t>IPEN Code of Conduct for botanic gardens governing the acquisition, maintenance and supply of living plant material</w:t>
      </w:r>
      <w:r w:rsidRPr="003C2D18">
        <w:rPr>
          <w:rFonts w:ascii="Times New Roman" w:hAnsi="Times New Roman"/>
          <w:sz w:val="16"/>
          <w:szCs w:val="16"/>
        </w:rPr>
        <w:t xml:space="preserve"> (See Annex II).</w:t>
      </w:r>
      <w:r>
        <w:rPr>
          <w:rFonts w:ascii="Times New Roman" w:hAnsi="Times New Roman"/>
          <w:sz w:val="16"/>
          <w:szCs w:val="16"/>
        </w:rPr>
        <w:t xml:space="preserve"> </w:t>
      </w:r>
    </w:p>
  </w:footnote>
  <w:footnote w:id="71">
    <w:p w:rsidR="004D3615" w:rsidRDefault="004D3615" w:rsidP="00855ABE">
      <w:pPr>
        <w:shd w:val="clear" w:color="auto" w:fill="FFFFFF"/>
        <w:spacing w:after="0" w:line="240" w:lineRule="auto"/>
        <w:outlineLvl w:val="1"/>
      </w:pPr>
      <w:r w:rsidRPr="00855ABE">
        <w:rPr>
          <w:rStyle w:val="af"/>
          <w:rFonts w:ascii="Times New Roman" w:hAnsi="Times New Roman"/>
          <w:sz w:val="16"/>
          <w:szCs w:val="16"/>
        </w:rPr>
        <w:footnoteRef/>
      </w:r>
      <w:r w:rsidRPr="00855ABE">
        <w:rPr>
          <w:rFonts w:ascii="Times New Roman" w:hAnsi="Times New Roman"/>
          <w:sz w:val="16"/>
          <w:szCs w:val="16"/>
        </w:rPr>
        <w:t xml:space="preserve"> </w:t>
      </w:r>
      <w:r w:rsidRPr="00855ABE">
        <w:rPr>
          <w:rFonts w:ascii="Times New Roman" w:hAnsi="Times New Roman"/>
          <w:sz w:val="16"/>
          <w:szCs w:val="16"/>
          <w:lang w:eastAsia="fr-CH"/>
        </w:rPr>
        <w:t xml:space="preserve">Tools authored by private sector institutions include: The Ethical </w:t>
      </w:r>
      <w:proofErr w:type="spellStart"/>
      <w:r w:rsidRPr="00855ABE">
        <w:rPr>
          <w:rFonts w:ascii="Times New Roman" w:hAnsi="Times New Roman"/>
          <w:sz w:val="16"/>
          <w:szCs w:val="16"/>
          <w:lang w:eastAsia="fr-CH"/>
        </w:rPr>
        <w:t>Biotrade</w:t>
      </w:r>
      <w:proofErr w:type="spellEnd"/>
      <w:r w:rsidRPr="00855ABE">
        <w:rPr>
          <w:rFonts w:ascii="Times New Roman" w:hAnsi="Times New Roman"/>
          <w:sz w:val="16"/>
          <w:szCs w:val="16"/>
          <w:lang w:eastAsia="fr-CH"/>
        </w:rPr>
        <w:t xml:space="preserve"> Standard; BIO </w:t>
      </w:r>
      <w:hyperlink r:id="rId29" w:history="1">
        <w:r w:rsidRPr="00855ABE">
          <w:rPr>
            <w:rFonts w:ascii="Times New Roman" w:hAnsi="Times New Roman"/>
            <w:bCs/>
            <w:sz w:val="16"/>
            <w:szCs w:val="16"/>
            <w:lang w:eastAsia="fr-CH"/>
          </w:rPr>
          <w:t>Guidelines for Members Engaging in Bioprospecting</w:t>
        </w:r>
      </w:hyperlink>
      <w:r w:rsidRPr="00855ABE">
        <w:rPr>
          <w:rFonts w:ascii="Times New Roman" w:hAnsi="Times New Roman"/>
          <w:sz w:val="16"/>
          <w:szCs w:val="16"/>
        </w:rPr>
        <w:t xml:space="preserve">; </w:t>
      </w:r>
      <w:hyperlink r:id="rId30" w:history="1">
        <w:r w:rsidRPr="00855ABE">
          <w:rPr>
            <w:rFonts w:ascii="Times New Roman" w:hAnsi="Times New Roman"/>
            <w:bCs/>
            <w:sz w:val="16"/>
            <w:szCs w:val="16"/>
            <w:lang w:eastAsia="fr-CH"/>
          </w:rPr>
          <w:t>International Federation of Pharmaceutical Manufacturers and Association (IFPMA) Guidelines for Members on Access to Genetic Resources and Equitable Sharing of Benefits Arising out of their Utilization</w:t>
        </w:r>
      </w:hyperlink>
      <w:r w:rsidRPr="00855ABE">
        <w:rPr>
          <w:rFonts w:ascii="Times New Roman" w:hAnsi="Times New Roman"/>
          <w:bCs/>
          <w:sz w:val="16"/>
          <w:szCs w:val="16"/>
          <w:lang w:eastAsia="fr-CH"/>
        </w:rPr>
        <w:t xml:space="preserve"> (see Annex II).</w:t>
      </w:r>
    </w:p>
  </w:footnote>
  <w:footnote w:id="72">
    <w:p w:rsidR="004D3615" w:rsidRDefault="004D3615" w:rsidP="00855ABE">
      <w:pPr>
        <w:spacing w:after="0" w:line="240" w:lineRule="auto"/>
      </w:pPr>
      <w:r w:rsidRPr="00855ABE">
        <w:rPr>
          <w:rStyle w:val="af"/>
          <w:rFonts w:ascii="Times New Roman" w:hAnsi="Times New Roman"/>
          <w:sz w:val="16"/>
          <w:szCs w:val="16"/>
        </w:rPr>
        <w:footnoteRef/>
      </w:r>
      <w:r w:rsidRPr="00855ABE">
        <w:rPr>
          <w:rFonts w:ascii="Times New Roman" w:hAnsi="Times New Roman"/>
          <w:sz w:val="16"/>
          <w:szCs w:val="16"/>
        </w:rPr>
        <w:t xml:space="preserve"> </w:t>
      </w:r>
      <w:r w:rsidRPr="00855ABE">
        <w:rPr>
          <w:rFonts w:ascii="Times New Roman" w:hAnsi="Times New Roman"/>
          <w:sz w:val="16"/>
          <w:szCs w:val="16"/>
          <w:lang w:eastAsia="fr-CH"/>
        </w:rPr>
        <w:t>Tools authored by the academic research community include:</w:t>
      </w:r>
      <w:r w:rsidRPr="005B308D">
        <w:rPr>
          <w:rFonts w:ascii="Times New Roman" w:hAnsi="Times New Roman"/>
          <w:sz w:val="16"/>
          <w:szCs w:val="16"/>
          <w:lang w:eastAsia="fr-CH"/>
        </w:rPr>
        <w:t xml:space="preserve"> the </w:t>
      </w:r>
      <w:r w:rsidRPr="00855ABE">
        <w:rPr>
          <w:rFonts w:ascii="Times New Roman" w:hAnsi="Times New Roman"/>
          <w:sz w:val="16"/>
          <w:szCs w:val="16"/>
          <w:lang w:eastAsia="fr-CH"/>
        </w:rPr>
        <w:t xml:space="preserve">Swiss Academy of Sciences </w:t>
      </w:r>
      <w:hyperlink r:id="rId31" w:history="1">
        <w:r w:rsidRPr="00855ABE">
          <w:rPr>
            <w:rFonts w:ascii="Times New Roman" w:hAnsi="Times New Roman"/>
            <w:bCs/>
            <w:sz w:val="16"/>
            <w:szCs w:val="16"/>
            <w:lang w:eastAsia="fr-CH"/>
          </w:rPr>
          <w:t>Access and Benefit-sharing – Good Practice for academic research on genetic resources</w:t>
        </w:r>
      </w:hyperlink>
      <w:r w:rsidRPr="005B308D">
        <w:rPr>
          <w:rFonts w:ascii="Times New Roman" w:hAnsi="Times New Roman"/>
          <w:sz w:val="16"/>
          <w:szCs w:val="16"/>
          <w:lang w:eastAsia="fr-CH"/>
        </w:rPr>
        <w:t xml:space="preserve">; the </w:t>
      </w:r>
      <w:hyperlink r:id="rId32" w:history="1">
        <w:r w:rsidRPr="00855ABE">
          <w:rPr>
            <w:rFonts w:ascii="Times New Roman" w:hAnsi="Times New Roman"/>
            <w:bCs/>
            <w:sz w:val="16"/>
            <w:szCs w:val="16"/>
            <w:lang w:eastAsia="fr-CH"/>
          </w:rPr>
          <w:t>German Research Foundation - Guidelines for Funding Proposals Concerning Research Projects within the Scope of the Convention on Biological Diversity</w:t>
        </w:r>
      </w:hyperlink>
      <w:r w:rsidRPr="005B308D">
        <w:rPr>
          <w:rFonts w:ascii="Times New Roman" w:hAnsi="Times New Roman"/>
          <w:bCs/>
          <w:sz w:val="16"/>
          <w:szCs w:val="16"/>
          <w:lang w:eastAsia="fr-CH"/>
        </w:rPr>
        <w:t>; th</w:t>
      </w:r>
      <w:r>
        <w:rPr>
          <w:rFonts w:ascii="Times New Roman" w:hAnsi="Times New Roman"/>
          <w:bCs/>
          <w:sz w:val="16"/>
          <w:szCs w:val="16"/>
          <w:lang w:eastAsia="fr-CH"/>
        </w:rPr>
        <w:t xml:space="preserve">e Society of Economic Botany Guidelines of Professional Ethics and the International Society of </w:t>
      </w:r>
      <w:proofErr w:type="spellStart"/>
      <w:r>
        <w:rPr>
          <w:rFonts w:ascii="Times New Roman" w:hAnsi="Times New Roman"/>
          <w:bCs/>
          <w:sz w:val="16"/>
          <w:szCs w:val="16"/>
          <w:lang w:eastAsia="fr-CH"/>
        </w:rPr>
        <w:t>Ethnobiology</w:t>
      </w:r>
      <w:proofErr w:type="spellEnd"/>
      <w:r>
        <w:rPr>
          <w:rFonts w:ascii="Times New Roman" w:hAnsi="Times New Roman"/>
          <w:bCs/>
          <w:sz w:val="16"/>
          <w:szCs w:val="16"/>
          <w:lang w:eastAsia="fr-CH"/>
        </w:rPr>
        <w:t xml:space="preserve"> (ISE) Code of Ethics </w:t>
      </w:r>
      <w:r w:rsidRPr="00855ABE">
        <w:rPr>
          <w:rFonts w:ascii="Times New Roman" w:hAnsi="Times New Roman"/>
          <w:bCs/>
          <w:sz w:val="16"/>
          <w:szCs w:val="16"/>
          <w:lang w:eastAsia="fr-CH"/>
        </w:rPr>
        <w:t>(See Annex II).</w:t>
      </w:r>
    </w:p>
  </w:footnote>
  <w:footnote w:id="73">
    <w:p w:rsidR="004D3615" w:rsidRDefault="004D3615">
      <w:pPr>
        <w:pStyle w:val="ad"/>
      </w:pPr>
      <w:r w:rsidRPr="00855ABE">
        <w:rPr>
          <w:rStyle w:val="af"/>
          <w:rFonts w:ascii="Times New Roman" w:hAnsi="Times New Roman"/>
          <w:sz w:val="16"/>
          <w:szCs w:val="16"/>
        </w:rPr>
        <w:footnoteRef/>
      </w:r>
      <w:r w:rsidRPr="00855ABE">
        <w:rPr>
          <w:rFonts w:ascii="Times New Roman" w:hAnsi="Times New Roman"/>
          <w:sz w:val="16"/>
          <w:szCs w:val="16"/>
        </w:rPr>
        <w:t xml:space="preserve"> For example, Commonwealth of Australia Department of Sustainability, Environment, Water, Population and Communities (2012) Explanatory Guide available through  </w:t>
      </w:r>
      <w:hyperlink r:id="rId33" w:history="1">
        <w:r w:rsidRPr="00855ABE">
          <w:rPr>
            <w:rStyle w:val="ac"/>
            <w:rFonts w:ascii="Times New Roman" w:hAnsi="Times New Roman"/>
            <w:sz w:val="16"/>
            <w:szCs w:val="16"/>
          </w:rPr>
          <w:t>www.environment.gov.au/biodiversity/science/access/model-agreements/index.html</w:t>
        </w:r>
      </w:hyperlink>
      <w:r w:rsidRPr="00855ABE">
        <w:rPr>
          <w:rFonts w:ascii="Times New Roman" w:hAnsi="Times New Roman"/>
          <w:sz w:val="16"/>
          <w:szCs w:val="16"/>
        </w:rPr>
        <w:t xml:space="preserve">; Republic of South Africa Department of Environmental Affairs (2012) South Africa’s </w:t>
      </w:r>
      <w:proofErr w:type="spellStart"/>
      <w:r w:rsidRPr="00855ABE">
        <w:rPr>
          <w:rFonts w:ascii="Times New Roman" w:hAnsi="Times New Roman"/>
          <w:sz w:val="16"/>
          <w:szCs w:val="16"/>
        </w:rPr>
        <w:t>Bioprospecting,Access</w:t>
      </w:r>
      <w:proofErr w:type="spellEnd"/>
      <w:r w:rsidRPr="00855ABE">
        <w:rPr>
          <w:rFonts w:ascii="Times New Roman" w:hAnsi="Times New Roman"/>
          <w:sz w:val="16"/>
          <w:szCs w:val="16"/>
        </w:rPr>
        <w:t xml:space="preserve"> and Benefit-Sharing Regulatory Framework </w:t>
      </w:r>
      <w:r w:rsidRPr="00855ABE">
        <w:rPr>
          <w:rFonts w:ascii="Times New Roman" w:hAnsi="Times New Roman"/>
          <w:sz w:val="16"/>
          <w:szCs w:val="16"/>
          <w:lang w:val="en-AU"/>
        </w:rPr>
        <w:t xml:space="preserve">Guidelines for Providers, Users and Regulators, available at </w:t>
      </w:r>
      <w:hyperlink r:id="rId34" w:history="1">
        <w:r w:rsidRPr="00855ABE">
          <w:rPr>
            <w:rStyle w:val="ac"/>
            <w:rFonts w:ascii="Times New Roman" w:hAnsi="Times New Roman"/>
            <w:sz w:val="16"/>
            <w:szCs w:val="16"/>
            <w:lang w:val="en-AU"/>
          </w:rPr>
          <w:t>http://www.eeu.org.za/DEA%20BABS%20Guidelines%20Web.pdf</w:t>
        </w:r>
      </w:hyperlink>
    </w:p>
  </w:footnote>
  <w:footnote w:id="74">
    <w:p w:rsidR="004D3615" w:rsidRDefault="004D3615">
      <w:pPr>
        <w:pStyle w:val="ad"/>
      </w:pPr>
      <w:r w:rsidRPr="00855ABE">
        <w:rPr>
          <w:rStyle w:val="af"/>
          <w:rFonts w:ascii="Times New Roman" w:hAnsi="Times New Roman"/>
          <w:sz w:val="16"/>
          <w:szCs w:val="16"/>
        </w:rPr>
        <w:footnoteRef/>
      </w:r>
      <w:r w:rsidRPr="00855ABE">
        <w:rPr>
          <w:rFonts w:ascii="Times New Roman" w:hAnsi="Times New Roman"/>
          <w:sz w:val="16"/>
          <w:szCs w:val="16"/>
        </w:rPr>
        <w:t xml:space="preserve"> Union for Ethical </w:t>
      </w:r>
      <w:proofErr w:type="spellStart"/>
      <w:r w:rsidRPr="00855ABE">
        <w:rPr>
          <w:rFonts w:ascii="Times New Roman" w:hAnsi="Times New Roman"/>
          <w:sz w:val="16"/>
          <w:szCs w:val="16"/>
        </w:rPr>
        <w:t>Biotrade</w:t>
      </w:r>
      <w:proofErr w:type="spellEnd"/>
      <w:r w:rsidRPr="00855ABE">
        <w:rPr>
          <w:rFonts w:ascii="Times New Roman" w:hAnsi="Times New Roman"/>
          <w:sz w:val="16"/>
          <w:szCs w:val="16"/>
        </w:rPr>
        <w:t xml:space="preserve"> (2012) </w:t>
      </w:r>
      <w:r w:rsidRPr="00855ABE">
        <w:rPr>
          <w:rFonts w:ascii="Times New Roman" w:hAnsi="Times New Roman"/>
          <w:bCs/>
          <w:sz w:val="16"/>
          <w:szCs w:val="16"/>
        </w:rPr>
        <w:t xml:space="preserve">Ethical </w:t>
      </w:r>
      <w:proofErr w:type="spellStart"/>
      <w:r w:rsidRPr="00855ABE">
        <w:rPr>
          <w:rFonts w:ascii="Times New Roman" w:hAnsi="Times New Roman"/>
          <w:bCs/>
          <w:sz w:val="16"/>
          <w:szCs w:val="16"/>
        </w:rPr>
        <w:t>Biotrade</w:t>
      </w:r>
      <w:proofErr w:type="spellEnd"/>
      <w:r w:rsidRPr="00855ABE">
        <w:rPr>
          <w:rFonts w:ascii="Times New Roman" w:hAnsi="Times New Roman"/>
          <w:bCs/>
          <w:sz w:val="16"/>
          <w:szCs w:val="16"/>
        </w:rPr>
        <w:t xml:space="preserve"> Standard available through </w:t>
      </w:r>
      <w:hyperlink r:id="rId35" w:history="1">
        <w:r w:rsidRPr="00855ABE">
          <w:rPr>
            <w:rStyle w:val="ac"/>
            <w:rFonts w:ascii="Times New Roman" w:hAnsi="Times New Roman"/>
            <w:sz w:val="16"/>
            <w:szCs w:val="16"/>
          </w:rPr>
          <w:t>http://www.ethicalbiotrade.org/resources/index.html</w:t>
        </w:r>
      </w:hyperlink>
    </w:p>
  </w:footnote>
  <w:footnote w:id="75">
    <w:p w:rsidR="004D3615" w:rsidRPr="00855ABE" w:rsidRDefault="004D3615" w:rsidP="0071633F">
      <w:pPr>
        <w:pStyle w:val="ad"/>
        <w:rPr>
          <w:rFonts w:ascii="Times New Roman" w:hAnsi="Times New Roman"/>
          <w:sz w:val="16"/>
          <w:szCs w:val="16"/>
        </w:rPr>
      </w:pPr>
      <w:r w:rsidRPr="00855ABE">
        <w:rPr>
          <w:rStyle w:val="af"/>
          <w:rFonts w:ascii="Times New Roman" w:hAnsi="Times New Roman"/>
          <w:sz w:val="16"/>
          <w:szCs w:val="16"/>
        </w:rPr>
        <w:footnoteRef/>
      </w:r>
      <w:r w:rsidRPr="00855ABE">
        <w:rPr>
          <w:rFonts w:ascii="Times New Roman" w:hAnsi="Times New Roman"/>
          <w:sz w:val="16"/>
          <w:szCs w:val="16"/>
        </w:rPr>
        <w:t xml:space="preserve"> Swiss State Secretariat for Economic Affairs (2012) ABS Management Tool (ABS-MT),</w:t>
      </w:r>
    </w:p>
    <w:p w:rsidR="004D3615" w:rsidRDefault="004D3615">
      <w:pPr>
        <w:pStyle w:val="ad"/>
      </w:pPr>
      <w:r>
        <w:rPr>
          <w:rFonts w:ascii="Times New Roman" w:hAnsi="Times New Roman"/>
          <w:sz w:val="16"/>
          <w:szCs w:val="16"/>
        </w:rPr>
        <w:t>available at</w:t>
      </w:r>
      <w:r w:rsidRPr="00855ABE">
        <w:rPr>
          <w:rFonts w:ascii="Times New Roman" w:hAnsi="Times New Roman"/>
          <w:sz w:val="16"/>
          <w:szCs w:val="16"/>
        </w:rPr>
        <w:t xml:space="preserve"> </w:t>
      </w:r>
      <w:hyperlink r:id="rId36" w:history="1">
        <w:r w:rsidRPr="00855ABE">
          <w:rPr>
            <w:rStyle w:val="ac"/>
            <w:rFonts w:ascii="Times New Roman" w:hAnsi="Times New Roman"/>
            <w:sz w:val="16"/>
            <w:szCs w:val="16"/>
          </w:rPr>
          <w:t>http://www.sib.admin.ch/en/nagoya-protocol/abs-management-tool/index.html</w:t>
        </w:r>
      </w:hyperlink>
    </w:p>
  </w:footnote>
  <w:footnote w:id="76">
    <w:p w:rsidR="004D3615" w:rsidRDefault="004D3615">
      <w:pPr>
        <w:pStyle w:val="ad"/>
      </w:pPr>
      <w:r w:rsidRPr="00855ABE">
        <w:rPr>
          <w:rStyle w:val="af"/>
          <w:rFonts w:ascii="Times New Roman" w:hAnsi="Times New Roman"/>
          <w:sz w:val="16"/>
          <w:szCs w:val="16"/>
        </w:rPr>
        <w:footnoteRef/>
      </w:r>
      <w:r w:rsidRPr="00855ABE">
        <w:rPr>
          <w:rFonts w:ascii="Times New Roman" w:hAnsi="Times New Roman"/>
          <w:sz w:val="16"/>
          <w:szCs w:val="16"/>
        </w:rPr>
        <w:t xml:space="preserve"> International Federation of Pharmaceutical Manufacturers and Association (2011) Guidelines for IFPMA Members on Access to Genetic Resources and Equitable Sharing of Benefits Arising out of their Utilization, available through </w:t>
      </w:r>
      <w:hyperlink r:id="rId37" w:history="1">
        <w:r w:rsidRPr="00855ABE">
          <w:rPr>
            <w:rStyle w:val="ac"/>
            <w:rFonts w:ascii="Times New Roman" w:hAnsi="Times New Roman"/>
            <w:sz w:val="16"/>
            <w:szCs w:val="16"/>
          </w:rPr>
          <w:t>www.ifpma.org</w:t>
        </w:r>
      </w:hyperlink>
    </w:p>
  </w:footnote>
  <w:footnote w:id="77">
    <w:p w:rsidR="004D3615" w:rsidRDefault="004D3615">
      <w:pPr>
        <w:pStyle w:val="ad"/>
      </w:pPr>
      <w:r w:rsidRPr="00855ABE">
        <w:rPr>
          <w:rStyle w:val="af"/>
          <w:rFonts w:ascii="Times New Roman" w:hAnsi="Times New Roman"/>
          <w:sz w:val="16"/>
          <w:szCs w:val="16"/>
        </w:rPr>
        <w:footnoteRef/>
      </w:r>
      <w:r w:rsidRPr="00855ABE">
        <w:rPr>
          <w:rFonts w:ascii="Times New Roman" w:hAnsi="Times New Roman"/>
          <w:sz w:val="16"/>
          <w:szCs w:val="16"/>
        </w:rPr>
        <w:t xml:space="preserve"> See Annex II to this study.</w:t>
      </w:r>
    </w:p>
  </w:footnote>
  <w:footnote w:id="78">
    <w:p w:rsidR="004D3615" w:rsidRDefault="004D3615">
      <w:pPr>
        <w:pStyle w:val="ad"/>
      </w:pPr>
      <w:r w:rsidRPr="00855ABE">
        <w:rPr>
          <w:rStyle w:val="af"/>
          <w:rFonts w:ascii="Times New Roman" w:hAnsi="Times New Roman"/>
          <w:sz w:val="16"/>
          <w:szCs w:val="16"/>
        </w:rPr>
        <w:footnoteRef/>
      </w:r>
      <w:r w:rsidRPr="00855ABE">
        <w:rPr>
          <w:rFonts w:ascii="Times New Roman" w:hAnsi="Times New Roman"/>
          <w:sz w:val="16"/>
          <w:szCs w:val="16"/>
        </w:rPr>
        <w:t xml:space="preserve"> See Annex II, for example, the ABS-MT and the Ethical </w:t>
      </w:r>
      <w:proofErr w:type="spellStart"/>
      <w:r w:rsidRPr="00855ABE">
        <w:rPr>
          <w:rFonts w:ascii="Times New Roman" w:hAnsi="Times New Roman"/>
          <w:sz w:val="16"/>
          <w:szCs w:val="16"/>
        </w:rPr>
        <w:t>Biotrade</w:t>
      </w:r>
      <w:proofErr w:type="spellEnd"/>
      <w:r w:rsidRPr="00855ABE">
        <w:rPr>
          <w:rFonts w:ascii="Times New Roman" w:hAnsi="Times New Roman"/>
          <w:sz w:val="16"/>
          <w:szCs w:val="16"/>
        </w:rPr>
        <w:t xml:space="preserve"> Standard.</w:t>
      </w:r>
    </w:p>
  </w:footnote>
  <w:footnote w:id="79">
    <w:p w:rsidR="004D3615" w:rsidRDefault="004D3615">
      <w:pPr>
        <w:pStyle w:val="ad"/>
      </w:pPr>
      <w:r w:rsidRPr="00855ABE">
        <w:rPr>
          <w:rStyle w:val="af"/>
          <w:rFonts w:ascii="Times New Roman" w:hAnsi="Times New Roman"/>
          <w:sz w:val="16"/>
          <w:szCs w:val="16"/>
        </w:rPr>
        <w:footnoteRef/>
      </w:r>
      <w:r w:rsidRPr="00855ABE">
        <w:rPr>
          <w:rFonts w:ascii="Times New Roman" w:hAnsi="Times New Roman"/>
          <w:sz w:val="16"/>
          <w:szCs w:val="16"/>
        </w:rPr>
        <w:t xml:space="preserve"> </w:t>
      </w:r>
      <w:r>
        <w:rPr>
          <w:rFonts w:ascii="Times New Roman" w:hAnsi="Times New Roman"/>
          <w:sz w:val="16"/>
          <w:szCs w:val="16"/>
        </w:rPr>
        <w:t xml:space="preserve">For example, see </w:t>
      </w:r>
      <w:r w:rsidRPr="00855ABE">
        <w:rPr>
          <w:rFonts w:ascii="Times New Roman" w:hAnsi="Times New Roman"/>
          <w:sz w:val="16"/>
          <w:szCs w:val="16"/>
        </w:rPr>
        <w:t>Article</w:t>
      </w:r>
      <w:r>
        <w:rPr>
          <w:rFonts w:ascii="Times New Roman" w:hAnsi="Times New Roman"/>
          <w:sz w:val="16"/>
          <w:szCs w:val="16"/>
        </w:rPr>
        <w:t xml:space="preserve"> 8(j) of the Convention  and Article</w:t>
      </w:r>
      <w:r w:rsidRPr="00855ABE">
        <w:rPr>
          <w:rFonts w:ascii="Times New Roman" w:hAnsi="Times New Roman"/>
          <w:sz w:val="16"/>
          <w:szCs w:val="16"/>
        </w:rPr>
        <w:t xml:space="preserve"> 12 of the Nagoya Protocol</w:t>
      </w:r>
      <w:r>
        <w:rPr>
          <w:rFonts w:ascii="Times New Roman" w:hAnsi="Times New Roman"/>
          <w:sz w:val="16"/>
          <w:szCs w:val="16"/>
        </w:rPr>
        <w:t>, which, in the context of</w:t>
      </w:r>
      <w:r w:rsidRPr="00855ABE">
        <w:rPr>
          <w:rFonts w:ascii="Times New Roman" w:hAnsi="Times New Roman"/>
          <w:sz w:val="16"/>
          <w:szCs w:val="16"/>
        </w:rPr>
        <w:t xml:space="preserve"> traditional knowledge associated with genetic resources</w:t>
      </w:r>
      <w:r>
        <w:rPr>
          <w:rFonts w:ascii="Times New Roman" w:hAnsi="Times New Roman"/>
          <w:sz w:val="16"/>
          <w:szCs w:val="16"/>
        </w:rPr>
        <w:t xml:space="preserve">, </w:t>
      </w:r>
      <w:r w:rsidRPr="00855ABE">
        <w:rPr>
          <w:rFonts w:ascii="Times New Roman" w:hAnsi="Times New Roman"/>
          <w:sz w:val="16"/>
          <w:szCs w:val="16"/>
        </w:rPr>
        <w:t>provides that in implementing the Protocol, Parties need to take into consideration indigenous and local communities’ customary laws, community protocols and procedures with respect to traditional knowledge associated with genetic resources (12.1.) and encourage the development by indigenous and local communities of community protocols, minimum requirements for mutually agreed terms and model contractual clauses for access to and benefit-sharing from traditional knowledge associate with genetic resources. All these tools will support the full involvement and participation of indigenous and local communities in the implementation of the Protocol (12.3).</w:t>
      </w:r>
    </w:p>
  </w:footnote>
  <w:footnote w:id="80">
    <w:p w:rsidR="004D3615" w:rsidRDefault="004D3615">
      <w:pPr>
        <w:pStyle w:val="ad"/>
      </w:pPr>
      <w:r w:rsidRPr="00855ABE">
        <w:rPr>
          <w:rStyle w:val="af"/>
          <w:rFonts w:ascii="Times New Roman" w:hAnsi="Times New Roman"/>
          <w:sz w:val="16"/>
          <w:szCs w:val="16"/>
        </w:rPr>
        <w:footnoteRef/>
      </w:r>
      <w:r w:rsidRPr="00855ABE">
        <w:rPr>
          <w:rFonts w:ascii="Times New Roman" w:hAnsi="Times New Roman"/>
          <w:sz w:val="16"/>
          <w:szCs w:val="16"/>
        </w:rPr>
        <w:t xml:space="preserve"> For a discussion of the nature</w:t>
      </w:r>
      <w:r>
        <w:rPr>
          <w:rFonts w:ascii="Times New Roman" w:hAnsi="Times New Roman"/>
          <w:sz w:val="16"/>
          <w:szCs w:val="16"/>
        </w:rPr>
        <w:t xml:space="preserve"> and role</w:t>
      </w:r>
      <w:r w:rsidRPr="00855ABE">
        <w:rPr>
          <w:rFonts w:ascii="Times New Roman" w:hAnsi="Times New Roman"/>
          <w:sz w:val="16"/>
          <w:szCs w:val="16"/>
        </w:rPr>
        <w:t xml:space="preserve"> of community protocols, see, for example, </w:t>
      </w:r>
      <w:r w:rsidRPr="00855ABE">
        <w:rPr>
          <w:rFonts w:ascii="Times New Roman" w:hAnsi="Times New Roman"/>
          <w:sz w:val="16"/>
          <w:szCs w:val="16"/>
          <w:lang w:val="en-AU"/>
        </w:rPr>
        <w:t xml:space="preserve">Jonas H, </w:t>
      </w:r>
      <w:proofErr w:type="spellStart"/>
      <w:r w:rsidRPr="00855ABE">
        <w:rPr>
          <w:rFonts w:ascii="Times New Roman" w:hAnsi="Times New Roman"/>
          <w:sz w:val="16"/>
          <w:szCs w:val="16"/>
          <w:lang w:val="en-AU"/>
        </w:rPr>
        <w:t>Bavikatte</w:t>
      </w:r>
      <w:proofErr w:type="spellEnd"/>
      <w:r w:rsidRPr="00855ABE">
        <w:rPr>
          <w:rFonts w:ascii="Times New Roman" w:hAnsi="Times New Roman"/>
          <w:sz w:val="16"/>
          <w:szCs w:val="16"/>
          <w:lang w:val="en-AU"/>
        </w:rPr>
        <w:t xml:space="preserve"> K, </w:t>
      </w:r>
      <w:proofErr w:type="spellStart"/>
      <w:r w:rsidRPr="00855ABE">
        <w:rPr>
          <w:rFonts w:ascii="Times New Roman" w:hAnsi="Times New Roman"/>
          <w:sz w:val="16"/>
          <w:szCs w:val="16"/>
          <w:lang w:val="en-AU"/>
        </w:rPr>
        <w:t>Shrumm</w:t>
      </w:r>
      <w:proofErr w:type="spellEnd"/>
      <w:r w:rsidRPr="00855ABE">
        <w:rPr>
          <w:rFonts w:ascii="Times New Roman" w:hAnsi="Times New Roman"/>
          <w:sz w:val="16"/>
          <w:szCs w:val="16"/>
          <w:lang w:val="en-AU"/>
        </w:rPr>
        <w:t xml:space="preserve"> H. (2010) Community Protocols and Access and Benefit Sharing. Asian Biotechnology and Development Review Vol. 12 No.3, pp 49-76.</w:t>
      </w:r>
    </w:p>
  </w:footnote>
  <w:footnote w:id="81">
    <w:p w:rsidR="004D3615" w:rsidRDefault="004D3615">
      <w:pPr>
        <w:pStyle w:val="ad"/>
      </w:pPr>
      <w:r w:rsidRPr="00855ABE">
        <w:rPr>
          <w:rStyle w:val="af"/>
          <w:rFonts w:ascii="Times New Roman" w:hAnsi="Times New Roman"/>
          <w:sz w:val="16"/>
          <w:szCs w:val="16"/>
        </w:rPr>
        <w:footnoteRef/>
      </w:r>
      <w:r w:rsidRPr="00855ABE">
        <w:rPr>
          <w:rFonts w:ascii="Times New Roman" w:hAnsi="Times New Roman"/>
          <w:sz w:val="16"/>
          <w:szCs w:val="16"/>
        </w:rPr>
        <w:t xml:space="preserve"> </w:t>
      </w:r>
      <w:proofErr w:type="spellStart"/>
      <w:r w:rsidRPr="00855ABE">
        <w:rPr>
          <w:rFonts w:ascii="Times New Roman" w:hAnsi="Times New Roman"/>
          <w:sz w:val="16"/>
          <w:szCs w:val="16"/>
        </w:rPr>
        <w:t>Tkarihwaié:ri</w:t>
      </w:r>
      <w:proofErr w:type="spellEnd"/>
      <w:r w:rsidRPr="00855ABE">
        <w:rPr>
          <w:rFonts w:ascii="Times New Roman" w:hAnsi="Times New Roman"/>
          <w:sz w:val="16"/>
          <w:szCs w:val="16"/>
        </w:rPr>
        <w:t xml:space="preserve"> Code of Ethical Conduct </w:t>
      </w:r>
      <w:r>
        <w:rPr>
          <w:rFonts w:ascii="Times New Roman" w:hAnsi="Times New Roman"/>
          <w:sz w:val="16"/>
          <w:szCs w:val="16"/>
        </w:rPr>
        <w:t>to Ensure</w:t>
      </w:r>
      <w:r w:rsidRPr="00855ABE">
        <w:rPr>
          <w:rFonts w:ascii="Times New Roman" w:hAnsi="Times New Roman"/>
          <w:sz w:val="16"/>
          <w:szCs w:val="16"/>
        </w:rPr>
        <w:t xml:space="preserve"> Respect for the Cultural and Intellectual Heritage of Indigenous and Local Communities Relevant to the Conservation and Sustainable Use of Biodiversity Adopted by the Conference of the Parties to the Convention on Biological Diversity, at COP 10, 2010, following the recommendation of the United Nations Permanent Forum on Indigenous Issues</w:t>
      </w:r>
      <w:r>
        <w:rPr>
          <w:rFonts w:ascii="Times New Roman" w:hAnsi="Times New Roman"/>
          <w:sz w:val="16"/>
          <w:szCs w:val="16"/>
        </w:rPr>
        <w:t xml:space="preserve"> available at </w:t>
      </w:r>
      <w:hyperlink r:id="rId38" w:history="1">
        <w:r w:rsidRPr="006F18C3">
          <w:rPr>
            <w:rStyle w:val="ac"/>
            <w:rFonts w:ascii="Times New Roman" w:hAnsi="Times New Roman"/>
            <w:sz w:val="16"/>
            <w:szCs w:val="16"/>
          </w:rPr>
          <w:t>http://www.cbd.int/traditional/code/ethicalconduct-brochure-en.pdf</w:t>
        </w:r>
      </w:hyperlink>
    </w:p>
  </w:footnote>
  <w:footnote w:id="82">
    <w:p w:rsidR="004D3615" w:rsidRPr="00855ABE" w:rsidRDefault="004D3615" w:rsidP="00855ABE">
      <w:pPr>
        <w:spacing w:after="0" w:line="240" w:lineRule="auto"/>
        <w:rPr>
          <w:rFonts w:ascii="Times New Roman" w:hAnsi="Times New Roman"/>
          <w:sz w:val="16"/>
          <w:szCs w:val="16"/>
        </w:rPr>
      </w:pPr>
      <w:r w:rsidRPr="00A86195">
        <w:rPr>
          <w:rStyle w:val="af"/>
          <w:rFonts w:ascii="Times New Roman" w:hAnsi="Times New Roman"/>
          <w:sz w:val="16"/>
          <w:szCs w:val="16"/>
        </w:rPr>
        <w:footnoteRef/>
      </w:r>
      <w:r w:rsidRPr="00A86195">
        <w:rPr>
          <w:rFonts w:ascii="Times New Roman" w:hAnsi="Times New Roman"/>
          <w:sz w:val="16"/>
          <w:szCs w:val="16"/>
        </w:rPr>
        <w:t xml:space="preserve"> </w:t>
      </w:r>
      <w:r w:rsidRPr="00855ABE">
        <w:rPr>
          <w:rFonts w:ascii="Times New Roman" w:hAnsi="Times New Roman"/>
          <w:sz w:val="16"/>
          <w:szCs w:val="16"/>
        </w:rPr>
        <w:t>Society for Applied Anthropology Society for Applied Anthropology (</w:t>
      </w:r>
      <w:proofErr w:type="spellStart"/>
      <w:r w:rsidRPr="00855ABE">
        <w:rPr>
          <w:rFonts w:ascii="Times New Roman" w:hAnsi="Times New Roman"/>
          <w:sz w:val="16"/>
          <w:szCs w:val="16"/>
        </w:rPr>
        <w:t>SfAA</w:t>
      </w:r>
      <w:proofErr w:type="spellEnd"/>
      <w:r w:rsidRPr="00855ABE">
        <w:rPr>
          <w:rFonts w:ascii="Times New Roman" w:hAnsi="Times New Roman"/>
          <w:sz w:val="16"/>
          <w:szCs w:val="16"/>
        </w:rPr>
        <w:t>): Statement of Ethical and Professional Responsibilities</w:t>
      </w:r>
    </w:p>
    <w:p w:rsidR="004D3615" w:rsidRDefault="004D3615" w:rsidP="00855ABE">
      <w:pPr>
        <w:spacing w:after="0" w:line="240" w:lineRule="auto"/>
      </w:pPr>
      <w:r w:rsidRPr="00855ABE">
        <w:rPr>
          <w:rFonts w:ascii="Times New Roman" w:hAnsi="Times New Roman"/>
          <w:sz w:val="16"/>
          <w:szCs w:val="16"/>
        </w:rPr>
        <w:t xml:space="preserve">Available at </w:t>
      </w:r>
      <w:hyperlink r:id="rId39" w:history="1">
        <w:r w:rsidRPr="00855ABE">
          <w:rPr>
            <w:rFonts w:ascii="Times New Roman" w:hAnsi="Times New Roman"/>
            <w:color w:val="0000FF"/>
            <w:sz w:val="16"/>
            <w:szCs w:val="16"/>
            <w:u w:val="single"/>
          </w:rPr>
          <w:t>http://www.sfaa.net/sfaaethic.html</w:t>
        </w:r>
      </w:hyperlink>
    </w:p>
  </w:footnote>
  <w:footnote w:id="83">
    <w:p w:rsidR="004D3615" w:rsidRDefault="004D3615">
      <w:pPr>
        <w:pStyle w:val="ad"/>
      </w:pPr>
      <w:r w:rsidRPr="00855ABE">
        <w:rPr>
          <w:rStyle w:val="af"/>
          <w:rFonts w:ascii="Times New Roman" w:hAnsi="Times New Roman"/>
          <w:sz w:val="16"/>
          <w:szCs w:val="16"/>
        </w:rPr>
        <w:footnoteRef/>
      </w:r>
      <w:r w:rsidRPr="00855ABE">
        <w:rPr>
          <w:rFonts w:ascii="Times New Roman" w:hAnsi="Times New Roman"/>
          <w:sz w:val="16"/>
          <w:szCs w:val="16"/>
        </w:rPr>
        <w:t xml:space="preserve"> See description of the Ethical </w:t>
      </w:r>
      <w:proofErr w:type="spellStart"/>
      <w:r w:rsidRPr="00855ABE">
        <w:rPr>
          <w:rFonts w:ascii="Times New Roman" w:hAnsi="Times New Roman"/>
          <w:sz w:val="16"/>
          <w:szCs w:val="16"/>
        </w:rPr>
        <w:t>Bio</w:t>
      </w:r>
      <w:r>
        <w:rPr>
          <w:rFonts w:ascii="Times New Roman" w:hAnsi="Times New Roman"/>
          <w:sz w:val="16"/>
          <w:szCs w:val="16"/>
        </w:rPr>
        <w:t>T</w:t>
      </w:r>
      <w:r w:rsidRPr="00855ABE">
        <w:rPr>
          <w:rFonts w:ascii="Times New Roman" w:hAnsi="Times New Roman"/>
          <w:sz w:val="16"/>
          <w:szCs w:val="16"/>
        </w:rPr>
        <w:t>rade</w:t>
      </w:r>
      <w:proofErr w:type="spellEnd"/>
      <w:r w:rsidRPr="00855ABE">
        <w:rPr>
          <w:rFonts w:ascii="Times New Roman" w:hAnsi="Times New Roman"/>
          <w:sz w:val="16"/>
          <w:szCs w:val="16"/>
        </w:rPr>
        <w:t xml:space="preserve"> Standard in Annex II to this study and the resources provided by the authoring organization </w:t>
      </w:r>
      <w:r>
        <w:rPr>
          <w:rFonts w:ascii="Times New Roman" w:hAnsi="Times New Roman"/>
          <w:sz w:val="16"/>
          <w:szCs w:val="16"/>
        </w:rPr>
        <w:t>available at</w:t>
      </w:r>
      <w:r w:rsidRPr="00855ABE">
        <w:rPr>
          <w:rFonts w:ascii="Times New Roman" w:hAnsi="Times New Roman"/>
          <w:sz w:val="16"/>
          <w:szCs w:val="16"/>
        </w:rPr>
        <w:t xml:space="preserve"> </w:t>
      </w:r>
      <w:hyperlink r:id="rId40" w:history="1">
        <w:r w:rsidRPr="00855ABE">
          <w:rPr>
            <w:rStyle w:val="ac"/>
            <w:rFonts w:ascii="Times New Roman" w:hAnsi="Times New Roman"/>
            <w:sz w:val="16"/>
            <w:szCs w:val="16"/>
          </w:rPr>
          <w:t>http://www.ethicalbiotrade.org/resources/index.html</w:t>
        </w:r>
      </w:hyperlink>
    </w:p>
  </w:footnote>
  <w:footnote w:id="84">
    <w:p w:rsidR="004D3615" w:rsidRDefault="004D3615" w:rsidP="00855ABE">
      <w:pPr>
        <w:autoSpaceDE w:val="0"/>
        <w:autoSpaceDN w:val="0"/>
        <w:adjustRightInd w:val="0"/>
        <w:spacing w:after="0" w:line="240" w:lineRule="auto"/>
      </w:pPr>
      <w:r w:rsidRPr="00855ABE">
        <w:rPr>
          <w:rStyle w:val="af"/>
          <w:rFonts w:ascii="Times New Roman" w:hAnsi="Times New Roman"/>
          <w:sz w:val="16"/>
          <w:szCs w:val="16"/>
        </w:rPr>
        <w:footnoteRef/>
      </w:r>
      <w:r w:rsidRPr="00855ABE">
        <w:rPr>
          <w:rFonts w:ascii="Times New Roman" w:hAnsi="Times New Roman"/>
          <w:sz w:val="16"/>
          <w:szCs w:val="16"/>
        </w:rPr>
        <w:t xml:space="preserve"> For example, under the terms of the Australian model agreement examined, res</w:t>
      </w:r>
      <w:r>
        <w:rPr>
          <w:rFonts w:ascii="Times New Roman" w:hAnsi="Times New Roman"/>
          <w:sz w:val="16"/>
          <w:szCs w:val="16"/>
        </w:rPr>
        <w:t>earchers are</w:t>
      </w:r>
      <w:r w:rsidRPr="00855ABE">
        <w:rPr>
          <w:rFonts w:ascii="Times New Roman" w:hAnsi="Times New Roman"/>
          <w:sz w:val="16"/>
          <w:szCs w:val="16"/>
        </w:rPr>
        <w:t xml:space="preserve"> </w:t>
      </w:r>
      <w:r>
        <w:rPr>
          <w:rFonts w:ascii="Times New Roman" w:hAnsi="Times New Roman"/>
          <w:sz w:val="16"/>
          <w:szCs w:val="16"/>
        </w:rPr>
        <w:t>to adhere to</w:t>
      </w:r>
      <w:r w:rsidRPr="00855ABE">
        <w:rPr>
          <w:rFonts w:ascii="Times New Roman" w:hAnsi="Times New Roman"/>
          <w:sz w:val="16"/>
          <w:szCs w:val="16"/>
        </w:rPr>
        <w:t xml:space="preserve"> the </w:t>
      </w:r>
      <w:r>
        <w:rPr>
          <w:rFonts w:ascii="Times New Roman" w:hAnsi="Times New Roman"/>
          <w:sz w:val="16"/>
          <w:szCs w:val="16"/>
        </w:rPr>
        <w:t xml:space="preserve">Guidelines for Ethical Research in Australian Indigenous Studies of the </w:t>
      </w:r>
      <w:r w:rsidRPr="00855ABE">
        <w:rPr>
          <w:rFonts w:ascii="Times New Roman" w:hAnsi="Times New Roman"/>
          <w:sz w:val="16"/>
          <w:szCs w:val="16"/>
        </w:rPr>
        <w:t xml:space="preserve">Australian Institute of the Aboriginal and Torres Strait Islander Studies. </w:t>
      </w:r>
      <w:r>
        <w:rPr>
          <w:rFonts w:ascii="Times New Roman" w:hAnsi="Times New Roman"/>
          <w:sz w:val="16"/>
          <w:szCs w:val="16"/>
        </w:rPr>
        <w:t xml:space="preserve">See Schedule 5 of the </w:t>
      </w:r>
      <w:r w:rsidRPr="00855ABE">
        <w:rPr>
          <w:rFonts w:ascii="Times New Roman" w:hAnsi="Times New Roman"/>
          <w:sz w:val="16"/>
          <w:szCs w:val="16"/>
        </w:rPr>
        <w:t xml:space="preserve">Commonwealth of Australia Department of Sustainability, Environment, Water, Population and Communities (2012) Deed of Agreement between Commonwealth of Australia and (Name of Access Party) in relation to Access to Biological Resources in Commonwealth Areas for Commercial or Potential Commercial Purposes and Benefit Sharing, </w:t>
      </w:r>
      <w:r>
        <w:rPr>
          <w:rFonts w:ascii="Times New Roman" w:hAnsi="Times New Roman"/>
          <w:sz w:val="16"/>
          <w:szCs w:val="16"/>
        </w:rPr>
        <w:t>available at</w:t>
      </w:r>
      <w:r w:rsidRPr="00855ABE">
        <w:rPr>
          <w:rFonts w:ascii="Times New Roman" w:hAnsi="Times New Roman"/>
          <w:sz w:val="16"/>
          <w:szCs w:val="16"/>
        </w:rPr>
        <w:t xml:space="preserve"> </w:t>
      </w:r>
      <w:hyperlink r:id="rId41" w:history="1">
        <w:r w:rsidRPr="00855ABE">
          <w:rPr>
            <w:rStyle w:val="ac"/>
            <w:rFonts w:ascii="Times New Roman" w:hAnsi="Times New Roman"/>
            <w:sz w:val="16"/>
            <w:szCs w:val="16"/>
          </w:rPr>
          <w:t>www.environment.gov.au/biodiversity/science/access/model-agreements/index.html</w:t>
        </w:r>
      </w:hyperlink>
    </w:p>
  </w:footnote>
  <w:footnote w:id="85">
    <w:p w:rsidR="004D3615" w:rsidRDefault="004D3615">
      <w:pPr>
        <w:pStyle w:val="ad"/>
      </w:pPr>
      <w:r w:rsidRPr="00855ABE">
        <w:rPr>
          <w:rStyle w:val="af"/>
          <w:rFonts w:ascii="Times New Roman" w:hAnsi="Times New Roman"/>
          <w:sz w:val="16"/>
          <w:szCs w:val="16"/>
        </w:rPr>
        <w:footnoteRef/>
      </w:r>
      <w:r w:rsidRPr="00855ABE">
        <w:rPr>
          <w:rFonts w:ascii="Times New Roman" w:hAnsi="Times New Roman"/>
          <w:sz w:val="16"/>
          <w:szCs w:val="16"/>
        </w:rPr>
        <w:t xml:space="preserve"> See Annex II description of the </w:t>
      </w:r>
      <w:r w:rsidRPr="00855ABE">
        <w:rPr>
          <w:rFonts w:ascii="Times New Roman" w:hAnsi="Times New Roman"/>
          <w:sz w:val="16"/>
          <w:szCs w:val="16"/>
          <w:lang w:val="en-AU"/>
        </w:rPr>
        <w:t xml:space="preserve">ABS-Working Group of the Deutsche </w:t>
      </w:r>
      <w:proofErr w:type="spellStart"/>
      <w:r w:rsidRPr="00855ABE">
        <w:rPr>
          <w:rFonts w:ascii="Times New Roman" w:hAnsi="Times New Roman"/>
          <w:sz w:val="16"/>
          <w:szCs w:val="16"/>
          <w:lang w:val="en-AU"/>
        </w:rPr>
        <w:t>Forschungsgemeinschaft</w:t>
      </w:r>
      <w:proofErr w:type="spellEnd"/>
      <w:r w:rsidRPr="00855ABE">
        <w:rPr>
          <w:rFonts w:ascii="Times New Roman" w:hAnsi="Times New Roman"/>
          <w:sz w:val="16"/>
          <w:szCs w:val="16"/>
          <w:lang w:val="en-AU"/>
        </w:rPr>
        <w:t xml:space="preserve">, </w:t>
      </w:r>
      <w:r w:rsidRPr="00855ABE">
        <w:rPr>
          <w:rFonts w:ascii="Times New Roman" w:hAnsi="Times New Roman"/>
          <w:sz w:val="16"/>
          <w:szCs w:val="16"/>
        </w:rPr>
        <w:t>Supplementary Instructions for Funding Proposals Concerning Research Projects within the Scope of the Convention on Biologi</w:t>
      </w:r>
      <w:r>
        <w:rPr>
          <w:rFonts w:ascii="Times New Roman" w:hAnsi="Times New Roman"/>
          <w:sz w:val="16"/>
          <w:szCs w:val="16"/>
        </w:rPr>
        <w:t>cal Diversity, and available at</w:t>
      </w:r>
      <w:r w:rsidRPr="00855ABE">
        <w:rPr>
          <w:rFonts w:ascii="Times New Roman" w:hAnsi="Times New Roman"/>
          <w:sz w:val="16"/>
          <w:szCs w:val="16"/>
        </w:rPr>
        <w:t xml:space="preserve"> </w:t>
      </w:r>
      <w:hyperlink r:id="rId42" w:history="1">
        <w:r w:rsidRPr="00855ABE">
          <w:rPr>
            <w:rStyle w:val="ac"/>
            <w:rFonts w:ascii="Times New Roman" w:hAnsi="Times New Roman"/>
            <w:sz w:val="16"/>
            <w:szCs w:val="16"/>
            <w:lang w:val="en-AU"/>
          </w:rPr>
          <w:t>www.dfg.de</w:t>
        </w:r>
      </w:hyperlink>
    </w:p>
  </w:footnote>
  <w:footnote w:id="86">
    <w:p w:rsidR="004D3615" w:rsidRDefault="004D3615">
      <w:pPr>
        <w:pStyle w:val="ad"/>
      </w:pPr>
      <w:r w:rsidRPr="00855ABE">
        <w:rPr>
          <w:rStyle w:val="af"/>
          <w:rFonts w:ascii="Times New Roman" w:hAnsi="Times New Roman"/>
          <w:sz w:val="16"/>
          <w:szCs w:val="16"/>
        </w:rPr>
        <w:footnoteRef/>
      </w:r>
      <w:r w:rsidRPr="00855ABE">
        <w:rPr>
          <w:rFonts w:ascii="Times New Roman" w:hAnsi="Times New Roman"/>
          <w:sz w:val="16"/>
          <w:szCs w:val="16"/>
        </w:rPr>
        <w:t xml:space="preserve"> For example, this is an </w:t>
      </w:r>
      <w:r>
        <w:rPr>
          <w:rFonts w:ascii="Times New Roman" w:hAnsi="Times New Roman"/>
          <w:sz w:val="16"/>
          <w:szCs w:val="16"/>
        </w:rPr>
        <w:t>explicit goal of tools such as</w:t>
      </w:r>
      <w:r w:rsidRPr="00855ABE">
        <w:rPr>
          <w:rFonts w:ascii="Times New Roman" w:hAnsi="Times New Roman"/>
          <w:sz w:val="16"/>
          <w:szCs w:val="16"/>
        </w:rPr>
        <w:t xml:space="preserve"> the </w:t>
      </w:r>
      <w:r w:rsidRPr="00855ABE">
        <w:rPr>
          <w:rFonts w:ascii="Times New Roman" w:hAnsi="Times New Roman"/>
          <w:iCs/>
          <w:sz w:val="16"/>
          <w:szCs w:val="16"/>
        </w:rPr>
        <w:t xml:space="preserve">Guidelines for BIO Members Engaging in </w:t>
      </w:r>
      <w:proofErr w:type="spellStart"/>
      <w:r w:rsidRPr="00855ABE">
        <w:rPr>
          <w:rFonts w:ascii="Times New Roman" w:hAnsi="Times New Roman"/>
          <w:iCs/>
          <w:sz w:val="16"/>
          <w:szCs w:val="16"/>
        </w:rPr>
        <w:t>Bioprospecting</w:t>
      </w:r>
      <w:proofErr w:type="spellEnd"/>
      <w:r w:rsidRPr="00855ABE">
        <w:rPr>
          <w:rFonts w:ascii="Times New Roman" w:hAnsi="Times New Roman"/>
          <w:iCs/>
          <w:sz w:val="16"/>
          <w:szCs w:val="16"/>
        </w:rPr>
        <w:t xml:space="preserve"> Guidelines of the Biotechnology Industry Organization, </w:t>
      </w:r>
      <w:r>
        <w:rPr>
          <w:rFonts w:ascii="Times New Roman" w:hAnsi="Times New Roman"/>
          <w:iCs/>
          <w:sz w:val="16"/>
          <w:szCs w:val="16"/>
        </w:rPr>
        <w:t xml:space="preserve">as described in Annex II and </w:t>
      </w:r>
      <w:proofErr w:type="gramStart"/>
      <w:r>
        <w:rPr>
          <w:rFonts w:ascii="Times New Roman" w:hAnsi="Times New Roman"/>
          <w:iCs/>
          <w:sz w:val="16"/>
          <w:szCs w:val="16"/>
        </w:rPr>
        <w:t>available  at</w:t>
      </w:r>
      <w:proofErr w:type="gramEnd"/>
      <w:r w:rsidRPr="00855ABE">
        <w:rPr>
          <w:rFonts w:ascii="Times New Roman" w:hAnsi="Times New Roman"/>
          <w:iCs/>
          <w:sz w:val="16"/>
          <w:szCs w:val="16"/>
        </w:rPr>
        <w:t xml:space="preserve"> </w:t>
      </w:r>
      <w:hyperlink r:id="rId43" w:history="1">
        <w:r w:rsidRPr="00855ABE">
          <w:rPr>
            <w:rStyle w:val="ac"/>
            <w:rFonts w:ascii="Times New Roman" w:hAnsi="Times New Roman"/>
            <w:iCs/>
            <w:sz w:val="16"/>
            <w:szCs w:val="16"/>
          </w:rPr>
          <w:t>http://test.bio.org/intl/ip/international/</w:t>
        </w:r>
      </w:hyperlink>
      <w:r w:rsidRPr="00855ABE">
        <w:rPr>
          <w:rFonts w:ascii="Times New Roman" w:hAnsi="Times New Roman"/>
          <w:sz w:val="16"/>
          <w:szCs w:val="16"/>
        </w:rPr>
        <w:t>.</w:t>
      </w:r>
    </w:p>
  </w:footnote>
  <w:footnote w:id="87">
    <w:p w:rsidR="004D3615" w:rsidRDefault="004D3615">
      <w:pPr>
        <w:pStyle w:val="ad"/>
        <w:rPr>
          <w:rFonts w:ascii="Times New Roman" w:hAnsi="Times New Roman"/>
          <w:sz w:val="16"/>
          <w:szCs w:val="16"/>
        </w:rPr>
      </w:pPr>
      <w:r w:rsidRPr="00855ABE">
        <w:rPr>
          <w:rStyle w:val="af"/>
          <w:rFonts w:ascii="Times New Roman" w:hAnsi="Times New Roman"/>
          <w:sz w:val="16"/>
          <w:szCs w:val="16"/>
        </w:rPr>
        <w:footnoteRef/>
      </w:r>
      <w:r w:rsidRPr="00855ABE">
        <w:rPr>
          <w:rFonts w:ascii="Times New Roman" w:hAnsi="Times New Roman"/>
          <w:sz w:val="16"/>
          <w:szCs w:val="16"/>
        </w:rPr>
        <w:t xml:space="preserve"> </w:t>
      </w:r>
      <w:r w:rsidRPr="00CE08F8">
        <w:rPr>
          <w:rFonts w:ascii="Times New Roman" w:hAnsi="Times New Roman"/>
          <w:sz w:val="16"/>
          <w:szCs w:val="16"/>
        </w:rPr>
        <w:t>See</w:t>
      </w:r>
      <w:r w:rsidRPr="00CE08F8" w:rsidDel="00763E61">
        <w:rPr>
          <w:rFonts w:ascii="Times New Roman" w:hAnsi="Times New Roman"/>
          <w:sz w:val="16"/>
          <w:szCs w:val="16"/>
        </w:rPr>
        <w:t xml:space="preserve"> </w:t>
      </w:r>
      <w:hyperlink r:id="rId44" w:history="1">
        <w:r w:rsidRPr="004F1EE4">
          <w:rPr>
            <w:rStyle w:val="ac"/>
            <w:rFonts w:ascii="Times New Roman" w:hAnsi="Times New Roman"/>
            <w:sz w:val="16"/>
            <w:szCs w:val="16"/>
          </w:rPr>
          <w:t>http://www.un.org/esa/socdev/unpfii/documents/DRIPS_en.pdf</w:t>
        </w:r>
      </w:hyperlink>
    </w:p>
    <w:p w:rsidR="004D3615" w:rsidRDefault="004D3615">
      <w:pPr>
        <w:pStyle w:val="ad"/>
      </w:pPr>
    </w:p>
  </w:footnote>
  <w:footnote w:id="88">
    <w:p w:rsidR="004D3615" w:rsidRPr="00A86195" w:rsidRDefault="004D3615">
      <w:pPr>
        <w:pStyle w:val="ad"/>
        <w:rPr>
          <w:rFonts w:ascii="Times New Roman" w:hAnsi="Times New Roman"/>
          <w:sz w:val="16"/>
          <w:szCs w:val="16"/>
        </w:rPr>
      </w:pPr>
      <w:r w:rsidRPr="00A86195">
        <w:rPr>
          <w:rStyle w:val="af"/>
          <w:rFonts w:ascii="Times New Roman" w:hAnsi="Times New Roman"/>
          <w:sz w:val="16"/>
          <w:szCs w:val="16"/>
        </w:rPr>
        <w:footnoteRef/>
      </w:r>
      <w:r w:rsidRPr="00A86195">
        <w:rPr>
          <w:rFonts w:ascii="Times New Roman" w:hAnsi="Times New Roman"/>
          <w:sz w:val="16"/>
          <w:szCs w:val="16"/>
        </w:rPr>
        <w:t xml:space="preserve"> CGRFA-14/13/Report at part V.</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615" w:rsidRPr="00855ABE" w:rsidRDefault="004D3615">
    <w:pPr>
      <w:pStyle w:val="af4"/>
      <w:rPr>
        <w:lang w:val="fr-CH"/>
      </w:rPr>
    </w:pPr>
    <w:r>
      <w:rPr>
        <w:lang w:val="fr-CH"/>
      </w:rPr>
      <w:t>PRELIMINARY DRAFT V.1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57B2A"/>
    <w:multiLevelType w:val="hybridMultilevel"/>
    <w:tmpl w:val="7D2A51FA"/>
    <w:lvl w:ilvl="0" w:tplc="04090001">
      <w:start w:val="1"/>
      <w:numFmt w:val="bullet"/>
      <w:lvlText w:val=""/>
      <w:lvlJc w:val="left"/>
      <w:pPr>
        <w:ind w:left="360" w:hanging="360"/>
      </w:pPr>
      <w:rPr>
        <w:rFonts w:ascii="Symbol" w:hAnsi="Symbol" w:hint="default"/>
      </w:rPr>
    </w:lvl>
    <w:lvl w:ilvl="1" w:tplc="100C0003" w:tentative="1">
      <w:start w:val="1"/>
      <w:numFmt w:val="bullet"/>
      <w:lvlText w:val="o"/>
      <w:lvlJc w:val="left"/>
      <w:pPr>
        <w:ind w:left="1080" w:hanging="360"/>
      </w:pPr>
      <w:rPr>
        <w:rFonts w:ascii="Courier New" w:hAnsi="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1">
    <w:nsid w:val="01FA04EE"/>
    <w:multiLevelType w:val="hybridMultilevel"/>
    <w:tmpl w:val="797891E2"/>
    <w:lvl w:ilvl="0" w:tplc="100C000F">
      <w:start w:val="1"/>
      <w:numFmt w:val="decimal"/>
      <w:lvlText w:val="%1."/>
      <w:lvlJc w:val="left"/>
      <w:pPr>
        <w:ind w:left="720" w:hanging="360"/>
      </w:pPr>
      <w:rPr>
        <w:rFonts w:cs="Times New Roman" w:hint="default"/>
      </w:rPr>
    </w:lvl>
    <w:lvl w:ilvl="1" w:tplc="100C0003" w:tentative="1">
      <w:start w:val="1"/>
      <w:numFmt w:val="bullet"/>
      <w:lvlText w:val="o"/>
      <w:lvlJc w:val="left"/>
      <w:pPr>
        <w:ind w:left="1440" w:hanging="360"/>
      </w:pPr>
      <w:rPr>
        <w:rFonts w:ascii="Courier New" w:hAnsi="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
    <w:nsid w:val="04305DC8"/>
    <w:multiLevelType w:val="hybridMultilevel"/>
    <w:tmpl w:val="3D16FAA2"/>
    <w:lvl w:ilvl="0" w:tplc="0804E368">
      <w:start w:val="1"/>
      <w:numFmt w:val="bullet"/>
      <w:lvlText w:val="-"/>
      <w:lvlJc w:val="left"/>
      <w:pPr>
        <w:ind w:left="360" w:hanging="360"/>
      </w:pPr>
      <w:rPr>
        <w:rFonts w:ascii="Arial Narrow" w:eastAsia="Times New Roman" w:hAnsi="Arial Narrow" w:hint="default"/>
      </w:rPr>
    </w:lvl>
    <w:lvl w:ilvl="1" w:tplc="100C0003" w:tentative="1">
      <w:start w:val="1"/>
      <w:numFmt w:val="bullet"/>
      <w:lvlText w:val="o"/>
      <w:lvlJc w:val="left"/>
      <w:pPr>
        <w:ind w:left="1080" w:hanging="360"/>
      </w:pPr>
      <w:rPr>
        <w:rFonts w:ascii="Courier New" w:hAnsi="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3">
    <w:nsid w:val="048B6A80"/>
    <w:multiLevelType w:val="hybridMultilevel"/>
    <w:tmpl w:val="07F80260"/>
    <w:lvl w:ilvl="0" w:tplc="0804E368">
      <w:start w:val="1"/>
      <w:numFmt w:val="bullet"/>
      <w:lvlText w:val="-"/>
      <w:lvlJc w:val="left"/>
      <w:pPr>
        <w:ind w:left="360" w:hanging="360"/>
      </w:pPr>
      <w:rPr>
        <w:rFonts w:ascii="Arial Narrow" w:eastAsia="Times New Roman" w:hAnsi="Arial Narrow" w:hint="default"/>
      </w:rPr>
    </w:lvl>
    <w:lvl w:ilvl="1" w:tplc="100C0003" w:tentative="1">
      <w:start w:val="1"/>
      <w:numFmt w:val="bullet"/>
      <w:lvlText w:val="o"/>
      <w:lvlJc w:val="left"/>
      <w:pPr>
        <w:ind w:left="1080" w:hanging="360"/>
      </w:pPr>
      <w:rPr>
        <w:rFonts w:ascii="Courier New" w:hAnsi="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4">
    <w:nsid w:val="06575978"/>
    <w:multiLevelType w:val="hybridMultilevel"/>
    <w:tmpl w:val="43126A04"/>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5">
    <w:nsid w:val="06C570FD"/>
    <w:multiLevelType w:val="hybridMultilevel"/>
    <w:tmpl w:val="BCB85592"/>
    <w:lvl w:ilvl="0" w:tplc="04090001">
      <w:start w:val="1"/>
      <w:numFmt w:val="bullet"/>
      <w:lvlText w:val=""/>
      <w:lvlJc w:val="left"/>
      <w:pPr>
        <w:ind w:left="360" w:hanging="360"/>
      </w:pPr>
      <w:rPr>
        <w:rFonts w:ascii="Symbol" w:hAnsi="Symbol" w:hint="default"/>
      </w:rPr>
    </w:lvl>
    <w:lvl w:ilvl="1" w:tplc="100C0003" w:tentative="1">
      <w:start w:val="1"/>
      <w:numFmt w:val="bullet"/>
      <w:lvlText w:val="o"/>
      <w:lvlJc w:val="left"/>
      <w:pPr>
        <w:ind w:left="1080" w:hanging="360"/>
      </w:pPr>
      <w:rPr>
        <w:rFonts w:ascii="Courier New" w:hAnsi="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6">
    <w:nsid w:val="0A7F5B8A"/>
    <w:multiLevelType w:val="hybridMultilevel"/>
    <w:tmpl w:val="08563A04"/>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7">
    <w:nsid w:val="0B8E7020"/>
    <w:multiLevelType w:val="hybridMultilevel"/>
    <w:tmpl w:val="7E1EEA90"/>
    <w:lvl w:ilvl="0" w:tplc="100C0001">
      <w:start w:val="1"/>
      <w:numFmt w:val="bullet"/>
      <w:lvlText w:val=""/>
      <w:lvlJc w:val="left"/>
      <w:pPr>
        <w:ind w:left="720" w:hanging="360"/>
      </w:pPr>
      <w:rPr>
        <w:rFonts w:ascii="Symbol" w:hAnsi="Symbol" w:hint="default"/>
      </w:rPr>
    </w:lvl>
    <w:lvl w:ilvl="1" w:tplc="100C0003">
      <w:start w:val="1"/>
      <w:numFmt w:val="bullet"/>
      <w:lvlText w:val="o"/>
      <w:lvlJc w:val="left"/>
      <w:pPr>
        <w:ind w:left="1440" w:hanging="360"/>
      </w:pPr>
      <w:rPr>
        <w:rFonts w:ascii="Courier New" w:hAnsi="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8">
    <w:nsid w:val="0D760E91"/>
    <w:multiLevelType w:val="hybridMultilevel"/>
    <w:tmpl w:val="1612FC96"/>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9">
    <w:nsid w:val="0E05158C"/>
    <w:multiLevelType w:val="hybridMultilevel"/>
    <w:tmpl w:val="2D068400"/>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0">
    <w:nsid w:val="114421AF"/>
    <w:multiLevelType w:val="hybridMultilevel"/>
    <w:tmpl w:val="E864D6C0"/>
    <w:lvl w:ilvl="0" w:tplc="100C0001">
      <w:start w:val="1"/>
      <w:numFmt w:val="bullet"/>
      <w:lvlText w:val=""/>
      <w:lvlJc w:val="left"/>
      <w:pPr>
        <w:ind w:left="360" w:hanging="360"/>
      </w:pPr>
      <w:rPr>
        <w:rFonts w:ascii="Symbol" w:hAnsi="Symbol" w:hint="default"/>
      </w:rPr>
    </w:lvl>
    <w:lvl w:ilvl="1" w:tplc="100C0003" w:tentative="1">
      <w:start w:val="1"/>
      <w:numFmt w:val="bullet"/>
      <w:lvlText w:val="o"/>
      <w:lvlJc w:val="left"/>
      <w:pPr>
        <w:ind w:left="1080" w:hanging="360"/>
      </w:pPr>
      <w:rPr>
        <w:rFonts w:ascii="Courier New" w:hAnsi="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11">
    <w:nsid w:val="11E22C8A"/>
    <w:multiLevelType w:val="hybridMultilevel"/>
    <w:tmpl w:val="62C20EFA"/>
    <w:lvl w:ilvl="0" w:tplc="0804E368">
      <w:start w:val="1"/>
      <w:numFmt w:val="bullet"/>
      <w:lvlText w:val="-"/>
      <w:lvlJc w:val="left"/>
      <w:pPr>
        <w:ind w:left="360" w:hanging="360"/>
      </w:pPr>
      <w:rPr>
        <w:rFonts w:ascii="Arial Narrow" w:eastAsia="Times New Roman" w:hAnsi="Arial Narrow" w:hint="default"/>
      </w:rPr>
    </w:lvl>
    <w:lvl w:ilvl="1" w:tplc="100C0003" w:tentative="1">
      <w:start w:val="1"/>
      <w:numFmt w:val="bullet"/>
      <w:lvlText w:val="o"/>
      <w:lvlJc w:val="left"/>
      <w:pPr>
        <w:ind w:left="1080" w:hanging="360"/>
      </w:pPr>
      <w:rPr>
        <w:rFonts w:ascii="Courier New" w:hAnsi="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12">
    <w:nsid w:val="12AE4C18"/>
    <w:multiLevelType w:val="hybridMultilevel"/>
    <w:tmpl w:val="190660A0"/>
    <w:lvl w:ilvl="0" w:tplc="100C0001">
      <w:start w:val="1"/>
      <w:numFmt w:val="bullet"/>
      <w:lvlText w:val=""/>
      <w:lvlJc w:val="left"/>
      <w:pPr>
        <w:ind w:left="1080" w:hanging="360"/>
      </w:pPr>
      <w:rPr>
        <w:rFonts w:ascii="Symbol" w:hAnsi="Symbol" w:hint="default"/>
      </w:rPr>
    </w:lvl>
    <w:lvl w:ilvl="1" w:tplc="100C0003" w:tentative="1">
      <w:start w:val="1"/>
      <w:numFmt w:val="bullet"/>
      <w:lvlText w:val="o"/>
      <w:lvlJc w:val="left"/>
      <w:pPr>
        <w:ind w:left="1800" w:hanging="360"/>
      </w:pPr>
      <w:rPr>
        <w:rFonts w:ascii="Courier New" w:hAnsi="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13">
    <w:nsid w:val="130019FB"/>
    <w:multiLevelType w:val="hybridMultilevel"/>
    <w:tmpl w:val="C890C8FE"/>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4">
    <w:nsid w:val="13A97A1A"/>
    <w:multiLevelType w:val="hybridMultilevel"/>
    <w:tmpl w:val="CCEAC3C2"/>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5">
    <w:nsid w:val="13DC1E6C"/>
    <w:multiLevelType w:val="hybridMultilevel"/>
    <w:tmpl w:val="8C60A42A"/>
    <w:lvl w:ilvl="0" w:tplc="100C0001">
      <w:start w:val="1"/>
      <w:numFmt w:val="bullet"/>
      <w:lvlText w:val=""/>
      <w:lvlJc w:val="left"/>
      <w:pPr>
        <w:ind w:left="360" w:hanging="360"/>
      </w:pPr>
      <w:rPr>
        <w:rFonts w:ascii="Symbol" w:hAnsi="Symbol" w:hint="default"/>
      </w:rPr>
    </w:lvl>
    <w:lvl w:ilvl="1" w:tplc="100C0003" w:tentative="1">
      <w:start w:val="1"/>
      <w:numFmt w:val="bullet"/>
      <w:lvlText w:val="o"/>
      <w:lvlJc w:val="left"/>
      <w:pPr>
        <w:ind w:left="1080" w:hanging="360"/>
      </w:pPr>
      <w:rPr>
        <w:rFonts w:ascii="Courier New" w:hAnsi="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16">
    <w:nsid w:val="13ED31AA"/>
    <w:multiLevelType w:val="hybridMultilevel"/>
    <w:tmpl w:val="E8A2339A"/>
    <w:lvl w:ilvl="0" w:tplc="04090001">
      <w:start w:val="1"/>
      <w:numFmt w:val="bullet"/>
      <w:lvlText w:val=""/>
      <w:lvlJc w:val="left"/>
      <w:pPr>
        <w:ind w:left="360" w:hanging="360"/>
      </w:pPr>
      <w:rPr>
        <w:rFonts w:ascii="Symbol" w:hAnsi="Symbol" w:hint="default"/>
      </w:rPr>
    </w:lvl>
    <w:lvl w:ilvl="1" w:tplc="100C0003" w:tentative="1">
      <w:start w:val="1"/>
      <w:numFmt w:val="bullet"/>
      <w:lvlText w:val="o"/>
      <w:lvlJc w:val="left"/>
      <w:pPr>
        <w:ind w:left="1080" w:hanging="360"/>
      </w:pPr>
      <w:rPr>
        <w:rFonts w:ascii="Courier New" w:hAnsi="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17">
    <w:nsid w:val="14287DFF"/>
    <w:multiLevelType w:val="hybridMultilevel"/>
    <w:tmpl w:val="2C645316"/>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8">
    <w:nsid w:val="15367DC5"/>
    <w:multiLevelType w:val="hybridMultilevel"/>
    <w:tmpl w:val="6EA29B8E"/>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9">
    <w:nsid w:val="190166EB"/>
    <w:multiLevelType w:val="hybridMultilevel"/>
    <w:tmpl w:val="1110DA68"/>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0">
    <w:nsid w:val="1A9F06AD"/>
    <w:multiLevelType w:val="hybridMultilevel"/>
    <w:tmpl w:val="A2C4A828"/>
    <w:lvl w:ilvl="0" w:tplc="100C0001">
      <w:start w:val="1"/>
      <w:numFmt w:val="bullet"/>
      <w:lvlText w:val=""/>
      <w:lvlJc w:val="left"/>
      <w:pPr>
        <w:ind w:left="360" w:hanging="360"/>
      </w:pPr>
      <w:rPr>
        <w:rFonts w:ascii="Symbol" w:hAnsi="Symbol" w:hint="default"/>
      </w:rPr>
    </w:lvl>
    <w:lvl w:ilvl="1" w:tplc="100C0003" w:tentative="1">
      <w:start w:val="1"/>
      <w:numFmt w:val="bullet"/>
      <w:lvlText w:val="o"/>
      <w:lvlJc w:val="left"/>
      <w:pPr>
        <w:ind w:left="1080" w:hanging="360"/>
      </w:pPr>
      <w:rPr>
        <w:rFonts w:ascii="Courier New" w:hAnsi="Courier New" w:cs="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cs="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cs="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21">
    <w:nsid w:val="1AAB4923"/>
    <w:multiLevelType w:val="hybridMultilevel"/>
    <w:tmpl w:val="843C67B2"/>
    <w:lvl w:ilvl="0" w:tplc="017C32B4">
      <w:start w:val="1"/>
      <w:numFmt w:val="upperRoman"/>
      <w:lvlText w:val="%1."/>
      <w:lvlJc w:val="left"/>
      <w:pPr>
        <w:ind w:left="720" w:hanging="720"/>
      </w:pPr>
      <w:rPr>
        <w:rFonts w:cs="Times New Roman" w:hint="default"/>
      </w:rPr>
    </w:lvl>
    <w:lvl w:ilvl="1" w:tplc="100C0019" w:tentative="1">
      <w:start w:val="1"/>
      <w:numFmt w:val="lowerLetter"/>
      <w:lvlText w:val="%2."/>
      <w:lvlJc w:val="left"/>
      <w:pPr>
        <w:ind w:left="1080" w:hanging="360"/>
      </w:pPr>
      <w:rPr>
        <w:rFonts w:cs="Times New Roman"/>
      </w:rPr>
    </w:lvl>
    <w:lvl w:ilvl="2" w:tplc="100C001B" w:tentative="1">
      <w:start w:val="1"/>
      <w:numFmt w:val="lowerRoman"/>
      <w:lvlText w:val="%3."/>
      <w:lvlJc w:val="right"/>
      <w:pPr>
        <w:ind w:left="1800" w:hanging="180"/>
      </w:pPr>
      <w:rPr>
        <w:rFonts w:cs="Times New Roman"/>
      </w:rPr>
    </w:lvl>
    <w:lvl w:ilvl="3" w:tplc="100C000F" w:tentative="1">
      <w:start w:val="1"/>
      <w:numFmt w:val="decimal"/>
      <w:lvlText w:val="%4."/>
      <w:lvlJc w:val="left"/>
      <w:pPr>
        <w:ind w:left="2520" w:hanging="360"/>
      </w:pPr>
      <w:rPr>
        <w:rFonts w:cs="Times New Roman"/>
      </w:rPr>
    </w:lvl>
    <w:lvl w:ilvl="4" w:tplc="100C0019" w:tentative="1">
      <w:start w:val="1"/>
      <w:numFmt w:val="lowerLetter"/>
      <w:lvlText w:val="%5."/>
      <w:lvlJc w:val="left"/>
      <w:pPr>
        <w:ind w:left="3240" w:hanging="360"/>
      </w:pPr>
      <w:rPr>
        <w:rFonts w:cs="Times New Roman"/>
      </w:rPr>
    </w:lvl>
    <w:lvl w:ilvl="5" w:tplc="100C001B" w:tentative="1">
      <w:start w:val="1"/>
      <w:numFmt w:val="lowerRoman"/>
      <w:lvlText w:val="%6."/>
      <w:lvlJc w:val="right"/>
      <w:pPr>
        <w:ind w:left="3960" w:hanging="180"/>
      </w:pPr>
      <w:rPr>
        <w:rFonts w:cs="Times New Roman"/>
      </w:rPr>
    </w:lvl>
    <w:lvl w:ilvl="6" w:tplc="100C000F" w:tentative="1">
      <w:start w:val="1"/>
      <w:numFmt w:val="decimal"/>
      <w:lvlText w:val="%7."/>
      <w:lvlJc w:val="left"/>
      <w:pPr>
        <w:ind w:left="4680" w:hanging="360"/>
      </w:pPr>
      <w:rPr>
        <w:rFonts w:cs="Times New Roman"/>
      </w:rPr>
    </w:lvl>
    <w:lvl w:ilvl="7" w:tplc="100C0019" w:tentative="1">
      <w:start w:val="1"/>
      <w:numFmt w:val="lowerLetter"/>
      <w:lvlText w:val="%8."/>
      <w:lvlJc w:val="left"/>
      <w:pPr>
        <w:ind w:left="5400" w:hanging="360"/>
      </w:pPr>
      <w:rPr>
        <w:rFonts w:cs="Times New Roman"/>
      </w:rPr>
    </w:lvl>
    <w:lvl w:ilvl="8" w:tplc="100C001B" w:tentative="1">
      <w:start w:val="1"/>
      <w:numFmt w:val="lowerRoman"/>
      <w:lvlText w:val="%9."/>
      <w:lvlJc w:val="right"/>
      <w:pPr>
        <w:ind w:left="6120" w:hanging="180"/>
      </w:pPr>
      <w:rPr>
        <w:rFonts w:cs="Times New Roman"/>
      </w:rPr>
    </w:lvl>
  </w:abstractNum>
  <w:abstractNum w:abstractNumId="22">
    <w:nsid w:val="1CAA56F4"/>
    <w:multiLevelType w:val="hybridMultilevel"/>
    <w:tmpl w:val="E9307DC2"/>
    <w:lvl w:ilvl="0" w:tplc="04090001">
      <w:start w:val="1"/>
      <w:numFmt w:val="bullet"/>
      <w:lvlText w:val=""/>
      <w:lvlJc w:val="left"/>
      <w:pPr>
        <w:ind w:left="360" w:hanging="360"/>
      </w:pPr>
      <w:rPr>
        <w:rFonts w:ascii="Symbol" w:hAnsi="Symbol" w:hint="default"/>
      </w:rPr>
    </w:lvl>
    <w:lvl w:ilvl="1" w:tplc="100C0003" w:tentative="1">
      <w:start w:val="1"/>
      <w:numFmt w:val="bullet"/>
      <w:lvlText w:val="o"/>
      <w:lvlJc w:val="left"/>
      <w:pPr>
        <w:ind w:left="1080" w:hanging="360"/>
      </w:pPr>
      <w:rPr>
        <w:rFonts w:ascii="Courier New" w:hAnsi="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23">
    <w:nsid w:val="1EC94A78"/>
    <w:multiLevelType w:val="hybridMultilevel"/>
    <w:tmpl w:val="2F125378"/>
    <w:lvl w:ilvl="0" w:tplc="100C0001">
      <w:start w:val="1"/>
      <w:numFmt w:val="bullet"/>
      <w:lvlText w:val=""/>
      <w:lvlJc w:val="left"/>
      <w:pPr>
        <w:ind w:left="360" w:hanging="360"/>
      </w:pPr>
      <w:rPr>
        <w:rFonts w:ascii="Symbol" w:hAnsi="Symbol" w:hint="default"/>
      </w:rPr>
    </w:lvl>
    <w:lvl w:ilvl="1" w:tplc="100C0003" w:tentative="1">
      <w:start w:val="1"/>
      <w:numFmt w:val="bullet"/>
      <w:lvlText w:val="o"/>
      <w:lvlJc w:val="left"/>
      <w:pPr>
        <w:ind w:left="1080" w:hanging="360"/>
      </w:pPr>
      <w:rPr>
        <w:rFonts w:ascii="Courier New" w:hAnsi="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24">
    <w:nsid w:val="20370B75"/>
    <w:multiLevelType w:val="hybridMultilevel"/>
    <w:tmpl w:val="62689A58"/>
    <w:lvl w:ilvl="0" w:tplc="0804E368">
      <w:start w:val="1"/>
      <w:numFmt w:val="bullet"/>
      <w:lvlText w:val="-"/>
      <w:lvlJc w:val="left"/>
      <w:pPr>
        <w:ind w:left="360" w:hanging="360"/>
      </w:pPr>
      <w:rPr>
        <w:rFonts w:ascii="Arial Narrow" w:eastAsia="Times New Roman" w:hAnsi="Arial Narrow" w:hint="default"/>
      </w:rPr>
    </w:lvl>
    <w:lvl w:ilvl="1" w:tplc="100C0003" w:tentative="1">
      <w:start w:val="1"/>
      <w:numFmt w:val="bullet"/>
      <w:lvlText w:val="o"/>
      <w:lvlJc w:val="left"/>
      <w:pPr>
        <w:ind w:left="1080" w:hanging="360"/>
      </w:pPr>
      <w:rPr>
        <w:rFonts w:ascii="Courier New" w:hAnsi="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25">
    <w:nsid w:val="22746296"/>
    <w:multiLevelType w:val="hybridMultilevel"/>
    <w:tmpl w:val="DAB6160C"/>
    <w:lvl w:ilvl="0" w:tplc="100C0001">
      <w:start w:val="1"/>
      <w:numFmt w:val="bullet"/>
      <w:lvlText w:val=""/>
      <w:lvlJc w:val="left"/>
      <w:pPr>
        <w:ind w:left="720" w:hanging="360"/>
      </w:pPr>
      <w:rPr>
        <w:rFonts w:ascii="Symbol" w:hAnsi="Symbol" w:hint="default"/>
      </w:rPr>
    </w:lvl>
    <w:lvl w:ilvl="1" w:tplc="100C0003">
      <w:start w:val="1"/>
      <w:numFmt w:val="bullet"/>
      <w:lvlText w:val="o"/>
      <w:lvlJc w:val="left"/>
      <w:pPr>
        <w:ind w:left="1440" w:hanging="360"/>
      </w:pPr>
      <w:rPr>
        <w:rFonts w:ascii="Courier New" w:hAnsi="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6">
    <w:nsid w:val="23D30CE9"/>
    <w:multiLevelType w:val="hybridMultilevel"/>
    <w:tmpl w:val="BBECCE6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B8DC560E">
      <w:start w:val="1"/>
      <w:numFmt w:val="upperLetter"/>
      <w:lvlText w:val="%3."/>
      <w:lvlJc w:val="left"/>
      <w:pPr>
        <w:ind w:left="1980" w:hanging="360"/>
      </w:pPr>
      <w:rPr>
        <w:rFonts w:cs="Times New Roman" w:hint="default"/>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7">
    <w:nsid w:val="26666377"/>
    <w:multiLevelType w:val="hybridMultilevel"/>
    <w:tmpl w:val="3E800AAA"/>
    <w:lvl w:ilvl="0" w:tplc="100C0001">
      <w:start w:val="1"/>
      <w:numFmt w:val="bullet"/>
      <w:lvlText w:val=""/>
      <w:lvlJc w:val="left"/>
      <w:pPr>
        <w:ind w:left="360" w:hanging="360"/>
      </w:pPr>
      <w:rPr>
        <w:rFonts w:ascii="Symbol" w:hAnsi="Symbol" w:hint="default"/>
      </w:rPr>
    </w:lvl>
    <w:lvl w:ilvl="1" w:tplc="100C0003" w:tentative="1">
      <w:start w:val="1"/>
      <w:numFmt w:val="bullet"/>
      <w:lvlText w:val="o"/>
      <w:lvlJc w:val="left"/>
      <w:pPr>
        <w:ind w:left="1080" w:hanging="360"/>
      </w:pPr>
      <w:rPr>
        <w:rFonts w:ascii="Courier New" w:hAnsi="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28">
    <w:nsid w:val="26A13566"/>
    <w:multiLevelType w:val="hybridMultilevel"/>
    <w:tmpl w:val="8F202B5C"/>
    <w:lvl w:ilvl="0" w:tplc="04090001">
      <w:start w:val="1"/>
      <w:numFmt w:val="bullet"/>
      <w:lvlText w:val=""/>
      <w:lvlJc w:val="left"/>
      <w:pPr>
        <w:ind w:left="360" w:hanging="360"/>
      </w:pPr>
      <w:rPr>
        <w:rFonts w:ascii="Symbol" w:hAnsi="Symbol" w:hint="default"/>
      </w:rPr>
    </w:lvl>
    <w:lvl w:ilvl="1" w:tplc="100C0003" w:tentative="1">
      <w:start w:val="1"/>
      <w:numFmt w:val="bullet"/>
      <w:lvlText w:val="o"/>
      <w:lvlJc w:val="left"/>
      <w:pPr>
        <w:ind w:left="1080" w:hanging="360"/>
      </w:pPr>
      <w:rPr>
        <w:rFonts w:ascii="Courier New" w:hAnsi="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29">
    <w:nsid w:val="273B4021"/>
    <w:multiLevelType w:val="hybridMultilevel"/>
    <w:tmpl w:val="261A053E"/>
    <w:lvl w:ilvl="0" w:tplc="04090001">
      <w:start w:val="1"/>
      <w:numFmt w:val="bullet"/>
      <w:lvlText w:val=""/>
      <w:lvlJc w:val="left"/>
      <w:pPr>
        <w:ind w:left="360" w:hanging="360"/>
      </w:pPr>
      <w:rPr>
        <w:rFonts w:ascii="Symbol" w:hAnsi="Symbol" w:hint="default"/>
      </w:rPr>
    </w:lvl>
    <w:lvl w:ilvl="1" w:tplc="100C0003" w:tentative="1">
      <w:start w:val="1"/>
      <w:numFmt w:val="bullet"/>
      <w:lvlText w:val="o"/>
      <w:lvlJc w:val="left"/>
      <w:pPr>
        <w:ind w:left="1080" w:hanging="360"/>
      </w:pPr>
      <w:rPr>
        <w:rFonts w:ascii="Courier New" w:hAnsi="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30">
    <w:nsid w:val="28020678"/>
    <w:multiLevelType w:val="hybridMultilevel"/>
    <w:tmpl w:val="AA4CB6E2"/>
    <w:lvl w:ilvl="0" w:tplc="04090001">
      <w:start w:val="1"/>
      <w:numFmt w:val="bullet"/>
      <w:lvlText w:val=""/>
      <w:lvlJc w:val="left"/>
      <w:pPr>
        <w:ind w:left="360" w:hanging="360"/>
      </w:pPr>
      <w:rPr>
        <w:rFonts w:ascii="Symbol" w:hAnsi="Symbol" w:hint="default"/>
      </w:rPr>
    </w:lvl>
    <w:lvl w:ilvl="1" w:tplc="100C0003" w:tentative="1">
      <w:start w:val="1"/>
      <w:numFmt w:val="bullet"/>
      <w:lvlText w:val="o"/>
      <w:lvlJc w:val="left"/>
      <w:pPr>
        <w:ind w:left="1080" w:hanging="360"/>
      </w:pPr>
      <w:rPr>
        <w:rFonts w:ascii="Courier New" w:hAnsi="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31">
    <w:nsid w:val="28114984"/>
    <w:multiLevelType w:val="hybridMultilevel"/>
    <w:tmpl w:val="E4006F04"/>
    <w:lvl w:ilvl="0" w:tplc="100C0001">
      <w:start w:val="1"/>
      <w:numFmt w:val="bullet"/>
      <w:lvlText w:val=""/>
      <w:lvlJc w:val="left"/>
      <w:pPr>
        <w:ind w:left="360" w:hanging="360"/>
      </w:pPr>
      <w:rPr>
        <w:rFonts w:ascii="Symbol" w:hAnsi="Symbol" w:hint="default"/>
      </w:rPr>
    </w:lvl>
    <w:lvl w:ilvl="1" w:tplc="100C0003" w:tentative="1">
      <w:start w:val="1"/>
      <w:numFmt w:val="bullet"/>
      <w:lvlText w:val="o"/>
      <w:lvlJc w:val="left"/>
      <w:pPr>
        <w:ind w:left="1080" w:hanging="360"/>
      </w:pPr>
      <w:rPr>
        <w:rFonts w:ascii="Courier New" w:hAnsi="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32">
    <w:nsid w:val="29240C3E"/>
    <w:multiLevelType w:val="hybridMultilevel"/>
    <w:tmpl w:val="D19CECAA"/>
    <w:lvl w:ilvl="0" w:tplc="0804E368">
      <w:start w:val="1"/>
      <w:numFmt w:val="bullet"/>
      <w:lvlText w:val="-"/>
      <w:lvlJc w:val="left"/>
      <w:pPr>
        <w:ind w:left="360" w:hanging="360"/>
      </w:pPr>
      <w:rPr>
        <w:rFonts w:ascii="Arial Narrow" w:eastAsia="Times New Roman" w:hAnsi="Arial Narrow" w:hint="default"/>
      </w:rPr>
    </w:lvl>
    <w:lvl w:ilvl="1" w:tplc="100C0003" w:tentative="1">
      <w:start w:val="1"/>
      <w:numFmt w:val="bullet"/>
      <w:lvlText w:val="o"/>
      <w:lvlJc w:val="left"/>
      <w:pPr>
        <w:ind w:left="1080" w:hanging="360"/>
      </w:pPr>
      <w:rPr>
        <w:rFonts w:ascii="Courier New" w:hAnsi="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33">
    <w:nsid w:val="29C9418B"/>
    <w:multiLevelType w:val="hybridMultilevel"/>
    <w:tmpl w:val="07B027D0"/>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hint="default"/>
      </w:rPr>
    </w:lvl>
    <w:lvl w:ilvl="2" w:tplc="100C0005" w:tentative="1">
      <w:start w:val="1"/>
      <w:numFmt w:val="bullet"/>
      <w:lvlText w:val=""/>
      <w:lvlJc w:val="left"/>
      <w:pPr>
        <w:ind w:left="2160" w:hanging="360"/>
      </w:pPr>
      <w:rPr>
        <w:rFonts w:ascii="Wingdings" w:hAnsi="Wingdings" w:hint="default"/>
      </w:rPr>
    </w:lvl>
    <w:lvl w:ilvl="3" w:tplc="100C000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4">
    <w:nsid w:val="2AF773BA"/>
    <w:multiLevelType w:val="hybridMultilevel"/>
    <w:tmpl w:val="D2360B7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5">
    <w:nsid w:val="2DE97451"/>
    <w:multiLevelType w:val="hybridMultilevel"/>
    <w:tmpl w:val="11461164"/>
    <w:lvl w:ilvl="0" w:tplc="100C0001">
      <w:start w:val="1"/>
      <w:numFmt w:val="bullet"/>
      <w:lvlText w:val=""/>
      <w:lvlJc w:val="left"/>
      <w:pPr>
        <w:ind w:left="360" w:hanging="360"/>
      </w:pPr>
      <w:rPr>
        <w:rFonts w:ascii="Symbol" w:hAnsi="Symbol" w:hint="default"/>
      </w:rPr>
    </w:lvl>
    <w:lvl w:ilvl="1" w:tplc="100C0003">
      <w:start w:val="1"/>
      <w:numFmt w:val="bullet"/>
      <w:lvlText w:val="o"/>
      <w:lvlJc w:val="left"/>
      <w:pPr>
        <w:ind w:left="1080" w:hanging="360"/>
      </w:pPr>
      <w:rPr>
        <w:rFonts w:ascii="Courier New" w:hAnsi="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36">
    <w:nsid w:val="2E8F6E17"/>
    <w:multiLevelType w:val="multilevel"/>
    <w:tmpl w:val="928A5F16"/>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37">
    <w:nsid w:val="2F1040E7"/>
    <w:multiLevelType w:val="hybridMultilevel"/>
    <w:tmpl w:val="20CA6E8E"/>
    <w:lvl w:ilvl="0" w:tplc="100C0001">
      <w:start w:val="1"/>
      <w:numFmt w:val="bullet"/>
      <w:lvlText w:val=""/>
      <w:lvlJc w:val="left"/>
      <w:pPr>
        <w:ind w:left="360" w:hanging="360"/>
      </w:pPr>
      <w:rPr>
        <w:rFonts w:ascii="Symbol" w:hAnsi="Symbol" w:hint="default"/>
      </w:rPr>
    </w:lvl>
    <w:lvl w:ilvl="1" w:tplc="100C0003" w:tentative="1">
      <w:start w:val="1"/>
      <w:numFmt w:val="bullet"/>
      <w:lvlText w:val="o"/>
      <w:lvlJc w:val="left"/>
      <w:pPr>
        <w:ind w:left="1080" w:hanging="360"/>
      </w:pPr>
      <w:rPr>
        <w:rFonts w:ascii="Courier New" w:hAnsi="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38">
    <w:nsid w:val="30FF5833"/>
    <w:multiLevelType w:val="hybridMultilevel"/>
    <w:tmpl w:val="BD46A4FC"/>
    <w:lvl w:ilvl="0" w:tplc="100C0001">
      <w:start w:val="1"/>
      <w:numFmt w:val="bullet"/>
      <w:lvlText w:val=""/>
      <w:lvlJc w:val="left"/>
      <w:pPr>
        <w:ind w:left="360" w:hanging="360"/>
      </w:pPr>
      <w:rPr>
        <w:rFonts w:ascii="Symbol" w:hAnsi="Symbol" w:hint="default"/>
      </w:rPr>
    </w:lvl>
    <w:lvl w:ilvl="1" w:tplc="100C0003">
      <w:start w:val="1"/>
      <w:numFmt w:val="bullet"/>
      <w:lvlText w:val="o"/>
      <w:lvlJc w:val="left"/>
      <w:pPr>
        <w:ind w:left="1080" w:hanging="360"/>
      </w:pPr>
      <w:rPr>
        <w:rFonts w:ascii="Courier New" w:hAnsi="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39">
    <w:nsid w:val="31682BBA"/>
    <w:multiLevelType w:val="hybridMultilevel"/>
    <w:tmpl w:val="6FDA702A"/>
    <w:lvl w:ilvl="0" w:tplc="100C0001">
      <w:start w:val="1"/>
      <w:numFmt w:val="bullet"/>
      <w:lvlText w:val=""/>
      <w:lvlJc w:val="left"/>
      <w:pPr>
        <w:ind w:left="360" w:hanging="360"/>
      </w:pPr>
      <w:rPr>
        <w:rFonts w:ascii="Symbol" w:hAnsi="Symbol" w:hint="default"/>
      </w:rPr>
    </w:lvl>
    <w:lvl w:ilvl="1" w:tplc="100C0003" w:tentative="1">
      <w:start w:val="1"/>
      <w:numFmt w:val="bullet"/>
      <w:lvlText w:val="o"/>
      <w:lvlJc w:val="left"/>
      <w:pPr>
        <w:ind w:left="1080" w:hanging="360"/>
      </w:pPr>
      <w:rPr>
        <w:rFonts w:ascii="Courier New" w:hAnsi="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40">
    <w:nsid w:val="316E16EA"/>
    <w:multiLevelType w:val="hybridMultilevel"/>
    <w:tmpl w:val="6DB4F5EC"/>
    <w:lvl w:ilvl="0" w:tplc="100C0001">
      <w:start w:val="1"/>
      <w:numFmt w:val="bullet"/>
      <w:lvlText w:val=""/>
      <w:lvlJc w:val="left"/>
      <w:pPr>
        <w:ind w:left="360" w:hanging="360"/>
      </w:pPr>
      <w:rPr>
        <w:rFonts w:ascii="Symbol" w:hAnsi="Symbol" w:hint="default"/>
      </w:rPr>
    </w:lvl>
    <w:lvl w:ilvl="1" w:tplc="100C0003" w:tentative="1">
      <w:start w:val="1"/>
      <w:numFmt w:val="bullet"/>
      <w:lvlText w:val="o"/>
      <w:lvlJc w:val="left"/>
      <w:pPr>
        <w:ind w:left="1080" w:hanging="360"/>
      </w:pPr>
      <w:rPr>
        <w:rFonts w:ascii="Courier New" w:hAnsi="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41">
    <w:nsid w:val="31A12D49"/>
    <w:multiLevelType w:val="hybridMultilevel"/>
    <w:tmpl w:val="22A8D316"/>
    <w:lvl w:ilvl="0" w:tplc="100C0001">
      <w:start w:val="1"/>
      <w:numFmt w:val="bullet"/>
      <w:lvlText w:val=""/>
      <w:lvlJc w:val="left"/>
      <w:pPr>
        <w:ind w:left="1080" w:hanging="360"/>
      </w:pPr>
      <w:rPr>
        <w:rFonts w:ascii="Symbol" w:hAnsi="Symbol" w:hint="default"/>
      </w:rPr>
    </w:lvl>
    <w:lvl w:ilvl="1" w:tplc="100C0003" w:tentative="1">
      <w:start w:val="1"/>
      <w:numFmt w:val="bullet"/>
      <w:lvlText w:val="o"/>
      <w:lvlJc w:val="left"/>
      <w:pPr>
        <w:ind w:left="1800" w:hanging="360"/>
      </w:pPr>
      <w:rPr>
        <w:rFonts w:ascii="Courier New" w:hAnsi="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42">
    <w:nsid w:val="345D14EF"/>
    <w:multiLevelType w:val="hybridMultilevel"/>
    <w:tmpl w:val="F1BEBB4C"/>
    <w:lvl w:ilvl="0" w:tplc="0316CFEC">
      <w:numFmt w:val="bullet"/>
      <w:lvlText w:val="-"/>
      <w:lvlJc w:val="left"/>
      <w:pPr>
        <w:ind w:left="360" w:hanging="360"/>
      </w:pPr>
      <w:rPr>
        <w:rFonts w:ascii="Calibri" w:eastAsia="Times New Roman" w:hAnsi="Calibri" w:hint="default"/>
      </w:rPr>
    </w:lvl>
    <w:lvl w:ilvl="1" w:tplc="100C0003" w:tentative="1">
      <w:start w:val="1"/>
      <w:numFmt w:val="bullet"/>
      <w:lvlText w:val="o"/>
      <w:lvlJc w:val="left"/>
      <w:pPr>
        <w:ind w:left="1080" w:hanging="360"/>
      </w:pPr>
      <w:rPr>
        <w:rFonts w:ascii="Courier New" w:hAnsi="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43">
    <w:nsid w:val="34F7171B"/>
    <w:multiLevelType w:val="hybridMultilevel"/>
    <w:tmpl w:val="38A686D6"/>
    <w:lvl w:ilvl="0" w:tplc="0409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44">
    <w:nsid w:val="355074E7"/>
    <w:multiLevelType w:val="hybridMultilevel"/>
    <w:tmpl w:val="146E23D2"/>
    <w:lvl w:ilvl="0" w:tplc="100C0001">
      <w:start w:val="1"/>
      <w:numFmt w:val="bullet"/>
      <w:lvlText w:val=""/>
      <w:lvlJc w:val="left"/>
      <w:pPr>
        <w:ind w:left="360" w:hanging="360"/>
      </w:pPr>
      <w:rPr>
        <w:rFonts w:ascii="Symbol" w:hAnsi="Symbol" w:hint="default"/>
      </w:rPr>
    </w:lvl>
    <w:lvl w:ilvl="1" w:tplc="100C0003" w:tentative="1">
      <w:start w:val="1"/>
      <w:numFmt w:val="bullet"/>
      <w:lvlText w:val="o"/>
      <w:lvlJc w:val="left"/>
      <w:pPr>
        <w:ind w:left="1080" w:hanging="360"/>
      </w:pPr>
      <w:rPr>
        <w:rFonts w:ascii="Courier New" w:hAnsi="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45">
    <w:nsid w:val="35AD692E"/>
    <w:multiLevelType w:val="hybridMultilevel"/>
    <w:tmpl w:val="C0F2BA96"/>
    <w:lvl w:ilvl="0" w:tplc="100C0001">
      <w:start w:val="1"/>
      <w:numFmt w:val="bullet"/>
      <w:lvlText w:val=""/>
      <w:lvlJc w:val="left"/>
      <w:pPr>
        <w:ind w:left="720" w:hanging="360"/>
      </w:pPr>
      <w:rPr>
        <w:rFonts w:ascii="Symbol" w:hAnsi="Symbol" w:hint="default"/>
      </w:rPr>
    </w:lvl>
    <w:lvl w:ilvl="1" w:tplc="100C0001">
      <w:start w:val="1"/>
      <w:numFmt w:val="bullet"/>
      <w:lvlText w:val=""/>
      <w:lvlJc w:val="left"/>
      <w:pPr>
        <w:ind w:left="1440" w:hanging="360"/>
      </w:pPr>
      <w:rPr>
        <w:rFonts w:ascii="Symbol" w:hAnsi="Symbol"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46">
    <w:nsid w:val="363B33E6"/>
    <w:multiLevelType w:val="hybridMultilevel"/>
    <w:tmpl w:val="A8147358"/>
    <w:lvl w:ilvl="0" w:tplc="0804E368">
      <w:start w:val="1"/>
      <w:numFmt w:val="bullet"/>
      <w:lvlText w:val="-"/>
      <w:lvlJc w:val="left"/>
      <w:pPr>
        <w:ind w:left="360" w:hanging="360"/>
      </w:pPr>
      <w:rPr>
        <w:rFonts w:ascii="Arial Narrow" w:eastAsia="Times New Roman" w:hAnsi="Arial Narrow" w:hint="default"/>
      </w:rPr>
    </w:lvl>
    <w:lvl w:ilvl="1" w:tplc="100C0003" w:tentative="1">
      <w:start w:val="1"/>
      <w:numFmt w:val="bullet"/>
      <w:lvlText w:val="o"/>
      <w:lvlJc w:val="left"/>
      <w:pPr>
        <w:ind w:left="1080" w:hanging="360"/>
      </w:pPr>
      <w:rPr>
        <w:rFonts w:ascii="Courier New" w:hAnsi="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47">
    <w:nsid w:val="372261A5"/>
    <w:multiLevelType w:val="hybridMultilevel"/>
    <w:tmpl w:val="A43064D0"/>
    <w:lvl w:ilvl="0" w:tplc="04090001">
      <w:start w:val="1"/>
      <w:numFmt w:val="bullet"/>
      <w:lvlText w:val=""/>
      <w:lvlJc w:val="left"/>
      <w:pPr>
        <w:ind w:left="360" w:hanging="360"/>
      </w:pPr>
      <w:rPr>
        <w:rFonts w:ascii="Symbol" w:hAnsi="Symbol" w:hint="default"/>
      </w:rPr>
    </w:lvl>
    <w:lvl w:ilvl="1" w:tplc="100C0003" w:tentative="1">
      <w:start w:val="1"/>
      <w:numFmt w:val="bullet"/>
      <w:lvlText w:val="o"/>
      <w:lvlJc w:val="left"/>
      <w:pPr>
        <w:ind w:left="1080" w:hanging="360"/>
      </w:pPr>
      <w:rPr>
        <w:rFonts w:ascii="Courier New" w:hAnsi="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48">
    <w:nsid w:val="37502E84"/>
    <w:multiLevelType w:val="hybridMultilevel"/>
    <w:tmpl w:val="C0F86EC8"/>
    <w:lvl w:ilvl="0" w:tplc="F43E810A">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9">
    <w:nsid w:val="375B53EB"/>
    <w:multiLevelType w:val="hybridMultilevel"/>
    <w:tmpl w:val="15B8A60E"/>
    <w:lvl w:ilvl="0" w:tplc="100C0001">
      <w:start w:val="1"/>
      <w:numFmt w:val="bullet"/>
      <w:lvlText w:val=""/>
      <w:lvlJc w:val="left"/>
      <w:pPr>
        <w:ind w:left="360" w:hanging="360"/>
      </w:pPr>
      <w:rPr>
        <w:rFonts w:ascii="Symbol" w:hAnsi="Symbol" w:hint="default"/>
      </w:rPr>
    </w:lvl>
    <w:lvl w:ilvl="1" w:tplc="100C0003" w:tentative="1">
      <w:start w:val="1"/>
      <w:numFmt w:val="bullet"/>
      <w:lvlText w:val="o"/>
      <w:lvlJc w:val="left"/>
      <w:pPr>
        <w:ind w:left="1080" w:hanging="360"/>
      </w:pPr>
      <w:rPr>
        <w:rFonts w:ascii="Courier New" w:hAnsi="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50">
    <w:nsid w:val="378935F0"/>
    <w:multiLevelType w:val="hybridMultilevel"/>
    <w:tmpl w:val="DD20D7C0"/>
    <w:lvl w:ilvl="0" w:tplc="0804E368">
      <w:start w:val="1"/>
      <w:numFmt w:val="bullet"/>
      <w:lvlText w:val="-"/>
      <w:lvlJc w:val="left"/>
      <w:pPr>
        <w:ind w:left="360" w:hanging="360"/>
      </w:pPr>
      <w:rPr>
        <w:rFonts w:ascii="Arial Narrow" w:eastAsia="Times New Roman" w:hAnsi="Arial Narrow" w:hint="default"/>
      </w:rPr>
    </w:lvl>
    <w:lvl w:ilvl="1" w:tplc="100C0003" w:tentative="1">
      <w:start w:val="1"/>
      <w:numFmt w:val="bullet"/>
      <w:lvlText w:val="o"/>
      <w:lvlJc w:val="left"/>
      <w:pPr>
        <w:ind w:left="1440" w:hanging="360"/>
      </w:pPr>
      <w:rPr>
        <w:rFonts w:ascii="Courier New" w:hAnsi="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51">
    <w:nsid w:val="3C9B58E3"/>
    <w:multiLevelType w:val="hybridMultilevel"/>
    <w:tmpl w:val="670CC040"/>
    <w:lvl w:ilvl="0" w:tplc="100C0001">
      <w:start w:val="1"/>
      <w:numFmt w:val="bullet"/>
      <w:lvlText w:val=""/>
      <w:lvlJc w:val="left"/>
      <w:pPr>
        <w:ind w:left="360" w:hanging="360"/>
      </w:pPr>
      <w:rPr>
        <w:rFonts w:ascii="Symbol" w:hAnsi="Symbol" w:hint="default"/>
      </w:rPr>
    </w:lvl>
    <w:lvl w:ilvl="1" w:tplc="100C0003" w:tentative="1">
      <w:start w:val="1"/>
      <w:numFmt w:val="bullet"/>
      <w:lvlText w:val="o"/>
      <w:lvlJc w:val="left"/>
      <w:pPr>
        <w:ind w:left="1440" w:hanging="360"/>
      </w:pPr>
      <w:rPr>
        <w:rFonts w:ascii="Courier New" w:hAnsi="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52">
    <w:nsid w:val="3D3840E1"/>
    <w:multiLevelType w:val="hybridMultilevel"/>
    <w:tmpl w:val="E8A474F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3">
    <w:nsid w:val="3F9A30FA"/>
    <w:multiLevelType w:val="hybridMultilevel"/>
    <w:tmpl w:val="D6C61738"/>
    <w:lvl w:ilvl="0" w:tplc="374E20CE">
      <w:numFmt w:val="bullet"/>
      <w:lvlText w:val="-"/>
      <w:lvlJc w:val="left"/>
      <w:pPr>
        <w:ind w:left="720" w:hanging="360"/>
      </w:pPr>
      <w:rPr>
        <w:rFonts w:ascii="Times New Roman" w:eastAsia="Times New Roman" w:hAnsi="Times New Roman" w:hint="default"/>
      </w:rPr>
    </w:lvl>
    <w:lvl w:ilvl="1" w:tplc="100C0003" w:tentative="1">
      <w:start w:val="1"/>
      <w:numFmt w:val="bullet"/>
      <w:lvlText w:val="o"/>
      <w:lvlJc w:val="left"/>
      <w:pPr>
        <w:ind w:left="1440" w:hanging="360"/>
      </w:pPr>
      <w:rPr>
        <w:rFonts w:ascii="Courier New" w:hAnsi="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54">
    <w:nsid w:val="3FD16507"/>
    <w:multiLevelType w:val="hybridMultilevel"/>
    <w:tmpl w:val="2BA6EC94"/>
    <w:lvl w:ilvl="0" w:tplc="100C0001">
      <w:start w:val="1"/>
      <w:numFmt w:val="bullet"/>
      <w:lvlText w:val=""/>
      <w:lvlJc w:val="left"/>
      <w:pPr>
        <w:ind w:left="360" w:hanging="360"/>
      </w:pPr>
      <w:rPr>
        <w:rFonts w:ascii="Symbol" w:hAnsi="Symbol" w:hint="default"/>
      </w:rPr>
    </w:lvl>
    <w:lvl w:ilvl="1" w:tplc="100C0003" w:tentative="1">
      <w:start w:val="1"/>
      <w:numFmt w:val="bullet"/>
      <w:lvlText w:val="o"/>
      <w:lvlJc w:val="left"/>
      <w:pPr>
        <w:ind w:left="1080" w:hanging="360"/>
      </w:pPr>
      <w:rPr>
        <w:rFonts w:ascii="Courier New" w:hAnsi="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55">
    <w:nsid w:val="41952C03"/>
    <w:multiLevelType w:val="hybridMultilevel"/>
    <w:tmpl w:val="577473C0"/>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56">
    <w:nsid w:val="42F15A1D"/>
    <w:multiLevelType w:val="hybridMultilevel"/>
    <w:tmpl w:val="6E005094"/>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57">
    <w:nsid w:val="437B76BC"/>
    <w:multiLevelType w:val="hybridMultilevel"/>
    <w:tmpl w:val="F7B09FFE"/>
    <w:lvl w:ilvl="0" w:tplc="100C0001">
      <w:start w:val="1"/>
      <w:numFmt w:val="bullet"/>
      <w:lvlText w:val=""/>
      <w:lvlJc w:val="left"/>
      <w:pPr>
        <w:ind w:left="360" w:hanging="360"/>
      </w:pPr>
      <w:rPr>
        <w:rFonts w:ascii="Symbol" w:hAnsi="Symbol" w:hint="default"/>
      </w:rPr>
    </w:lvl>
    <w:lvl w:ilvl="1" w:tplc="100C0003">
      <w:start w:val="1"/>
      <w:numFmt w:val="bullet"/>
      <w:lvlText w:val="o"/>
      <w:lvlJc w:val="left"/>
      <w:pPr>
        <w:ind w:left="1080" w:hanging="360"/>
      </w:pPr>
      <w:rPr>
        <w:rFonts w:ascii="Courier New" w:hAnsi="Courier New" w:hint="default"/>
      </w:rPr>
    </w:lvl>
    <w:lvl w:ilvl="2" w:tplc="100C0005">
      <w:start w:val="1"/>
      <w:numFmt w:val="bullet"/>
      <w:lvlText w:val=""/>
      <w:lvlJc w:val="left"/>
      <w:pPr>
        <w:ind w:left="1800" w:hanging="360"/>
      </w:pPr>
      <w:rPr>
        <w:rFonts w:ascii="Wingdings" w:hAnsi="Wingdings" w:hint="default"/>
      </w:rPr>
    </w:lvl>
    <w:lvl w:ilvl="3" w:tplc="100C000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58">
    <w:nsid w:val="45133844"/>
    <w:multiLevelType w:val="hybridMultilevel"/>
    <w:tmpl w:val="A62460D0"/>
    <w:lvl w:ilvl="0" w:tplc="100C0001">
      <w:start w:val="1"/>
      <w:numFmt w:val="bullet"/>
      <w:lvlText w:val=""/>
      <w:lvlJc w:val="left"/>
      <w:pPr>
        <w:ind w:left="720" w:hanging="360"/>
      </w:pPr>
      <w:rPr>
        <w:rFonts w:ascii="Symbol" w:hAnsi="Symbol" w:hint="default"/>
      </w:rPr>
    </w:lvl>
    <w:lvl w:ilvl="1" w:tplc="100C0003">
      <w:start w:val="1"/>
      <w:numFmt w:val="bullet"/>
      <w:lvlText w:val="o"/>
      <w:lvlJc w:val="left"/>
      <w:pPr>
        <w:ind w:left="1440" w:hanging="360"/>
      </w:pPr>
      <w:rPr>
        <w:rFonts w:ascii="Courier New" w:hAnsi="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59">
    <w:nsid w:val="45AB76A3"/>
    <w:multiLevelType w:val="hybridMultilevel"/>
    <w:tmpl w:val="14B005BC"/>
    <w:lvl w:ilvl="0" w:tplc="374E20CE">
      <w:numFmt w:val="bullet"/>
      <w:lvlText w:val="-"/>
      <w:lvlJc w:val="left"/>
      <w:pPr>
        <w:ind w:left="1080" w:hanging="360"/>
      </w:pPr>
      <w:rPr>
        <w:rFonts w:ascii="Times New Roman" w:eastAsia="Times New Roman" w:hAnsi="Times New Roman" w:hint="default"/>
      </w:rPr>
    </w:lvl>
    <w:lvl w:ilvl="1" w:tplc="100C0003" w:tentative="1">
      <w:start w:val="1"/>
      <w:numFmt w:val="bullet"/>
      <w:lvlText w:val="o"/>
      <w:lvlJc w:val="left"/>
      <w:pPr>
        <w:ind w:left="1800" w:hanging="360"/>
      </w:pPr>
      <w:rPr>
        <w:rFonts w:ascii="Courier New" w:hAnsi="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60">
    <w:nsid w:val="472A4CC5"/>
    <w:multiLevelType w:val="hybridMultilevel"/>
    <w:tmpl w:val="D98C6B8A"/>
    <w:lvl w:ilvl="0" w:tplc="100C0001">
      <w:start w:val="1"/>
      <w:numFmt w:val="bullet"/>
      <w:lvlText w:val=""/>
      <w:lvlJc w:val="left"/>
      <w:pPr>
        <w:ind w:left="360" w:hanging="360"/>
      </w:pPr>
      <w:rPr>
        <w:rFonts w:ascii="Symbol" w:hAnsi="Symbol" w:hint="default"/>
      </w:rPr>
    </w:lvl>
    <w:lvl w:ilvl="1" w:tplc="100C0003" w:tentative="1">
      <w:start w:val="1"/>
      <w:numFmt w:val="bullet"/>
      <w:lvlText w:val="o"/>
      <w:lvlJc w:val="left"/>
      <w:pPr>
        <w:ind w:left="1080" w:hanging="360"/>
      </w:pPr>
      <w:rPr>
        <w:rFonts w:ascii="Courier New" w:hAnsi="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61">
    <w:nsid w:val="48C56972"/>
    <w:multiLevelType w:val="hybridMultilevel"/>
    <w:tmpl w:val="A3E4E7CE"/>
    <w:lvl w:ilvl="0" w:tplc="100C0001">
      <w:start w:val="1"/>
      <w:numFmt w:val="bullet"/>
      <w:lvlText w:val=""/>
      <w:lvlJc w:val="left"/>
      <w:pPr>
        <w:ind w:left="360" w:hanging="360"/>
      </w:pPr>
      <w:rPr>
        <w:rFonts w:ascii="Symbol" w:hAnsi="Symbol" w:hint="default"/>
      </w:rPr>
    </w:lvl>
    <w:lvl w:ilvl="1" w:tplc="100C0003" w:tentative="1">
      <w:start w:val="1"/>
      <w:numFmt w:val="bullet"/>
      <w:lvlText w:val="o"/>
      <w:lvlJc w:val="left"/>
      <w:pPr>
        <w:ind w:left="1440" w:hanging="360"/>
      </w:pPr>
      <w:rPr>
        <w:rFonts w:ascii="Courier New" w:hAnsi="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62">
    <w:nsid w:val="4ADF18CA"/>
    <w:multiLevelType w:val="hybridMultilevel"/>
    <w:tmpl w:val="83ACEDB4"/>
    <w:lvl w:ilvl="0" w:tplc="0409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63">
    <w:nsid w:val="4D8F1A54"/>
    <w:multiLevelType w:val="hybridMultilevel"/>
    <w:tmpl w:val="2C06290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4">
    <w:nsid w:val="500D3DA2"/>
    <w:multiLevelType w:val="hybridMultilevel"/>
    <w:tmpl w:val="D01C6288"/>
    <w:lvl w:ilvl="0" w:tplc="100C0001">
      <w:start w:val="1"/>
      <w:numFmt w:val="bullet"/>
      <w:lvlText w:val=""/>
      <w:lvlJc w:val="left"/>
      <w:pPr>
        <w:ind w:left="360" w:hanging="360"/>
      </w:pPr>
      <w:rPr>
        <w:rFonts w:ascii="Symbol" w:hAnsi="Symbol" w:hint="default"/>
      </w:rPr>
    </w:lvl>
    <w:lvl w:ilvl="1" w:tplc="100C0003" w:tentative="1">
      <w:start w:val="1"/>
      <w:numFmt w:val="bullet"/>
      <w:lvlText w:val="o"/>
      <w:lvlJc w:val="left"/>
      <w:pPr>
        <w:ind w:left="1080" w:hanging="360"/>
      </w:pPr>
      <w:rPr>
        <w:rFonts w:ascii="Courier New" w:hAnsi="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65">
    <w:nsid w:val="50725C1B"/>
    <w:multiLevelType w:val="hybridMultilevel"/>
    <w:tmpl w:val="9ABA47F2"/>
    <w:lvl w:ilvl="0" w:tplc="0804E368">
      <w:start w:val="1"/>
      <w:numFmt w:val="bullet"/>
      <w:lvlText w:val="-"/>
      <w:lvlJc w:val="left"/>
      <w:pPr>
        <w:ind w:left="360" w:hanging="360"/>
      </w:pPr>
      <w:rPr>
        <w:rFonts w:ascii="Arial Narrow" w:eastAsia="Times New Roman" w:hAnsi="Arial Narrow" w:hint="default"/>
      </w:rPr>
    </w:lvl>
    <w:lvl w:ilvl="1" w:tplc="100C0003" w:tentative="1">
      <w:start w:val="1"/>
      <w:numFmt w:val="bullet"/>
      <w:lvlText w:val="o"/>
      <w:lvlJc w:val="left"/>
      <w:pPr>
        <w:ind w:left="1080" w:hanging="360"/>
      </w:pPr>
      <w:rPr>
        <w:rFonts w:ascii="Courier New" w:hAnsi="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66">
    <w:nsid w:val="545F0DC0"/>
    <w:multiLevelType w:val="hybridMultilevel"/>
    <w:tmpl w:val="6DF842FE"/>
    <w:lvl w:ilvl="0" w:tplc="04090001">
      <w:start w:val="1"/>
      <w:numFmt w:val="bullet"/>
      <w:lvlText w:val=""/>
      <w:lvlJc w:val="left"/>
      <w:pPr>
        <w:ind w:left="360" w:hanging="360"/>
      </w:pPr>
      <w:rPr>
        <w:rFonts w:ascii="Symbol" w:hAnsi="Symbol" w:hint="default"/>
      </w:rPr>
    </w:lvl>
    <w:lvl w:ilvl="1" w:tplc="100C0003" w:tentative="1">
      <w:start w:val="1"/>
      <w:numFmt w:val="bullet"/>
      <w:lvlText w:val="o"/>
      <w:lvlJc w:val="left"/>
      <w:pPr>
        <w:ind w:left="1080" w:hanging="360"/>
      </w:pPr>
      <w:rPr>
        <w:rFonts w:ascii="Courier New" w:hAnsi="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67">
    <w:nsid w:val="54B32556"/>
    <w:multiLevelType w:val="hybridMultilevel"/>
    <w:tmpl w:val="1EBEA1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8">
    <w:nsid w:val="553B77C3"/>
    <w:multiLevelType w:val="hybridMultilevel"/>
    <w:tmpl w:val="6E60ED6E"/>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69">
    <w:nsid w:val="58190A18"/>
    <w:multiLevelType w:val="hybridMultilevel"/>
    <w:tmpl w:val="E1D440D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0">
    <w:nsid w:val="589C2703"/>
    <w:multiLevelType w:val="hybridMultilevel"/>
    <w:tmpl w:val="1CAA0A84"/>
    <w:lvl w:ilvl="0" w:tplc="100C0001">
      <w:start w:val="1"/>
      <w:numFmt w:val="bullet"/>
      <w:lvlText w:val=""/>
      <w:lvlJc w:val="left"/>
      <w:pPr>
        <w:ind w:left="360" w:hanging="360"/>
      </w:pPr>
      <w:rPr>
        <w:rFonts w:ascii="Symbol" w:hAnsi="Symbol" w:hint="default"/>
      </w:rPr>
    </w:lvl>
    <w:lvl w:ilvl="1" w:tplc="100C0003" w:tentative="1">
      <w:start w:val="1"/>
      <w:numFmt w:val="bullet"/>
      <w:lvlText w:val="o"/>
      <w:lvlJc w:val="left"/>
      <w:pPr>
        <w:ind w:left="1080" w:hanging="360"/>
      </w:pPr>
      <w:rPr>
        <w:rFonts w:ascii="Courier New" w:hAnsi="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71">
    <w:nsid w:val="5947520D"/>
    <w:multiLevelType w:val="hybridMultilevel"/>
    <w:tmpl w:val="1CC64D94"/>
    <w:lvl w:ilvl="0" w:tplc="100C0001">
      <w:start w:val="1"/>
      <w:numFmt w:val="bullet"/>
      <w:lvlText w:val=""/>
      <w:lvlJc w:val="left"/>
      <w:pPr>
        <w:ind w:left="360" w:hanging="360"/>
      </w:pPr>
      <w:rPr>
        <w:rFonts w:ascii="Symbol" w:hAnsi="Symbol" w:hint="default"/>
      </w:rPr>
    </w:lvl>
    <w:lvl w:ilvl="1" w:tplc="100C0003" w:tentative="1">
      <w:start w:val="1"/>
      <w:numFmt w:val="bullet"/>
      <w:lvlText w:val="o"/>
      <w:lvlJc w:val="left"/>
      <w:pPr>
        <w:ind w:left="1080" w:hanging="360"/>
      </w:pPr>
      <w:rPr>
        <w:rFonts w:ascii="Courier New" w:hAnsi="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72">
    <w:nsid w:val="59AE295A"/>
    <w:multiLevelType w:val="hybridMultilevel"/>
    <w:tmpl w:val="2494883A"/>
    <w:lvl w:ilvl="0" w:tplc="0804E368">
      <w:start w:val="1"/>
      <w:numFmt w:val="bullet"/>
      <w:lvlText w:val="-"/>
      <w:lvlJc w:val="left"/>
      <w:pPr>
        <w:ind w:left="360" w:hanging="360"/>
      </w:pPr>
      <w:rPr>
        <w:rFonts w:ascii="Arial Narrow" w:eastAsia="Times New Roman" w:hAnsi="Arial Narrow" w:hint="default"/>
      </w:rPr>
    </w:lvl>
    <w:lvl w:ilvl="1" w:tplc="100C0003" w:tentative="1">
      <w:start w:val="1"/>
      <w:numFmt w:val="bullet"/>
      <w:lvlText w:val="o"/>
      <w:lvlJc w:val="left"/>
      <w:pPr>
        <w:ind w:left="1440" w:hanging="360"/>
      </w:pPr>
      <w:rPr>
        <w:rFonts w:ascii="Courier New" w:hAnsi="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73">
    <w:nsid w:val="5C5B57E8"/>
    <w:multiLevelType w:val="hybridMultilevel"/>
    <w:tmpl w:val="66A2B95C"/>
    <w:lvl w:ilvl="0" w:tplc="100C0001">
      <w:start w:val="1"/>
      <w:numFmt w:val="bullet"/>
      <w:lvlText w:val=""/>
      <w:lvlJc w:val="left"/>
      <w:pPr>
        <w:ind w:left="360" w:hanging="360"/>
      </w:pPr>
      <w:rPr>
        <w:rFonts w:ascii="Symbol" w:hAnsi="Symbol" w:hint="default"/>
      </w:rPr>
    </w:lvl>
    <w:lvl w:ilvl="1" w:tplc="100C0003" w:tentative="1">
      <w:start w:val="1"/>
      <w:numFmt w:val="bullet"/>
      <w:lvlText w:val="o"/>
      <w:lvlJc w:val="left"/>
      <w:pPr>
        <w:ind w:left="1080" w:hanging="360"/>
      </w:pPr>
      <w:rPr>
        <w:rFonts w:ascii="Courier New" w:hAnsi="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74">
    <w:nsid w:val="5D7D504B"/>
    <w:multiLevelType w:val="hybridMultilevel"/>
    <w:tmpl w:val="08A88936"/>
    <w:lvl w:ilvl="0" w:tplc="0409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75">
    <w:nsid w:val="5DE319D9"/>
    <w:multiLevelType w:val="hybridMultilevel"/>
    <w:tmpl w:val="A37E993C"/>
    <w:lvl w:ilvl="0" w:tplc="04090001">
      <w:start w:val="1"/>
      <w:numFmt w:val="bullet"/>
      <w:lvlText w:val=""/>
      <w:lvlJc w:val="left"/>
      <w:pPr>
        <w:ind w:left="360" w:hanging="360"/>
      </w:pPr>
      <w:rPr>
        <w:rFonts w:ascii="Symbol" w:hAnsi="Symbol" w:hint="default"/>
      </w:rPr>
    </w:lvl>
    <w:lvl w:ilvl="1" w:tplc="100C0003" w:tentative="1">
      <w:start w:val="1"/>
      <w:numFmt w:val="bullet"/>
      <w:lvlText w:val="o"/>
      <w:lvlJc w:val="left"/>
      <w:pPr>
        <w:ind w:left="1080" w:hanging="360"/>
      </w:pPr>
      <w:rPr>
        <w:rFonts w:ascii="Courier New" w:hAnsi="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76">
    <w:nsid w:val="5EAD69BA"/>
    <w:multiLevelType w:val="hybridMultilevel"/>
    <w:tmpl w:val="A12469FA"/>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77">
    <w:nsid w:val="61FE2010"/>
    <w:multiLevelType w:val="hybridMultilevel"/>
    <w:tmpl w:val="6302BDDE"/>
    <w:lvl w:ilvl="0" w:tplc="100C0001">
      <w:start w:val="1"/>
      <w:numFmt w:val="bullet"/>
      <w:lvlText w:val=""/>
      <w:lvlJc w:val="left"/>
      <w:pPr>
        <w:ind w:left="360" w:hanging="360"/>
      </w:pPr>
      <w:rPr>
        <w:rFonts w:ascii="Symbol" w:hAnsi="Symbol" w:hint="default"/>
      </w:rPr>
    </w:lvl>
    <w:lvl w:ilvl="1" w:tplc="100C0003" w:tentative="1">
      <w:start w:val="1"/>
      <w:numFmt w:val="bullet"/>
      <w:lvlText w:val="o"/>
      <w:lvlJc w:val="left"/>
      <w:pPr>
        <w:ind w:left="1080" w:hanging="360"/>
      </w:pPr>
      <w:rPr>
        <w:rFonts w:ascii="Courier New" w:hAnsi="Courier New" w:cs="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cs="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cs="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78">
    <w:nsid w:val="63F2026B"/>
    <w:multiLevelType w:val="hybridMultilevel"/>
    <w:tmpl w:val="BF524178"/>
    <w:lvl w:ilvl="0" w:tplc="E3FE2F40">
      <w:start w:val="1"/>
      <w:numFmt w:val="lowerRoman"/>
      <w:lvlText w:val="(%1)"/>
      <w:lvlJc w:val="left"/>
      <w:pPr>
        <w:ind w:left="360" w:hanging="360"/>
      </w:pPr>
      <w:rPr>
        <w:rFonts w:ascii="Times New Roman" w:eastAsia="Times New Roman" w:hAnsi="Times New Roman" w:cs="Times New Roman"/>
      </w:rPr>
    </w:lvl>
    <w:lvl w:ilvl="1" w:tplc="100C0003">
      <w:start w:val="1"/>
      <w:numFmt w:val="bullet"/>
      <w:lvlText w:val="o"/>
      <w:lvlJc w:val="left"/>
      <w:pPr>
        <w:ind w:left="1080" w:hanging="360"/>
      </w:pPr>
      <w:rPr>
        <w:rFonts w:ascii="Courier New" w:hAnsi="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79">
    <w:nsid w:val="65F10DC2"/>
    <w:multiLevelType w:val="hybridMultilevel"/>
    <w:tmpl w:val="5F244A64"/>
    <w:lvl w:ilvl="0" w:tplc="04090001">
      <w:start w:val="1"/>
      <w:numFmt w:val="bullet"/>
      <w:lvlText w:val=""/>
      <w:lvlJc w:val="left"/>
      <w:pPr>
        <w:ind w:left="360" w:hanging="360"/>
      </w:pPr>
      <w:rPr>
        <w:rFonts w:ascii="Symbol" w:hAnsi="Symbol" w:hint="default"/>
      </w:rPr>
    </w:lvl>
    <w:lvl w:ilvl="1" w:tplc="100C0003">
      <w:start w:val="1"/>
      <w:numFmt w:val="bullet"/>
      <w:lvlText w:val="o"/>
      <w:lvlJc w:val="left"/>
      <w:pPr>
        <w:ind w:left="1080" w:hanging="360"/>
      </w:pPr>
      <w:rPr>
        <w:rFonts w:ascii="Courier New" w:hAnsi="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80">
    <w:nsid w:val="67481051"/>
    <w:multiLevelType w:val="hybridMultilevel"/>
    <w:tmpl w:val="6B50770A"/>
    <w:lvl w:ilvl="0" w:tplc="100C0001">
      <w:start w:val="1"/>
      <w:numFmt w:val="bullet"/>
      <w:lvlText w:val=""/>
      <w:lvlJc w:val="left"/>
      <w:pPr>
        <w:ind w:left="720" w:hanging="360"/>
      </w:pPr>
      <w:rPr>
        <w:rFonts w:ascii="Symbol" w:hAnsi="Symbol" w:hint="default"/>
      </w:rPr>
    </w:lvl>
    <w:lvl w:ilvl="1" w:tplc="100C0003">
      <w:start w:val="1"/>
      <w:numFmt w:val="bullet"/>
      <w:lvlText w:val="o"/>
      <w:lvlJc w:val="left"/>
      <w:pPr>
        <w:ind w:left="1440" w:hanging="360"/>
      </w:pPr>
      <w:rPr>
        <w:rFonts w:ascii="Courier New" w:hAnsi="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81">
    <w:nsid w:val="68136BC1"/>
    <w:multiLevelType w:val="hybridMultilevel"/>
    <w:tmpl w:val="39E09AB0"/>
    <w:lvl w:ilvl="0" w:tplc="0804E368">
      <w:start w:val="1"/>
      <w:numFmt w:val="bullet"/>
      <w:lvlText w:val="-"/>
      <w:lvlJc w:val="left"/>
      <w:pPr>
        <w:ind w:left="360" w:hanging="360"/>
      </w:pPr>
      <w:rPr>
        <w:rFonts w:ascii="Arial Narrow" w:eastAsia="Times New Roman" w:hAnsi="Arial Narrow" w:hint="default"/>
      </w:rPr>
    </w:lvl>
    <w:lvl w:ilvl="1" w:tplc="100C0003" w:tentative="1">
      <w:start w:val="1"/>
      <w:numFmt w:val="bullet"/>
      <w:lvlText w:val="o"/>
      <w:lvlJc w:val="left"/>
      <w:pPr>
        <w:ind w:left="1080" w:hanging="360"/>
      </w:pPr>
      <w:rPr>
        <w:rFonts w:ascii="Courier New" w:hAnsi="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82">
    <w:nsid w:val="69BE6E5A"/>
    <w:multiLevelType w:val="hybridMultilevel"/>
    <w:tmpl w:val="69F684FE"/>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83">
    <w:nsid w:val="6A38329D"/>
    <w:multiLevelType w:val="hybridMultilevel"/>
    <w:tmpl w:val="F69ED6E0"/>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84">
    <w:nsid w:val="6C816E8F"/>
    <w:multiLevelType w:val="hybridMultilevel"/>
    <w:tmpl w:val="467E9B12"/>
    <w:lvl w:ilvl="0" w:tplc="0804E368">
      <w:start w:val="1"/>
      <w:numFmt w:val="bullet"/>
      <w:lvlText w:val="-"/>
      <w:lvlJc w:val="left"/>
      <w:pPr>
        <w:ind w:left="360" w:hanging="360"/>
      </w:pPr>
      <w:rPr>
        <w:rFonts w:ascii="Arial Narrow" w:eastAsia="Times New Roman" w:hAnsi="Arial Narrow" w:hint="default"/>
      </w:rPr>
    </w:lvl>
    <w:lvl w:ilvl="1" w:tplc="100C0003" w:tentative="1">
      <w:start w:val="1"/>
      <w:numFmt w:val="bullet"/>
      <w:lvlText w:val="o"/>
      <w:lvlJc w:val="left"/>
      <w:pPr>
        <w:ind w:left="1080" w:hanging="360"/>
      </w:pPr>
      <w:rPr>
        <w:rFonts w:ascii="Courier New" w:hAnsi="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85">
    <w:nsid w:val="6EA178CA"/>
    <w:multiLevelType w:val="hybridMultilevel"/>
    <w:tmpl w:val="527EFF9C"/>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86">
    <w:nsid w:val="6EA862C6"/>
    <w:multiLevelType w:val="hybridMultilevel"/>
    <w:tmpl w:val="1F8CAC40"/>
    <w:lvl w:ilvl="0" w:tplc="04090001">
      <w:start w:val="1"/>
      <w:numFmt w:val="bullet"/>
      <w:lvlText w:val=""/>
      <w:lvlJc w:val="left"/>
      <w:pPr>
        <w:ind w:left="360" w:hanging="360"/>
      </w:pPr>
      <w:rPr>
        <w:rFonts w:ascii="Symbol" w:hAnsi="Symbol" w:hint="default"/>
      </w:rPr>
    </w:lvl>
    <w:lvl w:ilvl="1" w:tplc="100C0003" w:tentative="1">
      <w:start w:val="1"/>
      <w:numFmt w:val="bullet"/>
      <w:lvlText w:val="o"/>
      <w:lvlJc w:val="left"/>
      <w:pPr>
        <w:ind w:left="1080" w:hanging="360"/>
      </w:pPr>
      <w:rPr>
        <w:rFonts w:ascii="Courier New" w:hAnsi="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87">
    <w:nsid w:val="6F334A67"/>
    <w:multiLevelType w:val="hybridMultilevel"/>
    <w:tmpl w:val="F7ECC286"/>
    <w:lvl w:ilvl="0" w:tplc="0804E368">
      <w:start w:val="1"/>
      <w:numFmt w:val="bullet"/>
      <w:lvlText w:val="-"/>
      <w:lvlJc w:val="left"/>
      <w:pPr>
        <w:ind w:left="360" w:hanging="360"/>
      </w:pPr>
      <w:rPr>
        <w:rFonts w:ascii="Arial Narrow" w:eastAsia="Times New Roman" w:hAnsi="Arial Narrow" w:hint="default"/>
      </w:rPr>
    </w:lvl>
    <w:lvl w:ilvl="1" w:tplc="100C0003">
      <w:start w:val="1"/>
      <w:numFmt w:val="bullet"/>
      <w:lvlText w:val="o"/>
      <w:lvlJc w:val="left"/>
      <w:pPr>
        <w:ind w:left="1080" w:hanging="360"/>
      </w:pPr>
      <w:rPr>
        <w:rFonts w:ascii="Courier New" w:hAnsi="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88">
    <w:nsid w:val="706C1CCC"/>
    <w:multiLevelType w:val="hybridMultilevel"/>
    <w:tmpl w:val="655E5A5E"/>
    <w:lvl w:ilvl="0" w:tplc="100C0001">
      <w:start w:val="1"/>
      <w:numFmt w:val="bullet"/>
      <w:lvlText w:val=""/>
      <w:lvlJc w:val="left"/>
      <w:pPr>
        <w:ind w:left="360" w:hanging="360"/>
      </w:pPr>
      <w:rPr>
        <w:rFonts w:ascii="Symbol" w:hAnsi="Symbol" w:hint="default"/>
      </w:rPr>
    </w:lvl>
    <w:lvl w:ilvl="1" w:tplc="100C0003" w:tentative="1">
      <w:start w:val="1"/>
      <w:numFmt w:val="bullet"/>
      <w:lvlText w:val="o"/>
      <w:lvlJc w:val="left"/>
      <w:pPr>
        <w:ind w:left="1080" w:hanging="360"/>
      </w:pPr>
      <w:rPr>
        <w:rFonts w:ascii="Courier New" w:hAnsi="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89">
    <w:nsid w:val="70C45354"/>
    <w:multiLevelType w:val="hybridMultilevel"/>
    <w:tmpl w:val="06C87746"/>
    <w:lvl w:ilvl="0" w:tplc="0409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90">
    <w:nsid w:val="71592C55"/>
    <w:multiLevelType w:val="hybridMultilevel"/>
    <w:tmpl w:val="D8C20DAC"/>
    <w:lvl w:ilvl="0" w:tplc="100C0001">
      <w:start w:val="1"/>
      <w:numFmt w:val="bullet"/>
      <w:lvlText w:val=""/>
      <w:lvlJc w:val="left"/>
      <w:pPr>
        <w:ind w:left="360" w:hanging="360"/>
      </w:pPr>
      <w:rPr>
        <w:rFonts w:ascii="Symbol" w:hAnsi="Symbol" w:hint="default"/>
      </w:rPr>
    </w:lvl>
    <w:lvl w:ilvl="1" w:tplc="100C0003">
      <w:start w:val="1"/>
      <w:numFmt w:val="bullet"/>
      <w:lvlText w:val="o"/>
      <w:lvlJc w:val="left"/>
      <w:pPr>
        <w:ind w:left="1080" w:hanging="360"/>
      </w:pPr>
      <w:rPr>
        <w:rFonts w:ascii="Courier New" w:hAnsi="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91">
    <w:nsid w:val="716F7D9C"/>
    <w:multiLevelType w:val="hybridMultilevel"/>
    <w:tmpl w:val="5036C1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2">
    <w:nsid w:val="73612235"/>
    <w:multiLevelType w:val="hybridMultilevel"/>
    <w:tmpl w:val="1FC63FCC"/>
    <w:lvl w:ilvl="0" w:tplc="0409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93">
    <w:nsid w:val="738515D4"/>
    <w:multiLevelType w:val="hybridMultilevel"/>
    <w:tmpl w:val="2E7CCB4E"/>
    <w:lvl w:ilvl="0" w:tplc="04090001">
      <w:start w:val="1"/>
      <w:numFmt w:val="bullet"/>
      <w:lvlText w:val=""/>
      <w:lvlJc w:val="left"/>
      <w:pPr>
        <w:ind w:left="360" w:hanging="360"/>
      </w:pPr>
      <w:rPr>
        <w:rFonts w:ascii="Symbol" w:hAnsi="Symbol" w:hint="default"/>
      </w:rPr>
    </w:lvl>
    <w:lvl w:ilvl="1" w:tplc="100C0003" w:tentative="1">
      <w:start w:val="1"/>
      <w:numFmt w:val="bullet"/>
      <w:lvlText w:val="o"/>
      <w:lvlJc w:val="left"/>
      <w:pPr>
        <w:ind w:left="1080" w:hanging="360"/>
      </w:pPr>
      <w:rPr>
        <w:rFonts w:ascii="Courier New" w:hAnsi="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94">
    <w:nsid w:val="73FD0524"/>
    <w:multiLevelType w:val="hybridMultilevel"/>
    <w:tmpl w:val="E96ECB80"/>
    <w:lvl w:ilvl="0" w:tplc="0804E368">
      <w:start w:val="1"/>
      <w:numFmt w:val="bullet"/>
      <w:lvlText w:val="-"/>
      <w:lvlJc w:val="left"/>
      <w:pPr>
        <w:ind w:left="360" w:hanging="360"/>
      </w:pPr>
      <w:rPr>
        <w:rFonts w:ascii="Arial Narrow" w:eastAsia="Times New Roman" w:hAnsi="Arial Narrow" w:hint="default"/>
      </w:rPr>
    </w:lvl>
    <w:lvl w:ilvl="1" w:tplc="100C0003" w:tentative="1">
      <w:start w:val="1"/>
      <w:numFmt w:val="bullet"/>
      <w:lvlText w:val="o"/>
      <w:lvlJc w:val="left"/>
      <w:pPr>
        <w:ind w:left="1080" w:hanging="360"/>
      </w:pPr>
      <w:rPr>
        <w:rFonts w:ascii="Courier New" w:hAnsi="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95">
    <w:nsid w:val="76881475"/>
    <w:multiLevelType w:val="hybridMultilevel"/>
    <w:tmpl w:val="E5AA2FAA"/>
    <w:lvl w:ilvl="0" w:tplc="04090001">
      <w:start w:val="1"/>
      <w:numFmt w:val="bullet"/>
      <w:lvlText w:val=""/>
      <w:lvlJc w:val="left"/>
      <w:pPr>
        <w:ind w:left="360" w:hanging="360"/>
      </w:pPr>
      <w:rPr>
        <w:rFonts w:ascii="Symbol" w:hAnsi="Symbol" w:hint="default"/>
      </w:rPr>
    </w:lvl>
    <w:lvl w:ilvl="1" w:tplc="100C0003" w:tentative="1">
      <w:start w:val="1"/>
      <w:numFmt w:val="bullet"/>
      <w:lvlText w:val="o"/>
      <w:lvlJc w:val="left"/>
      <w:pPr>
        <w:ind w:left="1080" w:hanging="360"/>
      </w:pPr>
      <w:rPr>
        <w:rFonts w:ascii="Courier New" w:hAnsi="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96">
    <w:nsid w:val="77403703"/>
    <w:multiLevelType w:val="hybridMultilevel"/>
    <w:tmpl w:val="5F325BD4"/>
    <w:lvl w:ilvl="0" w:tplc="0804E368">
      <w:start w:val="1"/>
      <w:numFmt w:val="bullet"/>
      <w:lvlText w:val="-"/>
      <w:lvlJc w:val="left"/>
      <w:pPr>
        <w:ind w:left="720" w:hanging="360"/>
      </w:pPr>
      <w:rPr>
        <w:rFonts w:ascii="Arial Narrow" w:eastAsia="Times New Roman" w:hAnsi="Arial Narrow" w:hint="default"/>
      </w:rPr>
    </w:lvl>
    <w:lvl w:ilvl="1" w:tplc="100C0003" w:tentative="1">
      <w:start w:val="1"/>
      <w:numFmt w:val="bullet"/>
      <w:lvlText w:val="o"/>
      <w:lvlJc w:val="left"/>
      <w:pPr>
        <w:ind w:left="1440" w:hanging="360"/>
      </w:pPr>
      <w:rPr>
        <w:rFonts w:ascii="Courier New" w:hAnsi="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97">
    <w:nsid w:val="77BC2B38"/>
    <w:multiLevelType w:val="hybridMultilevel"/>
    <w:tmpl w:val="7CA8A5CE"/>
    <w:lvl w:ilvl="0" w:tplc="04090001">
      <w:start w:val="1"/>
      <w:numFmt w:val="bullet"/>
      <w:lvlText w:val=""/>
      <w:lvlJc w:val="left"/>
      <w:pPr>
        <w:ind w:left="360" w:hanging="360"/>
      </w:pPr>
      <w:rPr>
        <w:rFonts w:ascii="Symbol" w:hAnsi="Symbol" w:hint="default"/>
      </w:rPr>
    </w:lvl>
    <w:lvl w:ilvl="1" w:tplc="100C0003" w:tentative="1">
      <w:start w:val="1"/>
      <w:numFmt w:val="bullet"/>
      <w:lvlText w:val="o"/>
      <w:lvlJc w:val="left"/>
      <w:pPr>
        <w:ind w:left="1080" w:hanging="360"/>
      </w:pPr>
      <w:rPr>
        <w:rFonts w:ascii="Courier New" w:hAnsi="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98">
    <w:nsid w:val="784E2D05"/>
    <w:multiLevelType w:val="hybridMultilevel"/>
    <w:tmpl w:val="B3C40704"/>
    <w:lvl w:ilvl="0" w:tplc="0804E368">
      <w:start w:val="1"/>
      <w:numFmt w:val="bullet"/>
      <w:lvlText w:val="-"/>
      <w:lvlJc w:val="left"/>
      <w:pPr>
        <w:ind w:left="360" w:hanging="360"/>
      </w:pPr>
      <w:rPr>
        <w:rFonts w:ascii="Arial Narrow" w:eastAsia="Times New Roman" w:hAnsi="Arial Narrow" w:hint="default"/>
      </w:rPr>
    </w:lvl>
    <w:lvl w:ilvl="1" w:tplc="100C0003" w:tentative="1">
      <w:start w:val="1"/>
      <w:numFmt w:val="bullet"/>
      <w:lvlText w:val="o"/>
      <w:lvlJc w:val="left"/>
      <w:pPr>
        <w:ind w:left="1080" w:hanging="360"/>
      </w:pPr>
      <w:rPr>
        <w:rFonts w:ascii="Courier New" w:hAnsi="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99">
    <w:nsid w:val="78651CC5"/>
    <w:multiLevelType w:val="hybridMultilevel"/>
    <w:tmpl w:val="D26AB376"/>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00">
    <w:nsid w:val="78BF04B1"/>
    <w:multiLevelType w:val="hybridMultilevel"/>
    <w:tmpl w:val="78D4DA24"/>
    <w:lvl w:ilvl="0" w:tplc="100C0001">
      <w:start w:val="1"/>
      <w:numFmt w:val="bullet"/>
      <w:lvlText w:val=""/>
      <w:lvlJc w:val="left"/>
      <w:pPr>
        <w:ind w:left="360" w:hanging="360"/>
      </w:pPr>
      <w:rPr>
        <w:rFonts w:ascii="Symbol" w:hAnsi="Symbol" w:hint="default"/>
      </w:rPr>
    </w:lvl>
    <w:lvl w:ilvl="1" w:tplc="100C0003">
      <w:start w:val="1"/>
      <w:numFmt w:val="bullet"/>
      <w:lvlText w:val="o"/>
      <w:lvlJc w:val="left"/>
      <w:pPr>
        <w:ind w:left="1080" w:hanging="360"/>
      </w:pPr>
      <w:rPr>
        <w:rFonts w:ascii="Courier New" w:hAnsi="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101">
    <w:nsid w:val="790E5D10"/>
    <w:multiLevelType w:val="hybridMultilevel"/>
    <w:tmpl w:val="F4B0C24A"/>
    <w:lvl w:ilvl="0" w:tplc="0804E368">
      <w:start w:val="1"/>
      <w:numFmt w:val="bullet"/>
      <w:lvlText w:val="-"/>
      <w:lvlJc w:val="left"/>
      <w:pPr>
        <w:ind w:left="360" w:hanging="360"/>
      </w:pPr>
      <w:rPr>
        <w:rFonts w:ascii="Arial Narrow" w:eastAsia="Times New Roman" w:hAnsi="Arial Narrow" w:hint="default"/>
      </w:rPr>
    </w:lvl>
    <w:lvl w:ilvl="1" w:tplc="100C0003" w:tentative="1">
      <w:start w:val="1"/>
      <w:numFmt w:val="bullet"/>
      <w:lvlText w:val="o"/>
      <w:lvlJc w:val="left"/>
      <w:pPr>
        <w:ind w:left="1080" w:hanging="360"/>
      </w:pPr>
      <w:rPr>
        <w:rFonts w:ascii="Courier New" w:hAnsi="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102">
    <w:nsid w:val="7A0F660A"/>
    <w:multiLevelType w:val="hybridMultilevel"/>
    <w:tmpl w:val="7054E6EC"/>
    <w:lvl w:ilvl="0" w:tplc="0804E368">
      <w:start w:val="1"/>
      <w:numFmt w:val="bullet"/>
      <w:lvlText w:val="-"/>
      <w:lvlJc w:val="left"/>
      <w:pPr>
        <w:ind w:left="360" w:hanging="360"/>
      </w:pPr>
      <w:rPr>
        <w:rFonts w:ascii="Arial Narrow" w:eastAsia="Times New Roman" w:hAnsi="Arial Narrow" w:hint="default"/>
      </w:rPr>
    </w:lvl>
    <w:lvl w:ilvl="1" w:tplc="100C0003" w:tentative="1">
      <w:start w:val="1"/>
      <w:numFmt w:val="bullet"/>
      <w:lvlText w:val="o"/>
      <w:lvlJc w:val="left"/>
      <w:pPr>
        <w:ind w:left="1080" w:hanging="360"/>
      </w:pPr>
      <w:rPr>
        <w:rFonts w:ascii="Courier New" w:hAnsi="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103">
    <w:nsid w:val="7C1044DF"/>
    <w:multiLevelType w:val="hybridMultilevel"/>
    <w:tmpl w:val="D9B694DC"/>
    <w:lvl w:ilvl="0" w:tplc="04090001">
      <w:start w:val="1"/>
      <w:numFmt w:val="bullet"/>
      <w:lvlText w:val=""/>
      <w:lvlJc w:val="left"/>
      <w:pPr>
        <w:ind w:left="360" w:hanging="360"/>
      </w:pPr>
      <w:rPr>
        <w:rFonts w:ascii="Symbol" w:hAnsi="Symbol" w:hint="default"/>
      </w:rPr>
    </w:lvl>
    <w:lvl w:ilvl="1" w:tplc="100C0003" w:tentative="1">
      <w:start w:val="1"/>
      <w:numFmt w:val="bullet"/>
      <w:lvlText w:val="o"/>
      <w:lvlJc w:val="left"/>
      <w:pPr>
        <w:ind w:left="1080" w:hanging="360"/>
      </w:pPr>
      <w:rPr>
        <w:rFonts w:ascii="Courier New" w:hAnsi="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hint="default"/>
      </w:rPr>
    </w:lvl>
    <w:lvl w:ilvl="8" w:tplc="100C0005" w:tentative="1">
      <w:start w:val="1"/>
      <w:numFmt w:val="bullet"/>
      <w:lvlText w:val=""/>
      <w:lvlJc w:val="left"/>
      <w:pPr>
        <w:ind w:left="6120" w:hanging="360"/>
      </w:pPr>
      <w:rPr>
        <w:rFonts w:ascii="Wingdings" w:hAnsi="Wingdings" w:hint="default"/>
      </w:rPr>
    </w:lvl>
  </w:abstractNum>
  <w:num w:numId="1">
    <w:abstractNumId w:val="48"/>
  </w:num>
  <w:num w:numId="2">
    <w:abstractNumId w:val="21"/>
  </w:num>
  <w:num w:numId="3">
    <w:abstractNumId w:val="87"/>
  </w:num>
  <w:num w:numId="4">
    <w:abstractNumId w:val="46"/>
  </w:num>
  <w:num w:numId="5">
    <w:abstractNumId w:val="96"/>
  </w:num>
  <w:num w:numId="6">
    <w:abstractNumId w:val="101"/>
  </w:num>
  <w:num w:numId="7">
    <w:abstractNumId w:val="11"/>
  </w:num>
  <w:num w:numId="8">
    <w:abstractNumId w:val="42"/>
  </w:num>
  <w:num w:numId="9">
    <w:abstractNumId w:val="65"/>
  </w:num>
  <w:num w:numId="10">
    <w:abstractNumId w:val="102"/>
  </w:num>
  <w:num w:numId="11">
    <w:abstractNumId w:val="81"/>
  </w:num>
  <w:num w:numId="12">
    <w:abstractNumId w:val="94"/>
  </w:num>
  <w:num w:numId="13">
    <w:abstractNumId w:val="3"/>
  </w:num>
  <w:num w:numId="14">
    <w:abstractNumId w:val="98"/>
  </w:num>
  <w:num w:numId="15">
    <w:abstractNumId w:val="52"/>
  </w:num>
  <w:num w:numId="16">
    <w:abstractNumId w:val="67"/>
  </w:num>
  <w:num w:numId="17">
    <w:abstractNumId w:val="99"/>
  </w:num>
  <w:num w:numId="18">
    <w:abstractNumId w:val="34"/>
  </w:num>
  <w:num w:numId="19">
    <w:abstractNumId w:val="69"/>
  </w:num>
  <w:num w:numId="20">
    <w:abstractNumId w:val="63"/>
  </w:num>
  <w:num w:numId="21">
    <w:abstractNumId w:val="26"/>
  </w:num>
  <w:num w:numId="22">
    <w:abstractNumId w:val="62"/>
  </w:num>
  <w:num w:numId="23">
    <w:abstractNumId w:val="100"/>
  </w:num>
  <w:num w:numId="24">
    <w:abstractNumId w:val="57"/>
  </w:num>
  <w:num w:numId="25">
    <w:abstractNumId w:val="17"/>
  </w:num>
  <w:num w:numId="26">
    <w:abstractNumId w:val="6"/>
  </w:num>
  <w:num w:numId="27">
    <w:abstractNumId w:val="38"/>
  </w:num>
  <w:num w:numId="28">
    <w:abstractNumId w:val="88"/>
  </w:num>
  <w:num w:numId="29">
    <w:abstractNumId w:val="70"/>
  </w:num>
  <w:num w:numId="30">
    <w:abstractNumId w:val="39"/>
  </w:num>
  <w:num w:numId="31">
    <w:abstractNumId w:val="14"/>
  </w:num>
  <w:num w:numId="32">
    <w:abstractNumId w:val="55"/>
  </w:num>
  <w:num w:numId="33">
    <w:abstractNumId w:val="4"/>
  </w:num>
  <w:num w:numId="34">
    <w:abstractNumId w:val="82"/>
  </w:num>
  <w:num w:numId="35">
    <w:abstractNumId w:val="85"/>
  </w:num>
  <w:num w:numId="36">
    <w:abstractNumId w:val="49"/>
  </w:num>
  <w:num w:numId="37">
    <w:abstractNumId w:val="54"/>
  </w:num>
  <w:num w:numId="38">
    <w:abstractNumId w:val="2"/>
  </w:num>
  <w:num w:numId="39">
    <w:abstractNumId w:val="24"/>
  </w:num>
  <w:num w:numId="40">
    <w:abstractNumId w:val="84"/>
  </w:num>
  <w:num w:numId="41">
    <w:abstractNumId w:val="72"/>
  </w:num>
  <w:num w:numId="42">
    <w:abstractNumId w:val="32"/>
  </w:num>
  <w:num w:numId="43">
    <w:abstractNumId w:val="51"/>
  </w:num>
  <w:num w:numId="44">
    <w:abstractNumId w:val="71"/>
  </w:num>
  <w:num w:numId="45">
    <w:abstractNumId w:val="40"/>
  </w:num>
  <w:num w:numId="46">
    <w:abstractNumId w:val="19"/>
  </w:num>
  <w:num w:numId="47">
    <w:abstractNumId w:val="64"/>
  </w:num>
  <w:num w:numId="48">
    <w:abstractNumId w:val="45"/>
  </w:num>
  <w:num w:numId="49">
    <w:abstractNumId w:val="12"/>
  </w:num>
  <w:num w:numId="50">
    <w:abstractNumId w:val="41"/>
  </w:num>
  <w:num w:numId="51">
    <w:abstractNumId w:val="76"/>
  </w:num>
  <w:num w:numId="52">
    <w:abstractNumId w:val="31"/>
  </w:num>
  <w:num w:numId="53">
    <w:abstractNumId w:val="23"/>
  </w:num>
  <w:num w:numId="54">
    <w:abstractNumId w:val="36"/>
  </w:num>
  <w:num w:numId="5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47"/>
  </w:num>
  <w:num w:numId="75">
    <w:abstractNumId w:val="43"/>
  </w:num>
  <w:num w:numId="76">
    <w:abstractNumId w:val="0"/>
  </w:num>
  <w:num w:numId="77">
    <w:abstractNumId w:val="86"/>
  </w:num>
  <w:num w:numId="78">
    <w:abstractNumId w:val="74"/>
  </w:num>
  <w:num w:numId="79">
    <w:abstractNumId w:val="92"/>
  </w:num>
  <w:num w:numId="80">
    <w:abstractNumId w:val="18"/>
  </w:num>
  <w:num w:numId="81">
    <w:abstractNumId w:val="66"/>
  </w:num>
  <w:num w:numId="82">
    <w:abstractNumId w:val="95"/>
  </w:num>
  <w:num w:numId="83">
    <w:abstractNumId w:val="30"/>
  </w:num>
  <w:num w:numId="84">
    <w:abstractNumId w:val="93"/>
  </w:num>
  <w:num w:numId="85">
    <w:abstractNumId w:val="75"/>
  </w:num>
  <w:num w:numId="86">
    <w:abstractNumId w:val="103"/>
  </w:num>
  <w:num w:numId="87">
    <w:abstractNumId w:val="29"/>
  </w:num>
  <w:num w:numId="88">
    <w:abstractNumId w:val="28"/>
  </w:num>
  <w:num w:numId="89">
    <w:abstractNumId w:val="22"/>
  </w:num>
  <w:num w:numId="90">
    <w:abstractNumId w:val="73"/>
  </w:num>
  <w:num w:numId="91">
    <w:abstractNumId w:val="15"/>
  </w:num>
  <w:num w:numId="92">
    <w:abstractNumId w:val="50"/>
  </w:num>
  <w:num w:numId="93">
    <w:abstractNumId w:val="61"/>
  </w:num>
  <w:num w:numId="94">
    <w:abstractNumId w:val="27"/>
  </w:num>
  <w:num w:numId="95">
    <w:abstractNumId w:val="10"/>
  </w:num>
  <w:num w:numId="96">
    <w:abstractNumId w:val="97"/>
  </w:num>
  <w:num w:numId="97">
    <w:abstractNumId w:val="5"/>
  </w:num>
  <w:num w:numId="98">
    <w:abstractNumId w:val="1"/>
  </w:num>
  <w:num w:numId="99">
    <w:abstractNumId w:val="44"/>
  </w:num>
  <w:num w:numId="100">
    <w:abstractNumId w:val="79"/>
  </w:num>
  <w:num w:numId="101">
    <w:abstractNumId w:val="37"/>
  </w:num>
  <w:num w:numId="102">
    <w:abstractNumId w:val="53"/>
  </w:num>
  <w:num w:numId="103">
    <w:abstractNumId w:val="59"/>
  </w:num>
  <w:num w:numId="104">
    <w:abstractNumId w:val="89"/>
  </w:num>
  <w:num w:numId="105">
    <w:abstractNumId w:val="16"/>
  </w:num>
  <w:num w:numId="106">
    <w:abstractNumId w:val="35"/>
  </w:num>
  <w:num w:numId="107">
    <w:abstractNumId w:val="78"/>
  </w:num>
  <w:num w:numId="108">
    <w:abstractNumId w:val="25"/>
  </w:num>
  <w:num w:numId="109">
    <w:abstractNumId w:val="7"/>
  </w:num>
  <w:num w:numId="110">
    <w:abstractNumId w:val="58"/>
  </w:num>
  <w:num w:numId="111">
    <w:abstractNumId w:val="33"/>
  </w:num>
  <w:num w:numId="112">
    <w:abstractNumId w:val="8"/>
  </w:num>
  <w:num w:numId="113">
    <w:abstractNumId w:val="13"/>
  </w:num>
  <w:num w:numId="114">
    <w:abstractNumId w:val="80"/>
  </w:num>
  <w:num w:numId="115">
    <w:abstractNumId w:val="68"/>
  </w:num>
  <w:num w:numId="116">
    <w:abstractNumId w:val="9"/>
  </w:num>
  <w:num w:numId="117">
    <w:abstractNumId w:val="90"/>
  </w:num>
  <w:num w:numId="118">
    <w:abstractNumId w:val="60"/>
  </w:num>
  <w:num w:numId="119">
    <w:abstractNumId w:val="77"/>
  </w:num>
  <w:num w:numId="120">
    <w:abstractNumId w:val="20"/>
  </w:num>
  <w:num w:numId="121">
    <w:abstractNumId w:val="83"/>
  </w:num>
  <w:num w:numId="122">
    <w:abstractNumId w:val="56"/>
  </w:num>
  <w:num w:numId="123">
    <w:abstractNumId w:val="91"/>
  </w:num>
  <w:numIdMacAtCleanup w:val="1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720"/>
  <w:hyphenationZone w:val="425"/>
  <w:characterSpacingControl w:val="doNotCompress"/>
  <w:hdrShapeDefaults>
    <o:shapedefaults v:ext="edit" spidmax="4097">
      <v:textbox inset="5.85pt,.7pt,5.85pt,.7pt"/>
    </o:shapedefaults>
  </w:hdrShapeDefaults>
  <w:footnotePr>
    <w:footnote w:id="-1"/>
    <w:footnote w:id="0"/>
  </w:footnotePr>
  <w:endnotePr>
    <w:endnote w:id="-1"/>
    <w:endnote w:id="0"/>
  </w:endnotePr>
  <w:compat>
    <w:useFELayout/>
  </w:compat>
  <w:rsids>
    <w:rsidRoot w:val="00D8499E"/>
    <w:rsid w:val="000002EA"/>
    <w:rsid w:val="00000B2F"/>
    <w:rsid w:val="00000BF8"/>
    <w:rsid w:val="00002B34"/>
    <w:rsid w:val="00003886"/>
    <w:rsid w:val="00003A5D"/>
    <w:rsid w:val="00004CB1"/>
    <w:rsid w:val="00004E7E"/>
    <w:rsid w:val="00010119"/>
    <w:rsid w:val="00011139"/>
    <w:rsid w:val="00011308"/>
    <w:rsid w:val="00012534"/>
    <w:rsid w:val="00013794"/>
    <w:rsid w:val="00015F50"/>
    <w:rsid w:val="000161E8"/>
    <w:rsid w:val="00017C04"/>
    <w:rsid w:val="00020CFE"/>
    <w:rsid w:val="000229BF"/>
    <w:rsid w:val="00022C4D"/>
    <w:rsid w:val="00025487"/>
    <w:rsid w:val="000254E8"/>
    <w:rsid w:val="00027F3F"/>
    <w:rsid w:val="0003038C"/>
    <w:rsid w:val="000336BD"/>
    <w:rsid w:val="00036BAA"/>
    <w:rsid w:val="00036F77"/>
    <w:rsid w:val="00037125"/>
    <w:rsid w:val="00040528"/>
    <w:rsid w:val="00043106"/>
    <w:rsid w:val="00043A21"/>
    <w:rsid w:val="000477D1"/>
    <w:rsid w:val="00051B6B"/>
    <w:rsid w:val="00051BF6"/>
    <w:rsid w:val="00056A5D"/>
    <w:rsid w:val="00062F59"/>
    <w:rsid w:val="0006723E"/>
    <w:rsid w:val="00067A22"/>
    <w:rsid w:val="00067B02"/>
    <w:rsid w:val="00071C12"/>
    <w:rsid w:val="00072FD5"/>
    <w:rsid w:val="00073813"/>
    <w:rsid w:val="00073988"/>
    <w:rsid w:val="00073EF5"/>
    <w:rsid w:val="00076500"/>
    <w:rsid w:val="0007709E"/>
    <w:rsid w:val="00077505"/>
    <w:rsid w:val="00080655"/>
    <w:rsid w:val="00081C3C"/>
    <w:rsid w:val="00081DD9"/>
    <w:rsid w:val="00081E69"/>
    <w:rsid w:val="00083481"/>
    <w:rsid w:val="00085641"/>
    <w:rsid w:val="00086045"/>
    <w:rsid w:val="0009625D"/>
    <w:rsid w:val="0009683B"/>
    <w:rsid w:val="000977DB"/>
    <w:rsid w:val="00097C50"/>
    <w:rsid w:val="000A3681"/>
    <w:rsid w:val="000A4A35"/>
    <w:rsid w:val="000A5B20"/>
    <w:rsid w:val="000A5C25"/>
    <w:rsid w:val="000A60C9"/>
    <w:rsid w:val="000B0C04"/>
    <w:rsid w:val="000B2574"/>
    <w:rsid w:val="000B2A3F"/>
    <w:rsid w:val="000B31A0"/>
    <w:rsid w:val="000B73D2"/>
    <w:rsid w:val="000C132B"/>
    <w:rsid w:val="000C3023"/>
    <w:rsid w:val="000C432E"/>
    <w:rsid w:val="000C4441"/>
    <w:rsid w:val="000C4692"/>
    <w:rsid w:val="000C621E"/>
    <w:rsid w:val="000C6B73"/>
    <w:rsid w:val="000D089A"/>
    <w:rsid w:val="000D0E74"/>
    <w:rsid w:val="000D241E"/>
    <w:rsid w:val="000D4522"/>
    <w:rsid w:val="000E0076"/>
    <w:rsid w:val="000E0FED"/>
    <w:rsid w:val="000E221F"/>
    <w:rsid w:val="000E3247"/>
    <w:rsid w:val="000E34C1"/>
    <w:rsid w:val="000E4A75"/>
    <w:rsid w:val="000E72C9"/>
    <w:rsid w:val="000F1771"/>
    <w:rsid w:val="000F2CD6"/>
    <w:rsid w:val="000F301F"/>
    <w:rsid w:val="000F3255"/>
    <w:rsid w:val="000F3C2D"/>
    <w:rsid w:val="000F766B"/>
    <w:rsid w:val="000F7D2C"/>
    <w:rsid w:val="00106384"/>
    <w:rsid w:val="001078BA"/>
    <w:rsid w:val="001106AA"/>
    <w:rsid w:val="00110989"/>
    <w:rsid w:val="00112EE1"/>
    <w:rsid w:val="001139D7"/>
    <w:rsid w:val="0011421B"/>
    <w:rsid w:val="0012192A"/>
    <w:rsid w:val="0012378A"/>
    <w:rsid w:val="00125434"/>
    <w:rsid w:val="00125EE0"/>
    <w:rsid w:val="001261FB"/>
    <w:rsid w:val="00126C3E"/>
    <w:rsid w:val="0012736D"/>
    <w:rsid w:val="00127986"/>
    <w:rsid w:val="00127D47"/>
    <w:rsid w:val="00130567"/>
    <w:rsid w:val="00130C38"/>
    <w:rsid w:val="001319DB"/>
    <w:rsid w:val="00133D07"/>
    <w:rsid w:val="00134010"/>
    <w:rsid w:val="00136628"/>
    <w:rsid w:val="001369EB"/>
    <w:rsid w:val="001373F2"/>
    <w:rsid w:val="001403BA"/>
    <w:rsid w:val="00142A77"/>
    <w:rsid w:val="00142D34"/>
    <w:rsid w:val="00144AE4"/>
    <w:rsid w:val="001450E9"/>
    <w:rsid w:val="001465FC"/>
    <w:rsid w:val="00146728"/>
    <w:rsid w:val="0015221A"/>
    <w:rsid w:val="00152BDA"/>
    <w:rsid w:val="00153BAA"/>
    <w:rsid w:val="00153F5B"/>
    <w:rsid w:val="0015514A"/>
    <w:rsid w:val="00157211"/>
    <w:rsid w:val="001601C0"/>
    <w:rsid w:val="001607FD"/>
    <w:rsid w:val="00161598"/>
    <w:rsid w:val="001620AF"/>
    <w:rsid w:val="00163461"/>
    <w:rsid w:val="00164671"/>
    <w:rsid w:val="00165B2F"/>
    <w:rsid w:val="0016777C"/>
    <w:rsid w:val="00170C14"/>
    <w:rsid w:val="001712E9"/>
    <w:rsid w:val="001728B0"/>
    <w:rsid w:val="0017398B"/>
    <w:rsid w:val="001740B7"/>
    <w:rsid w:val="0017450E"/>
    <w:rsid w:val="00176224"/>
    <w:rsid w:val="00176C02"/>
    <w:rsid w:val="00180E6C"/>
    <w:rsid w:val="00182AD3"/>
    <w:rsid w:val="001835AE"/>
    <w:rsid w:val="001840FD"/>
    <w:rsid w:val="001848D3"/>
    <w:rsid w:val="00186CF6"/>
    <w:rsid w:val="00191951"/>
    <w:rsid w:val="0019659E"/>
    <w:rsid w:val="001A11F4"/>
    <w:rsid w:val="001A1B9E"/>
    <w:rsid w:val="001A4D3E"/>
    <w:rsid w:val="001A684F"/>
    <w:rsid w:val="001A79F9"/>
    <w:rsid w:val="001B0201"/>
    <w:rsid w:val="001B0BD8"/>
    <w:rsid w:val="001B2070"/>
    <w:rsid w:val="001B24D4"/>
    <w:rsid w:val="001B2BE8"/>
    <w:rsid w:val="001B3B44"/>
    <w:rsid w:val="001B6D60"/>
    <w:rsid w:val="001C0075"/>
    <w:rsid w:val="001C1DD2"/>
    <w:rsid w:val="001C283B"/>
    <w:rsid w:val="001C3A84"/>
    <w:rsid w:val="001C461F"/>
    <w:rsid w:val="001D01C7"/>
    <w:rsid w:val="001D1D0C"/>
    <w:rsid w:val="001D3069"/>
    <w:rsid w:val="001D3842"/>
    <w:rsid w:val="001D3B67"/>
    <w:rsid w:val="001D642A"/>
    <w:rsid w:val="001D6A3A"/>
    <w:rsid w:val="001D70C5"/>
    <w:rsid w:val="001E0036"/>
    <w:rsid w:val="001E054A"/>
    <w:rsid w:val="001E16B9"/>
    <w:rsid w:val="001E4285"/>
    <w:rsid w:val="001E56EB"/>
    <w:rsid w:val="001E5AB2"/>
    <w:rsid w:val="001F4940"/>
    <w:rsid w:val="001F53BF"/>
    <w:rsid w:val="001F5F83"/>
    <w:rsid w:val="001F6A91"/>
    <w:rsid w:val="001F7D0F"/>
    <w:rsid w:val="00205844"/>
    <w:rsid w:val="00205E79"/>
    <w:rsid w:val="0020600C"/>
    <w:rsid w:val="00207A96"/>
    <w:rsid w:val="002116FE"/>
    <w:rsid w:val="00215997"/>
    <w:rsid w:val="00215A6E"/>
    <w:rsid w:val="00215C3A"/>
    <w:rsid w:val="00215DD9"/>
    <w:rsid w:val="00215ED0"/>
    <w:rsid w:val="002200C3"/>
    <w:rsid w:val="00220DB4"/>
    <w:rsid w:val="002213AE"/>
    <w:rsid w:val="002321AC"/>
    <w:rsid w:val="00234F9C"/>
    <w:rsid w:val="00236D58"/>
    <w:rsid w:val="00237ACB"/>
    <w:rsid w:val="00240EAF"/>
    <w:rsid w:val="0024257F"/>
    <w:rsid w:val="00244500"/>
    <w:rsid w:val="002453EE"/>
    <w:rsid w:val="002466E2"/>
    <w:rsid w:val="00246F54"/>
    <w:rsid w:val="00250BF4"/>
    <w:rsid w:val="00255385"/>
    <w:rsid w:val="00257F39"/>
    <w:rsid w:val="00261237"/>
    <w:rsid w:val="0026352B"/>
    <w:rsid w:val="00266410"/>
    <w:rsid w:val="00270B2E"/>
    <w:rsid w:val="00270FB0"/>
    <w:rsid w:val="002719D2"/>
    <w:rsid w:val="00272F19"/>
    <w:rsid w:val="00273447"/>
    <w:rsid w:val="00274864"/>
    <w:rsid w:val="002825BF"/>
    <w:rsid w:val="00284975"/>
    <w:rsid w:val="00285892"/>
    <w:rsid w:val="00290B25"/>
    <w:rsid w:val="0029304E"/>
    <w:rsid w:val="00293792"/>
    <w:rsid w:val="00294239"/>
    <w:rsid w:val="00295330"/>
    <w:rsid w:val="00295800"/>
    <w:rsid w:val="00296F73"/>
    <w:rsid w:val="002A08F0"/>
    <w:rsid w:val="002A0F86"/>
    <w:rsid w:val="002A1336"/>
    <w:rsid w:val="002A2DF3"/>
    <w:rsid w:val="002A373A"/>
    <w:rsid w:val="002A54F9"/>
    <w:rsid w:val="002A7A02"/>
    <w:rsid w:val="002B2C21"/>
    <w:rsid w:val="002B40AD"/>
    <w:rsid w:val="002B437E"/>
    <w:rsid w:val="002C3496"/>
    <w:rsid w:val="002C4B72"/>
    <w:rsid w:val="002C52CD"/>
    <w:rsid w:val="002C554F"/>
    <w:rsid w:val="002C5582"/>
    <w:rsid w:val="002C5DC6"/>
    <w:rsid w:val="002D0F76"/>
    <w:rsid w:val="002D1055"/>
    <w:rsid w:val="002D1CA3"/>
    <w:rsid w:val="002D34B3"/>
    <w:rsid w:val="002D36D4"/>
    <w:rsid w:val="002D4639"/>
    <w:rsid w:val="002D5F6E"/>
    <w:rsid w:val="002E0008"/>
    <w:rsid w:val="002E038E"/>
    <w:rsid w:val="002E1D9E"/>
    <w:rsid w:val="002E3F05"/>
    <w:rsid w:val="002E779D"/>
    <w:rsid w:val="002F0194"/>
    <w:rsid w:val="002F60EF"/>
    <w:rsid w:val="002F61D0"/>
    <w:rsid w:val="00302E19"/>
    <w:rsid w:val="00314A74"/>
    <w:rsid w:val="00314F9E"/>
    <w:rsid w:val="003155EB"/>
    <w:rsid w:val="00320B1D"/>
    <w:rsid w:val="00320C26"/>
    <w:rsid w:val="00322265"/>
    <w:rsid w:val="00322F21"/>
    <w:rsid w:val="003244C4"/>
    <w:rsid w:val="00324C75"/>
    <w:rsid w:val="00325A76"/>
    <w:rsid w:val="00331334"/>
    <w:rsid w:val="00331551"/>
    <w:rsid w:val="0033169D"/>
    <w:rsid w:val="003333F9"/>
    <w:rsid w:val="00333426"/>
    <w:rsid w:val="00333671"/>
    <w:rsid w:val="0033376C"/>
    <w:rsid w:val="003379DB"/>
    <w:rsid w:val="0034043B"/>
    <w:rsid w:val="00340FC0"/>
    <w:rsid w:val="00341664"/>
    <w:rsid w:val="00342138"/>
    <w:rsid w:val="00343CFF"/>
    <w:rsid w:val="00344CCC"/>
    <w:rsid w:val="00345424"/>
    <w:rsid w:val="00345A9B"/>
    <w:rsid w:val="00347DB2"/>
    <w:rsid w:val="00351A9F"/>
    <w:rsid w:val="0035376B"/>
    <w:rsid w:val="00355598"/>
    <w:rsid w:val="00356716"/>
    <w:rsid w:val="00364F09"/>
    <w:rsid w:val="00366866"/>
    <w:rsid w:val="0036699D"/>
    <w:rsid w:val="00366A21"/>
    <w:rsid w:val="00366B2B"/>
    <w:rsid w:val="003705E4"/>
    <w:rsid w:val="003728B7"/>
    <w:rsid w:val="00375BA0"/>
    <w:rsid w:val="00381DFE"/>
    <w:rsid w:val="0038212E"/>
    <w:rsid w:val="00384F1E"/>
    <w:rsid w:val="00385B1B"/>
    <w:rsid w:val="00387B39"/>
    <w:rsid w:val="00390772"/>
    <w:rsid w:val="00393CBF"/>
    <w:rsid w:val="00397B8A"/>
    <w:rsid w:val="003A4A9A"/>
    <w:rsid w:val="003A4EDF"/>
    <w:rsid w:val="003A5180"/>
    <w:rsid w:val="003A60F6"/>
    <w:rsid w:val="003B0717"/>
    <w:rsid w:val="003B117A"/>
    <w:rsid w:val="003B1C1A"/>
    <w:rsid w:val="003B692B"/>
    <w:rsid w:val="003B7AB4"/>
    <w:rsid w:val="003C0992"/>
    <w:rsid w:val="003C2D18"/>
    <w:rsid w:val="003C5955"/>
    <w:rsid w:val="003C5DCB"/>
    <w:rsid w:val="003C6B02"/>
    <w:rsid w:val="003C76B5"/>
    <w:rsid w:val="003C7E7D"/>
    <w:rsid w:val="003D1097"/>
    <w:rsid w:val="003D13C8"/>
    <w:rsid w:val="003D1546"/>
    <w:rsid w:val="003D1D60"/>
    <w:rsid w:val="003D2EF2"/>
    <w:rsid w:val="003D46D8"/>
    <w:rsid w:val="003D4B3F"/>
    <w:rsid w:val="003D59AC"/>
    <w:rsid w:val="003D6FD0"/>
    <w:rsid w:val="003D772B"/>
    <w:rsid w:val="003E0E13"/>
    <w:rsid w:val="003E4C05"/>
    <w:rsid w:val="003E70B7"/>
    <w:rsid w:val="003E7728"/>
    <w:rsid w:val="003F4B36"/>
    <w:rsid w:val="003F5415"/>
    <w:rsid w:val="003F68E0"/>
    <w:rsid w:val="003F739E"/>
    <w:rsid w:val="00401B9C"/>
    <w:rsid w:val="00402942"/>
    <w:rsid w:val="0040498E"/>
    <w:rsid w:val="00405487"/>
    <w:rsid w:val="00405FDC"/>
    <w:rsid w:val="004061E8"/>
    <w:rsid w:val="00407117"/>
    <w:rsid w:val="00407F84"/>
    <w:rsid w:val="00416489"/>
    <w:rsid w:val="0042087B"/>
    <w:rsid w:val="00422AFB"/>
    <w:rsid w:val="00423A1D"/>
    <w:rsid w:val="004322DB"/>
    <w:rsid w:val="00432624"/>
    <w:rsid w:val="00432A01"/>
    <w:rsid w:val="00435055"/>
    <w:rsid w:val="0044258F"/>
    <w:rsid w:val="00443221"/>
    <w:rsid w:val="00444AC5"/>
    <w:rsid w:val="00445478"/>
    <w:rsid w:val="00445A6F"/>
    <w:rsid w:val="00446BFE"/>
    <w:rsid w:val="00451DD3"/>
    <w:rsid w:val="00455B55"/>
    <w:rsid w:val="004613D9"/>
    <w:rsid w:val="004613E2"/>
    <w:rsid w:val="00462C6A"/>
    <w:rsid w:val="00463A54"/>
    <w:rsid w:val="00463EDF"/>
    <w:rsid w:val="004647D3"/>
    <w:rsid w:val="00465715"/>
    <w:rsid w:val="0047108D"/>
    <w:rsid w:val="00471823"/>
    <w:rsid w:val="0047234C"/>
    <w:rsid w:val="00473156"/>
    <w:rsid w:val="00473FB1"/>
    <w:rsid w:val="00474707"/>
    <w:rsid w:val="00474BD4"/>
    <w:rsid w:val="00474C4B"/>
    <w:rsid w:val="00474F65"/>
    <w:rsid w:val="00475E71"/>
    <w:rsid w:val="00476EAF"/>
    <w:rsid w:val="004812D8"/>
    <w:rsid w:val="00481456"/>
    <w:rsid w:val="00481A77"/>
    <w:rsid w:val="00484066"/>
    <w:rsid w:val="00484F20"/>
    <w:rsid w:val="0048695F"/>
    <w:rsid w:val="00490F05"/>
    <w:rsid w:val="004911CC"/>
    <w:rsid w:val="00492391"/>
    <w:rsid w:val="00494340"/>
    <w:rsid w:val="00497646"/>
    <w:rsid w:val="00497A6D"/>
    <w:rsid w:val="004A1442"/>
    <w:rsid w:val="004A1D39"/>
    <w:rsid w:val="004A1F37"/>
    <w:rsid w:val="004A2E9D"/>
    <w:rsid w:val="004A5530"/>
    <w:rsid w:val="004A590F"/>
    <w:rsid w:val="004A59A0"/>
    <w:rsid w:val="004A64D4"/>
    <w:rsid w:val="004A671D"/>
    <w:rsid w:val="004A6939"/>
    <w:rsid w:val="004A72AE"/>
    <w:rsid w:val="004B0F7D"/>
    <w:rsid w:val="004B12FE"/>
    <w:rsid w:val="004B1C15"/>
    <w:rsid w:val="004B1E1B"/>
    <w:rsid w:val="004B4ED1"/>
    <w:rsid w:val="004B66F8"/>
    <w:rsid w:val="004B77F4"/>
    <w:rsid w:val="004C03AE"/>
    <w:rsid w:val="004C1606"/>
    <w:rsid w:val="004C188B"/>
    <w:rsid w:val="004C1EBF"/>
    <w:rsid w:val="004C2A31"/>
    <w:rsid w:val="004C4AAF"/>
    <w:rsid w:val="004C4E14"/>
    <w:rsid w:val="004C4E1F"/>
    <w:rsid w:val="004C5EBD"/>
    <w:rsid w:val="004C7142"/>
    <w:rsid w:val="004D14E4"/>
    <w:rsid w:val="004D3615"/>
    <w:rsid w:val="004D36BB"/>
    <w:rsid w:val="004D450F"/>
    <w:rsid w:val="004D4519"/>
    <w:rsid w:val="004D6C02"/>
    <w:rsid w:val="004E2941"/>
    <w:rsid w:val="004E3636"/>
    <w:rsid w:val="004E477A"/>
    <w:rsid w:val="004E691D"/>
    <w:rsid w:val="004E7183"/>
    <w:rsid w:val="004E7A10"/>
    <w:rsid w:val="004F0F6A"/>
    <w:rsid w:val="004F227F"/>
    <w:rsid w:val="004F2A4F"/>
    <w:rsid w:val="004F3213"/>
    <w:rsid w:val="004F3730"/>
    <w:rsid w:val="004F4AF5"/>
    <w:rsid w:val="004F58EB"/>
    <w:rsid w:val="004F5DCC"/>
    <w:rsid w:val="004F69C4"/>
    <w:rsid w:val="004F6C08"/>
    <w:rsid w:val="005004A5"/>
    <w:rsid w:val="00501772"/>
    <w:rsid w:val="0050270F"/>
    <w:rsid w:val="00502F25"/>
    <w:rsid w:val="00502F90"/>
    <w:rsid w:val="00505E6F"/>
    <w:rsid w:val="0050717F"/>
    <w:rsid w:val="00512444"/>
    <w:rsid w:val="00513770"/>
    <w:rsid w:val="00513AD5"/>
    <w:rsid w:val="00513F4A"/>
    <w:rsid w:val="00515663"/>
    <w:rsid w:val="0051607B"/>
    <w:rsid w:val="005164D6"/>
    <w:rsid w:val="0051751B"/>
    <w:rsid w:val="005275E1"/>
    <w:rsid w:val="005304BF"/>
    <w:rsid w:val="005307F4"/>
    <w:rsid w:val="005316B3"/>
    <w:rsid w:val="00531C87"/>
    <w:rsid w:val="00531EF3"/>
    <w:rsid w:val="00532DDB"/>
    <w:rsid w:val="0053337F"/>
    <w:rsid w:val="005338A0"/>
    <w:rsid w:val="005364F4"/>
    <w:rsid w:val="00537084"/>
    <w:rsid w:val="00540292"/>
    <w:rsid w:val="00540397"/>
    <w:rsid w:val="00540818"/>
    <w:rsid w:val="0054287C"/>
    <w:rsid w:val="00544175"/>
    <w:rsid w:val="0054716B"/>
    <w:rsid w:val="00547844"/>
    <w:rsid w:val="00547CE7"/>
    <w:rsid w:val="00550071"/>
    <w:rsid w:val="00550FFE"/>
    <w:rsid w:val="00551348"/>
    <w:rsid w:val="00552566"/>
    <w:rsid w:val="00552C28"/>
    <w:rsid w:val="00557A29"/>
    <w:rsid w:val="00560A45"/>
    <w:rsid w:val="00562F50"/>
    <w:rsid w:val="00563857"/>
    <w:rsid w:val="00565A7A"/>
    <w:rsid w:val="00565EBE"/>
    <w:rsid w:val="005672E7"/>
    <w:rsid w:val="0056771D"/>
    <w:rsid w:val="0057044E"/>
    <w:rsid w:val="005707E6"/>
    <w:rsid w:val="00570CB4"/>
    <w:rsid w:val="00573AD5"/>
    <w:rsid w:val="0057585F"/>
    <w:rsid w:val="00576EAA"/>
    <w:rsid w:val="005803E1"/>
    <w:rsid w:val="0058061A"/>
    <w:rsid w:val="00580725"/>
    <w:rsid w:val="00580BFB"/>
    <w:rsid w:val="005812E5"/>
    <w:rsid w:val="005850BB"/>
    <w:rsid w:val="00585AEA"/>
    <w:rsid w:val="0058766F"/>
    <w:rsid w:val="00591C97"/>
    <w:rsid w:val="00592B5F"/>
    <w:rsid w:val="005938C9"/>
    <w:rsid w:val="0059490D"/>
    <w:rsid w:val="00596982"/>
    <w:rsid w:val="005A0A22"/>
    <w:rsid w:val="005A0FC9"/>
    <w:rsid w:val="005A31ED"/>
    <w:rsid w:val="005A328F"/>
    <w:rsid w:val="005A49EA"/>
    <w:rsid w:val="005A57E2"/>
    <w:rsid w:val="005A59D7"/>
    <w:rsid w:val="005A768B"/>
    <w:rsid w:val="005A791C"/>
    <w:rsid w:val="005B0000"/>
    <w:rsid w:val="005B0835"/>
    <w:rsid w:val="005B1B4F"/>
    <w:rsid w:val="005B2375"/>
    <w:rsid w:val="005B29DB"/>
    <w:rsid w:val="005B2DCC"/>
    <w:rsid w:val="005B308D"/>
    <w:rsid w:val="005B48FF"/>
    <w:rsid w:val="005B62F4"/>
    <w:rsid w:val="005B6F54"/>
    <w:rsid w:val="005B6F7E"/>
    <w:rsid w:val="005B7251"/>
    <w:rsid w:val="005C0574"/>
    <w:rsid w:val="005C3593"/>
    <w:rsid w:val="005C49CD"/>
    <w:rsid w:val="005C4F3C"/>
    <w:rsid w:val="005C6F8A"/>
    <w:rsid w:val="005D38F4"/>
    <w:rsid w:val="005D3B8E"/>
    <w:rsid w:val="005D54B0"/>
    <w:rsid w:val="005D6570"/>
    <w:rsid w:val="005E0694"/>
    <w:rsid w:val="005E0ED4"/>
    <w:rsid w:val="005E484A"/>
    <w:rsid w:val="005F0447"/>
    <w:rsid w:val="005F33A2"/>
    <w:rsid w:val="005F7219"/>
    <w:rsid w:val="005F780A"/>
    <w:rsid w:val="006016AB"/>
    <w:rsid w:val="006027B3"/>
    <w:rsid w:val="00604151"/>
    <w:rsid w:val="0060594E"/>
    <w:rsid w:val="006067C9"/>
    <w:rsid w:val="00607318"/>
    <w:rsid w:val="00607689"/>
    <w:rsid w:val="006113B8"/>
    <w:rsid w:val="006113CB"/>
    <w:rsid w:val="006136C9"/>
    <w:rsid w:val="00613A12"/>
    <w:rsid w:val="0061450A"/>
    <w:rsid w:val="00614D85"/>
    <w:rsid w:val="00615D4E"/>
    <w:rsid w:val="00616639"/>
    <w:rsid w:val="006169AF"/>
    <w:rsid w:val="00616C2E"/>
    <w:rsid w:val="00621934"/>
    <w:rsid w:val="00621F09"/>
    <w:rsid w:val="00621F32"/>
    <w:rsid w:val="00622AD9"/>
    <w:rsid w:val="00623272"/>
    <w:rsid w:val="00623557"/>
    <w:rsid w:val="00623ACC"/>
    <w:rsid w:val="00623C4B"/>
    <w:rsid w:val="006252A9"/>
    <w:rsid w:val="006277FB"/>
    <w:rsid w:val="006305B2"/>
    <w:rsid w:val="00633324"/>
    <w:rsid w:val="00634001"/>
    <w:rsid w:val="00634446"/>
    <w:rsid w:val="00634B97"/>
    <w:rsid w:val="006358D9"/>
    <w:rsid w:val="0063644D"/>
    <w:rsid w:val="00640CE6"/>
    <w:rsid w:val="006427A5"/>
    <w:rsid w:val="0064307F"/>
    <w:rsid w:val="00643E6F"/>
    <w:rsid w:val="006442EF"/>
    <w:rsid w:val="006448DF"/>
    <w:rsid w:val="006459C1"/>
    <w:rsid w:val="00646220"/>
    <w:rsid w:val="00646461"/>
    <w:rsid w:val="00653D9C"/>
    <w:rsid w:val="00655145"/>
    <w:rsid w:val="00656CE5"/>
    <w:rsid w:val="0066091F"/>
    <w:rsid w:val="00661C17"/>
    <w:rsid w:val="00664B19"/>
    <w:rsid w:val="00664B49"/>
    <w:rsid w:val="00664CBE"/>
    <w:rsid w:val="00665296"/>
    <w:rsid w:val="00666D18"/>
    <w:rsid w:val="006673C6"/>
    <w:rsid w:val="00671DA3"/>
    <w:rsid w:val="00671E83"/>
    <w:rsid w:val="0067242D"/>
    <w:rsid w:val="00672F55"/>
    <w:rsid w:val="006757B2"/>
    <w:rsid w:val="0067688C"/>
    <w:rsid w:val="00680A11"/>
    <w:rsid w:val="00680E3C"/>
    <w:rsid w:val="00682E66"/>
    <w:rsid w:val="006834C9"/>
    <w:rsid w:val="00683AC2"/>
    <w:rsid w:val="006846AF"/>
    <w:rsid w:val="0069066B"/>
    <w:rsid w:val="00690C5B"/>
    <w:rsid w:val="006913F1"/>
    <w:rsid w:val="00691521"/>
    <w:rsid w:val="00692323"/>
    <w:rsid w:val="00692CE1"/>
    <w:rsid w:val="00694C3D"/>
    <w:rsid w:val="0069594A"/>
    <w:rsid w:val="00695BB0"/>
    <w:rsid w:val="0069608B"/>
    <w:rsid w:val="006A143D"/>
    <w:rsid w:val="006A1E24"/>
    <w:rsid w:val="006A37FF"/>
    <w:rsid w:val="006A3A22"/>
    <w:rsid w:val="006A4FF2"/>
    <w:rsid w:val="006A5A89"/>
    <w:rsid w:val="006B0693"/>
    <w:rsid w:val="006B08C4"/>
    <w:rsid w:val="006B34B5"/>
    <w:rsid w:val="006B7290"/>
    <w:rsid w:val="006B74F0"/>
    <w:rsid w:val="006B7EC6"/>
    <w:rsid w:val="006C0196"/>
    <w:rsid w:val="006C01B4"/>
    <w:rsid w:val="006C10A0"/>
    <w:rsid w:val="006C115F"/>
    <w:rsid w:val="006C1C20"/>
    <w:rsid w:val="006C2FC8"/>
    <w:rsid w:val="006C4A5B"/>
    <w:rsid w:val="006C5BEF"/>
    <w:rsid w:val="006C6BB8"/>
    <w:rsid w:val="006C6E3B"/>
    <w:rsid w:val="006D0478"/>
    <w:rsid w:val="006D509D"/>
    <w:rsid w:val="006D5348"/>
    <w:rsid w:val="006D579B"/>
    <w:rsid w:val="006D6FAF"/>
    <w:rsid w:val="006E3E21"/>
    <w:rsid w:val="006E4687"/>
    <w:rsid w:val="006E4A2E"/>
    <w:rsid w:val="006F05EB"/>
    <w:rsid w:val="006F117E"/>
    <w:rsid w:val="006F1243"/>
    <w:rsid w:val="006F12B2"/>
    <w:rsid w:val="006F18C3"/>
    <w:rsid w:val="006F18E1"/>
    <w:rsid w:val="006F223C"/>
    <w:rsid w:val="006F2F8D"/>
    <w:rsid w:val="006F72A4"/>
    <w:rsid w:val="007015FF"/>
    <w:rsid w:val="007022B1"/>
    <w:rsid w:val="0070673F"/>
    <w:rsid w:val="007077D4"/>
    <w:rsid w:val="00707F6A"/>
    <w:rsid w:val="0071633F"/>
    <w:rsid w:val="00716FDE"/>
    <w:rsid w:val="007175BD"/>
    <w:rsid w:val="00721526"/>
    <w:rsid w:val="0072240A"/>
    <w:rsid w:val="0072252A"/>
    <w:rsid w:val="007248C5"/>
    <w:rsid w:val="0072654F"/>
    <w:rsid w:val="00732090"/>
    <w:rsid w:val="00732A55"/>
    <w:rsid w:val="00735ABC"/>
    <w:rsid w:val="00736764"/>
    <w:rsid w:val="00736796"/>
    <w:rsid w:val="007418D8"/>
    <w:rsid w:val="00741A76"/>
    <w:rsid w:val="00742C0A"/>
    <w:rsid w:val="00742CCB"/>
    <w:rsid w:val="00742F67"/>
    <w:rsid w:val="00743106"/>
    <w:rsid w:val="00743F3C"/>
    <w:rsid w:val="007440AC"/>
    <w:rsid w:val="00744C4D"/>
    <w:rsid w:val="00745D7F"/>
    <w:rsid w:val="00746110"/>
    <w:rsid w:val="00746A9C"/>
    <w:rsid w:val="0074771F"/>
    <w:rsid w:val="00751CF8"/>
    <w:rsid w:val="0075464B"/>
    <w:rsid w:val="007559E0"/>
    <w:rsid w:val="007602C1"/>
    <w:rsid w:val="00762DD4"/>
    <w:rsid w:val="00763E61"/>
    <w:rsid w:val="00764510"/>
    <w:rsid w:val="00772657"/>
    <w:rsid w:val="0077327B"/>
    <w:rsid w:val="00773963"/>
    <w:rsid w:val="007745BA"/>
    <w:rsid w:val="007749FD"/>
    <w:rsid w:val="0078277C"/>
    <w:rsid w:val="007831B2"/>
    <w:rsid w:val="00784A63"/>
    <w:rsid w:val="00784D11"/>
    <w:rsid w:val="0079010F"/>
    <w:rsid w:val="00790580"/>
    <w:rsid w:val="00790593"/>
    <w:rsid w:val="0079216E"/>
    <w:rsid w:val="00793F1E"/>
    <w:rsid w:val="007965FB"/>
    <w:rsid w:val="00797A30"/>
    <w:rsid w:val="00797E1A"/>
    <w:rsid w:val="007A2BBA"/>
    <w:rsid w:val="007A3B0B"/>
    <w:rsid w:val="007A6038"/>
    <w:rsid w:val="007A6B6A"/>
    <w:rsid w:val="007A6E74"/>
    <w:rsid w:val="007B2558"/>
    <w:rsid w:val="007B52C2"/>
    <w:rsid w:val="007B61C1"/>
    <w:rsid w:val="007B7602"/>
    <w:rsid w:val="007B78C0"/>
    <w:rsid w:val="007B7EA2"/>
    <w:rsid w:val="007C2B12"/>
    <w:rsid w:val="007C2B7C"/>
    <w:rsid w:val="007C3161"/>
    <w:rsid w:val="007C3604"/>
    <w:rsid w:val="007C499A"/>
    <w:rsid w:val="007C6149"/>
    <w:rsid w:val="007C75EA"/>
    <w:rsid w:val="007C78A2"/>
    <w:rsid w:val="007C7AE7"/>
    <w:rsid w:val="007D4F65"/>
    <w:rsid w:val="007D5520"/>
    <w:rsid w:val="007D5D7E"/>
    <w:rsid w:val="007D6C5D"/>
    <w:rsid w:val="007D79A4"/>
    <w:rsid w:val="007D7BFB"/>
    <w:rsid w:val="007E1010"/>
    <w:rsid w:val="007E16B9"/>
    <w:rsid w:val="007E2C34"/>
    <w:rsid w:val="007E7297"/>
    <w:rsid w:val="007F25C7"/>
    <w:rsid w:val="00800BA0"/>
    <w:rsid w:val="0080559A"/>
    <w:rsid w:val="00805B21"/>
    <w:rsid w:val="0080659E"/>
    <w:rsid w:val="00807D96"/>
    <w:rsid w:val="008115B2"/>
    <w:rsid w:val="008123F6"/>
    <w:rsid w:val="00814112"/>
    <w:rsid w:val="00814FC4"/>
    <w:rsid w:val="008178A3"/>
    <w:rsid w:val="00822504"/>
    <w:rsid w:val="0082488F"/>
    <w:rsid w:val="00825131"/>
    <w:rsid w:val="00825544"/>
    <w:rsid w:val="008260F6"/>
    <w:rsid w:val="0082778E"/>
    <w:rsid w:val="00827E09"/>
    <w:rsid w:val="0083182E"/>
    <w:rsid w:val="008352D1"/>
    <w:rsid w:val="00835331"/>
    <w:rsid w:val="00837F5E"/>
    <w:rsid w:val="008430E2"/>
    <w:rsid w:val="0084503E"/>
    <w:rsid w:val="0085403F"/>
    <w:rsid w:val="00854629"/>
    <w:rsid w:val="00855ABE"/>
    <w:rsid w:val="00855DE2"/>
    <w:rsid w:val="0085617F"/>
    <w:rsid w:val="00861CBE"/>
    <w:rsid w:val="00863546"/>
    <w:rsid w:val="0086362E"/>
    <w:rsid w:val="00863A03"/>
    <w:rsid w:val="00863BD3"/>
    <w:rsid w:val="00865308"/>
    <w:rsid w:val="00867C3E"/>
    <w:rsid w:val="008727F0"/>
    <w:rsid w:val="00872ED4"/>
    <w:rsid w:val="00873BFE"/>
    <w:rsid w:val="00874205"/>
    <w:rsid w:val="008743E7"/>
    <w:rsid w:val="00874D35"/>
    <w:rsid w:val="00875158"/>
    <w:rsid w:val="0087570E"/>
    <w:rsid w:val="008761C6"/>
    <w:rsid w:val="008839F9"/>
    <w:rsid w:val="00883D60"/>
    <w:rsid w:val="00884907"/>
    <w:rsid w:val="00887CF3"/>
    <w:rsid w:val="00890497"/>
    <w:rsid w:val="00890B84"/>
    <w:rsid w:val="00890D43"/>
    <w:rsid w:val="0089341A"/>
    <w:rsid w:val="00897F36"/>
    <w:rsid w:val="008A1FAE"/>
    <w:rsid w:val="008A3D7D"/>
    <w:rsid w:val="008A7F56"/>
    <w:rsid w:val="008B02A4"/>
    <w:rsid w:val="008B0D2A"/>
    <w:rsid w:val="008B18AC"/>
    <w:rsid w:val="008B3875"/>
    <w:rsid w:val="008B39CA"/>
    <w:rsid w:val="008B4F2F"/>
    <w:rsid w:val="008B4FDF"/>
    <w:rsid w:val="008B50EC"/>
    <w:rsid w:val="008C0636"/>
    <w:rsid w:val="008C0AEE"/>
    <w:rsid w:val="008C3D6C"/>
    <w:rsid w:val="008C434B"/>
    <w:rsid w:val="008C6640"/>
    <w:rsid w:val="008D0787"/>
    <w:rsid w:val="008D3444"/>
    <w:rsid w:val="008D5F18"/>
    <w:rsid w:val="008D611C"/>
    <w:rsid w:val="008D6508"/>
    <w:rsid w:val="008D698D"/>
    <w:rsid w:val="008E1B1C"/>
    <w:rsid w:val="008E2C47"/>
    <w:rsid w:val="008E3654"/>
    <w:rsid w:val="008E5B50"/>
    <w:rsid w:val="008E6B39"/>
    <w:rsid w:val="008F0695"/>
    <w:rsid w:val="008F3F2A"/>
    <w:rsid w:val="008F520C"/>
    <w:rsid w:val="008F6352"/>
    <w:rsid w:val="008F673D"/>
    <w:rsid w:val="008F7C9E"/>
    <w:rsid w:val="008F7F98"/>
    <w:rsid w:val="00900666"/>
    <w:rsid w:val="00902FD5"/>
    <w:rsid w:val="00903643"/>
    <w:rsid w:val="00904515"/>
    <w:rsid w:val="00904832"/>
    <w:rsid w:val="0090549B"/>
    <w:rsid w:val="00905A1B"/>
    <w:rsid w:val="00907EA5"/>
    <w:rsid w:val="00911BB9"/>
    <w:rsid w:val="00913410"/>
    <w:rsid w:val="0091436A"/>
    <w:rsid w:val="00914C37"/>
    <w:rsid w:val="0091518E"/>
    <w:rsid w:val="009153E4"/>
    <w:rsid w:val="00916EB7"/>
    <w:rsid w:val="009246BB"/>
    <w:rsid w:val="00925DD0"/>
    <w:rsid w:val="00925E70"/>
    <w:rsid w:val="00926A6D"/>
    <w:rsid w:val="00932E67"/>
    <w:rsid w:val="00934EF6"/>
    <w:rsid w:val="0094156A"/>
    <w:rsid w:val="00942014"/>
    <w:rsid w:val="0094227C"/>
    <w:rsid w:val="00944C4F"/>
    <w:rsid w:val="00945C70"/>
    <w:rsid w:val="00946791"/>
    <w:rsid w:val="00946C32"/>
    <w:rsid w:val="0094725D"/>
    <w:rsid w:val="009475CF"/>
    <w:rsid w:val="009514C9"/>
    <w:rsid w:val="00951710"/>
    <w:rsid w:val="00951BF5"/>
    <w:rsid w:val="00952B17"/>
    <w:rsid w:val="00953393"/>
    <w:rsid w:val="0095462E"/>
    <w:rsid w:val="009546DB"/>
    <w:rsid w:val="00954F54"/>
    <w:rsid w:val="0095540B"/>
    <w:rsid w:val="00956828"/>
    <w:rsid w:val="00961514"/>
    <w:rsid w:val="00962369"/>
    <w:rsid w:val="00962BF4"/>
    <w:rsid w:val="00965A33"/>
    <w:rsid w:val="00967A9B"/>
    <w:rsid w:val="00972663"/>
    <w:rsid w:val="00972919"/>
    <w:rsid w:val="009731BC"/>
    <w:rsid w:val="00975ABC"/>
    <w:rsid w:val="00975E28"/>
    <w:rsid w:val="009779E6"/>
    <w:rsid w:val="009839BB"/>
    <w:rsid w:val="00990A81"/>
    <w:rsid w:val="00990BC5"/>
    <w:rsid w:val="0099101F"/>
    <w:rsid w:val="009932B6"/>
    <w:rsid w:val="009961BB"/>
    <w:rsid w:val="009A06EB"/>
    <w:rsid w:val="009A1AFD"/>
    <w:rsid w:val="009A1DB1"/>
    <w:rsid w:val="009A2274"/>
    <w:rsid w:val="009A275B"/>
    <w:rsid w:val="009A37C2"/>
    <w:rsid w:val="009A38BE"/>
    <w:rsid w:val="009A39C6"/>
    <w:rsid w:val="009A4AAA"/>
    <w:rsid w:val="009A4DFA"/>
    <w:rsid w:val="009B033C"/>
    <w:rsid w:val="009B2096"/>
    <w:rsid w:val="009B28D4"/>
    <w:rsid w:val="009B7BD8"/>
    <w:rsid w:val="009B7C90"/>
    <w:rsid w:val="009B7D97"/>
    <w:rsid w:val="009C128F"/>
    <w:rsid w:val="009C2E06"/>
    <w:rsid w:val="009C4386"/>
    <w:rsid w:val="009C5D8D"/>
    <w:rsid w:val="009D04B5"/>
    <w:rsid w:val="009D3E16"/>
    <w:rsid w:val="009D6B2C"/>
    <w:rsid w:val="009D704C"/>
    <w:rsid w:val="009E1B44"/>
    <w:rsid w:val="009F3B81"/>
    <w:rsid w:val="009F4A29"/>
    <w:rsid w:val="009F54F8"/>
    <w:rsid w:val="009F6228"/>
    <w:rsid w:val="009F7A6C"/>
    <w:rsid w:val="00A029CB"/>
    <w:rsid w:val="00A046AA"/>
    <w:rsid w:val="00A05196"/>
    <w:rsid w:val="00A0752F"/>
    <w:rsid w:val="00A11521"/>
    <w:rsid w:val="00A12C38"/>
    <w:rsid w:val="00A15161"/>
    <w:rsid w:val="00A15F64"/>
    <w:rsid w:val="00A16A89"/>
    <w:rsid w:val="00A20120"/>
    <w:rsid w:val="00A2315A"/>
    <w:rsid w:val="00A23FB0"/>
    <w:rsid w:val="00A25776"/>
    <w:rsid w:val="00A2592F"/>
    <w:rsid w:val="00A26C65"/>
    <w:rsid w:val="00A322AF"/>
    <w:rsid w:val="00A33BE1"/>
    <w:rsid w:val="00A343D3"/>
    <w:rsid w:val="00A400F2"/>
    <w:rsid w:val="00A42582"/>
    <w:rsid w:val="00A43B3C"/>
    <w:rsid w:val="00A46212"/>
    <w:rsid w:val="00A52201"/>
    <w:rsid w:val="00A53A23"/>
    <w:rsid w:val="00A53E59"/>
    <w:rsid w:val="00A5557E"/>
    <w:rsid w:val="00A62862"/>
    <w:rsid w:val="00A64180"/>
    <w:rsid w:val="00A74622"/>
    <w:rsid w:val="00A754CC"/>
    <w:rsid w:val="00A76EAA"/>
    <w:rsid w:val="00A8004B"/>
    <w:rsid w:val="00A820CA"/>
    <w:rsid w:val="00A820E1"/>
    <w:rsid w:val="00A82AEC"/>
    <w:rsid w:val="00A835F0"/>
    <w:rsid w:val="00A86195"/>
    <w:rsid w:val="00A95098"/>
    <w:rsid w:val="00AA0223"/>
    <w:rsid w:val="00AA18BE"/>
    <w:rsid w:val="00AA34D4"/>
    <w:rsid w:val="00AA40B2"/>
    <w:rsid w:val="00AA4F23"/>
    <w:rsid w:val="00AB75B5"/>
    <w:rsid w:val="00AC0921"/>
    <w:rsid w:val="00AC4C98"/>
    <w:rsid w:val="00AD34E5"/>
    <w:rsid w:val="00AD42C0"/>
    <w:rsid w:val="00AD5B00"/>
    <w:rsid w:val="00AD6885"/>
    <w:rsid w:val="00AE11FC"/>
    <w:rsid w:val="00AE1BF1"/>
    <w:rsid w:val="00AE219F"/>
    <w:rsid w:val="00AE3737"/>
    <w:rsid w:val="00AE50F9"/>
    <w:rsid w:val="00AE58A5"/>
    <w:rsid w:val="00AE6BC9"/>
    <w:rsid w:val="00AF02DE"/>
    <w:rsid w:val="00AF2852"/>
    <w:rsid w:val="00AF457A"/>
    <w:rsid w:val="00AF51A0"/>
    <w:rsid w:val="00AF53F0"/>
    <w:rsid w:val="00B010E2"/>
    <w:rsid w:val="00B01C85"/>
    <w:rsid w:val="00B024DB"/>
    <w:rsid w:val="00B03514"/>
    <w:rsid w:val="00B04C7C"/>
    <w:rsid w:val="00B104BC"/>
    <w:rsid w:val="00B10B4F"/>
    <w:rsid w:val="00B115E6"/>
    <w:rsid w:val="00B147A7"/>
    <w:rsid w:val="00B154A9"/>
    <w:rsid w:val="00B15B1E"/>
    <w:rsid w:val="00B172E7"/>
    <w:rsid w:val="00B21C92"/>
    <w:rsid w:val="00B223EE"/>
    <w:rsid w:val="00B251CC"/>
    <w:rsid w:val="00B264BE"/>
    <w:rsid w:val="00B274B2"/>
    <w:rsid w:val="00B30F54"/>
    <w:rsid w:val="00B3128B"/>
    <w:rsid w:val="00B31364"/>
    <w:rsid w:val="00B32426"/>
    <w:rsid w:val="00B40D06"/>
    <w:rsid w:val="00B437EE"/>
    <w:rsid w:val="00B440D9"/>
    <w:rsid w:val="00B44D8D"/>
    <w:rsid w:val="00B454BE"/>
    <w:rsid w:val="00B45527"/>
    <w:rsid w:val="00B455A6"/>
    <w:rsid w:val="00B5532A"/>
    <w:rsid w:val="00B55CD8"/>
    <w:rsid w:val="00B564EB"/>
    <w:rsid w:val="00B6040F"/>
    <w:rsid w:val="00B6326A"/>
    <w:rsid w:val="00B63B71"/>
    <w:rsid w:val="00B70281"/>
    <w:rsid w:val="00B70B09"/>
    <w:rsid w:val="00B70E1E"/>
    <w:rsid w:val="00B71D58"/>
    <w:rsid w:val="00B81B89"/>
    <w:rsid w:val="00B82D98"/>
    <w:rsid w:val="00B832E6"/>
    <w:rsid w:val="00B8516E"/>
    <w:rsid w:val="00B85CEF"/>
    <w:rsid w:val="00B85F23"/>
    <w:rsid w:val="00B87099"/>
    <w:rsid w:val="00B879DA"/>
    <w:rsid w:val="00B92480"/>
    <w:rsid w:val="00B92BE8"/>
    <w:rsid w:val="00B93D49"/>
    <w:rsid w:val="00B95872"/>
    <w:rsid w:val="00BA00EE"/>
    <w:rsid w:val="00BA2256"/>
    <w:rsid w:val="00BA2C7D"/>
    <w:rsid w:val="00BA3E35"/>
    <w:rsid w:val="00BA5E8A"/>
    <w:rsid w:val="00BB0A49"/>
    <w:rsid w:val="00BB2503"/>
    <w:rsid w:val="00BB4786"/>
    <w:rsid w:val="00BB6B27"/>
    <w:rsid w:val="00BB7D9C"/>
    <w:rsid w:val="00BC1232"/>
    <w:rsid w:val="00BC1C64"/>
    <w:rsid w:val="00BC25AF"/>
    <w:rsid w:val="00BC2A8C"/>
    <w:rsid w:val="00BC3684"/>
    <w:rsid w:val="00BC50C3"/>
    <w:rsid w:val="00BC661B"/>
    <w:rsid w:val="00BC7E72"/>
    <w:rsid w:val="00BD01B7"/>
    <w:rsid w:val="00BD1BB2"/>
    <w:rsid w:val="00BD3573"/>
    <w:rsid w:val="00BD3591"/>
    <w:rsid w:val="00BD53BA"/>
    <w:rsid w:val="00BD5B27"/>
    <w:rsid w:val="00BD5FDF"/>
    <w:rsid w:val="00BD6FD5"/>
    <w:rsid w:val="00BD7598"/>
    <w:rsid w:val="00BE115E"/>
    <w:rsid w:val="00BE125C"/>
    <w:rsid w:val="00BE1885"/>
    <w:rsid w:val="00BE1CF9"/>
    <w:rsid w:val="00BF03EF"/>
    <w:rsid w:val="00BF0453"/>
    <w:rsid w:val="00BF1CE6"/>
    <w:rsid w:val="00BF42B6"/>
    <w:rsid w:val="00BF675E"/>
    <w:rsid w:val="00BF6BE7"/>
    <w:rsid w:val="00C00938"/>
    <w:rsid w:val="00C01C64"/>
    <w:rsid w:val="00C02BA3"/>
    <w:rsid w:val="00C02D4C"/>
    <w:rsid w:val="00C03620"/>
    <w:rsid w:val="00C04038"/>
    <w:rsid w:val="00C042D8"/>
    <w:rsid w:val="00C043C3"/>
    <w:rsid w:val="00C048DA"/>
    <w:rsid w:val="00C04B09"/>
    <w:rsid w:val="00C07364"/>
    <w:rsid w:val="00C07368"/>
    <w:rsid w:val="00C11D54"/>
    <w:rsid w:val="00C136A5"/>
    <w:rsid w:val="00C14F27"/>
    <w:rsid w:val="00C15B3D"/>
    <w:rsid w:val="00C210C5"/>
    <w:rsid w:val="00C2113A"/>
    <w:rsid w:val="00C22C81"/>
    <w:rsid w:val="00C24544"/>
    <w:rsid w:val="00C2477D"/>
    <w:rsid w:val="00C252CA"/>
    <w:rsid w:val="00C26A54"/>
    <w:rsid w:val="00C26DAA"/>
    <w:rsid w:val="00C319AD"/>
    <w:rsid w:val="00C36302"/>
    <w:rsid w:val="00C4063C"/>
    <w:rsid w:val="00C40EEE"/>
    <w:rsid w:val="00C41D4C"/>
    <w:rsid w:val="00C4715A"/>
    <w:rsid w:val="00C47490"/>
    <w:rsid w:val="00C50374"/>
    <w:rsid w:val="00C51761"/>
    <w:rsid w:val="00C522C3"/>
    <w:rsid w:val="00C53C73"/>
    <w:rsid w:val="00C54556"/>
    <w:rsid w:val="00C548B6"/>
    <w:rsid w:val="00C5557B"/>
    <w:rsid w:val="00C55BDD"/>
    <w:rsid w:val="00C55BFB"/>
    <w:rsid w:val="00C57FCC"/>
    <w:rsid w:val="00C601A7"/>
    <w:rsid w:val="00C64E12"/>
    <w:rsid w:val="00C707AC"/>
    <w:rsid w:val="00C710EB"/>
    <w:rsid w:val="00C72B80"/>
    <w:rsid w:val="00C76029"/>
    <w:rsid w:val="00C80ACC"/>
    <w:rsid w:val="00C80DC9"/>
    <w:rsid w:val="00C821AF"/>
    <w:rsid w:val="00C82CE3"/>
    <w:rsid w:val="00C83063"/>
    <w:rsid w:val="00C852E3"/>
    <w:rsid w:val="00C87183"/>
    <w:rsid w:val="00C90148"/>
    <w:rsid w:val="00C90FA6"/>
    <w:rsid w:val="00C939D8"/>
    <w:rsid w:val="00C94D23"/>
    <w:rsid w:val="00C970F3"/>
    <w:rsid w:val="00CA09A4"/>
    <w:rsid w:val="00CA41F9"/>
    <w:rsid w:val="00CA5A1E"/>
    <w:rsid w:val="00CB0A20"/>
    <w:rsid w:val="00CB3047"/>
    <w:rsid w:val="00CB45B3"/>
    <w:rsid w:val="00CB57ED"/>
    <w:rsid w:val="00CB59FB"/>
    <w:rsid w:val="00CC05C1"/>
    <w:rsid w:val="00CC0A64"/>
    <w:rsid w:val="00CC0B64"/>
    <w:rsid w:val="00CC0EBF"/>
    <w:rsid w:val="00CC1082"/>
    <w:rsid w:val="00CC1B37"/>
    <w:rsid w:val="00CC1DB7"/>
    <w:rsid w:val="00CC29C1"/>
    <w:rsid w:val="00CC4B4E"/>
    <w:rsid w:val="00CC7BD7"/>
    <w:rsid w:val="00CD0AE1"/>
    <w:rsid w:val="00CD6770"/>
    <w:rsid w:val="00CD703F"/>
    <w:rsid w:val="00CE04F9"/>
    <w:rsid w:val="00CE08F8"/>
    <w:rsid w:val="00CE4C13"/>
    <w:rsid w:val="00CE742B"/>
    <w:rsid w:val="00CF0723"/>
    <w:rsid w:val="00CF1695"/>
    <w:rsid w:val="00CF1A96"/>
    <w:rsid w:val="00CF3BC4"/>
    <w:rsid w:val="00CF68AF"/>
    <w:rsid w:val="00D001C9"/>
    <w:rsid w:val="00D00866"/>
    <w:rsid w:val="00D014F3"/>
    <w:rsid w:val="00D03F06"/>
    <w:rsid w:val="00D04C73"/>
    <w:rsid w:val="00D051CE"/>
    <w:rsid w:val="00D068D7"/>
    <w:rsid w:val="00D11BAD"/>
    <w:rsid w:val="00D15679"/>
    <w:rsid w:val="00D22F1C"/>
    <w:rsid w:val="00D271A2"/>
    <w:rsid w:val="00D27CDD"/>
    <w:rsid w:val="00D32E2B"/>
    <w:rsid w:val="00D33269"/>
    <w:rsid w:val="00D334F9"/>
    <w:rsid w:val="00D3372C"/>
    <w:rsid w:val="00D355A7"/>
    <w:rsid w:val="00D3631C"/>
    <w:rsid w:val="00D364BE"/>
    <w:rsid w:val="00D36631"/>
    <w:rsid w:val="00D36A8B"/>
    <w:rsid w:val="00D405EA"/>
    <w:rsid w:val="00D42796"/>
    <w:rsid w:val="00D44125"/>
    <w:rsid w:val="00D45652"/>
    <w:rsid w:val="00D46CD6"/>
    <w:rsid w:val="00D52284"/>
    <w:rsid w:val="00D53B3F"/>
    <w:rsid w:val="00D55A8F"/>
    <w:rsid w:val="00D56730"/>
    <w:rsid w:val="00D56A84"/>
    <w:rsid w:val="00D56FC1"/>
    <w:rsid w:val="00D61411"/>
    <w:rsid w:val="00D616FE"/>
    <w:rsid w:val="00D61E3A"/>
    <w:rsid w:val="00D64663"/>
    <w:rsid w:val="00D650AC"/>
    <w:rsid w:val="00D67662"/>
    <w:rsid w:val="00D67EB9"/>
    <w:rsid w:val="00D708E7"/>
    <w:rsid w:val="00D71EA8"/>
    <w:rsid w:val="00D7455E"/>
    <w:rsid w:val="00D81E02"/>
    <w:rsid w:val="00D83774"/>
    <w:rsid w:val="00D84989"/>
    <w:rsid w:val="00D8499E"/>
    <w:rsid w:val="00D8605F"/>
    <w:rsid w:val="00D869CB"/>
    <w:rsid w:val="00D9372A"/>
    <w:rsid w:val="00D94125"/>
    <w:rsid w:val="00D943A1"/>
    <w:rsid w:val="00D97AC1"/>
    <w:rsid w:val="00DA4C5C"/>
    <w:rsid w:val="00DA523F"/>
    <w:rsid w:val="00DA6372"/>
    <w:rsid w:val="00DB077E"/>
    <w:rsid w:val="00DB0EE6"/>
    <w:rsid w:val="00DB2C58"/>
    <w:rsid w:val="00DB3EF4"/>
    <w:rsid w:val="00DB57DF"/>
    <w:rsid w:val="00DB60B9"/>
    <w:rsid w:val="00DB7B82"/>
    <w:rsid w:val="00DC02AC"/>
    <w:rsid w:val="00DC0BF7"/>
    <w:rsid w:val="00DC313A"/>
    <w:rsid w:val="00DC37C8"/>
    <w:rsid w:val="00DC40A8"/>
    <w:rsid w:val="00DC41FB"/>
    <w:rsid w:val="00DC4C5A"/>
    <w:rsid w:val="00DD280F"/>
    <w:rsid w:val="00DD2D47"/>
    <w:rsid w:val="00DD351A"/>
    <w:rsid w:val="00DD4541"/>
    <w:rsid w:val="00DD4E7B"/>
    <w:rsid w:val="00DD537B"/>
    <w:rsid w:val="00DD560D"/>
    <w:rsid w:val="00DD7CD3"/>
    <w:rsid w:val="00DE25C0"/>
    <w:rsid w:val="00DE3ED8"/>
    <w:rsid w:val="00DE64FB"/>
    <w:rsid w:val="00DE7014"/>
    <w:rsid w:val="00DE7201"/>
    <w:rsid w:val="00DF128C"/>
    <w:rsid w:val="00DF33A0"/>
    <w:rsid w:val="00DF3950"/>
    <w:rsid w:val="00DF4DDF"/>
    <w:rsid w:val="00DF5853"/>
    <w:rsid w:val="00DF754E"/>
    <w:rsid w:val="00E02ADB"/>
    <w:rsid w:val="00E04829"/>
    <w:rsid w:val="00E04B44"/>
    <w:rsid w:val="00E05662"/>
    <w:rsid w:val="00E05A65"/>
    <w:rsid w:val="00E06EB4"/>
    <w:rsid w:val="00E07D1E"/>
    <w:rsid w:val="00E10840"/>
    <w:rsid w:val="00E128AF"/>
    <w:rsid w:val="00E12B97"/>
    <w:rsid w:val="00E13A02"/>
    <w:rsid w:val="00E14CED"/>
    <w:rsid w:val="00E15FD7"/>
    <w:rsid w:val="00E21771"/>
    <w:rsid w:val="00E22981"/>
    <w:rsid w:val="00E238B0"/>
    <w:rsid w:val="00E24CCA"/>
    <w:rsid w:val="00E261A0"/>
    <w:rsid w:val="00E30FA3"/>
    <w:rsid w:val="00E3216E"/>
    <w:rsid w:val="00E339E6"/>
    <w:rsid w:val="00E33F63"/>
    <w:rsid w:val="00E34962"/>
    <w:rsid w:val="00E375AA"/>
    <w:rsid w:val="00E41B4A"/>
    <w:rsid w:val="00E436DE"/>
    <w:rsid w:val="00E43D11"/>
    <w:rsid w:val="00E46646"/>
    <w:rsid w:val="00E51DF4"/>
    <w:rsid w:val="00E5317C"/>
    <w:rsid w:val="00E53C22"/>
    <w:rsid w:val="00E5734B"/>
    <w:rsid w:val="00E61A6E"/>
    <w:rsid w:val="00E66689"/>
    <w:rsid w:val="00E67E8B"/>
    <w:rsid w:val="00E67F1E"/>
    <w:rsid w:val="00E71033"/>
    <w:rsid w:val="00E71498"/>
    <w:rsid w:val="00E72BD8"/>
    <w:rsid w:val="00E743A3"/>
    <w:rsid w:val="00E752E2"/>
    <w:rsid w:val="00E75311"/>
    <w:rsid w:val="00E76306"/>
    <w:rsid w:val="00E77107"/>
    <w:rsid w:val="00E833D5"/>
    <w:rsid w:val="00E84E4B"/>
    <w:rsid w:val="00E85C99"/>
    <w:rsid w:val="00E86E95"/>
    <w:rsid w:val="00E873DD"/>
    <w:rsid w:val="00E92D35"/>
    <w:rsid w:val="00E93C39"/>
    <w:rsid w:val="00EA04A6"/>
    <w:rsid w:val="00EA0AD5"/>
    <w:rsid w:val="00EA1222"/>
    <w:rsid w:val="00EA1AA4"/>
    <w:rsid w:val="00EA1BB0"/>
    <w:rsid w:val="00EA2205"/>
    <w:rsid w:val="00EA2F14"/>
    <w:rsid w:val="00EA4628"/>
    <w:rsid w:val="00EA7358"/>
    <w:rsid w:val="00EA7D92"/>
    <w:rsid w:val="00EB1C6C"/>
    <w:rsid w:val="00EB38E6"/>
    <w:rsid w:val="00EB55DB"/>
    <w:rsid w:val="00EC0F27"/>
    <w:rsid w:val="00EC2D6F"/>
    <w:rsid w:val="00EC42F5"/>
    <w:rsid w:val="00EC4647"/>
    <w:rsid w:val="00EC583A"/>
    <w:rsid w:val="00EC62B3"/>
    <w:rsid w:val="00EC78CF"/>
    <w:rsid w:val="00ED5B5D"/>
    <w:rsid w:val="00ED5F66"/>
    <w:rsid w:val="00ED6AFB"/>
    <w:rsid w:val="00ED79D7"/>
    <w:rsid w:val="00EE1E76"/>
    <w:rsid w:val="00EE35B8"/>
    <w:rsid w:val="00EE3F40"/>
    <w:rsid w:val="00EE5D42"/>
    <w:rsid w:val="00EE6103"/>
    <w:rsid w:val="00EF58DC"/>
    <w:rsid w:val="00EF5ACB"/>
    <w:rsid w:val="00F00492"/>
    <w:rsid w:val="00F009D9"/>
    <w:rsid w:val="00F01338"/>
    <w:rsid w:val="00F01971"/>
    <w:rsid w:val="00F01FCD"/>
    <w:rsid w:val="00F021DE"/>
    <w:rsid w:val="00F02879"/>
    <w:rsid w:val="00F07E1F"/>
    <w:rsid w:val="00F1114A"/>
    <w:rsid w:val="00F139F8"/>
    <w:rsid w:val="00F161CF"/>
    <w:rsid w:val="00F207AA"/>
    <w:rsid w:val="00F215C3"/>
    <w:rsid w:val="00F23CB8"/>
    <w:rsid w:val="00F26F21"/>
    <w:rsid w:val="00F2757A"/>
    <w:rsid w:val="00F27D4E"/>
    <w:rsid w:val="00F31318"/>
    <w:rsid w:val="00F32F81"/>
    <w:rsid w:val="00F33B5E"/>
    <w:rsid w:val="00F42044"/>
    <w:rsid w:val="00F449AD"/>
    <w:rsid w:val="00F44D94"/>
    <w:rsid w:val="00F45D9B"/>
    <w:rsid w:val="00F46BC7"/>
    <w:rsid w:val="00F46EFC"/>
    <w:rsid w:val="00F479CD"/>
    <w:rsid w:val="00F51E07"/>
    <w:rsid w:val="00F5484B"/>
    <w:rsid w:val="00F601E5"/>
    <w:rsid w:val="00F60E9E"/>
    <w:rsid w:val="00F6304C"/>
    <w:rsid w:val="00F64AE6"/>
    <w:rsid w:val="00F6519A"/>
    <w:rsid w:val="00F66DE3"/>
    <w:rsid w:val="00F7391B"/>
    <w:rsid w:val="00F77AA5"/>
    <w:rsid w:val="00F77DF2"/>
    <w:rsid w:val="00F83AA0"/>
    <w:rsid w:val="00F83B78"/>
    <w:rsid w:val="00F9045B"/>
    <w:rsid w:val="00F922C1"/>
    <w:rsid w:val="00F9442A"/>
    <w:rsid w:val="00F95C43"/>
    <w:rsid w:val="00F96145"/>
    <w:rsid w:val="00F96919"/>
    <w:rsid w:val="00FA1517"/>
    <w:rsid w:val="00FA490C"/>
    <w:rsid w:val="00FA6938"/>
    <w:rsid w:val="00FA744E"/>
    <w:rsid w:val="00FB155E"/>
    <w:rsid w:val="00FB1E1B"/>
    <w:rsid w:val="00FB2E49"/>
    <w:rsid w:val="00FB34B6"/>
    <w:rsid w:val="00FB482F"/>
    <w:rsid w:val="00FB68AB"/>
    <w:rsid w:val="00FB6E4D"/>
    <w:rsid w:val="00FC0BD9"/>
    <w:rsid w:val="00FC180D"/>
    <w:rsid w:val="00FC1FEC"/>
    <w:rsid w:val="00FC2DD6"/>
    <w:rsid w:val="00FC4F36"/>
    <w:rsid w:val="00FC56F2"/>
    <w:rsid w:val="00FC6632"/>
    <w:rsid w:val="00FC76C7"/>
    <w:rsid w:val="00FD07DB"/>
    <w:rsid w:val="00FD1EBA"/>
    <w:rsid w:val="00FD4221"/>
    <w:rsid w:val="00FD7B1C"/>
    <w:rsid w:val="00FD7C6C"/>
    <w:rsid w:val="00FE0388"/>
    <w:rsid w:val="00FE097E"/>
    <w:rsid w:val="00FE1F89"/>
    <w:rsid w:val="00FE2063"/>
    <w:rsid w:val="00FE639B"/>
    <w:rsid w:val="00FE6901"/>
    <w:rsid w:val="00FF0502"/>
    <w:rsid w:val="00FF323F"/>
    <w:rsid w:val="00FF3828"/>
    <w:rsid w:val="00FF44C9"/>
  </w:rsids>
  <m:mathPr>
    <m:mathFont m:val="Cambria Math"/>
    <m:brkBin m:val="before"/>
    <m:brkBinSub m:val="--"/>
    <m:smallFrac m:val="off"/>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heme="minorEastAsia" w:hAnsi="Calibri" w:cs="Times New Roman"/>
        <w:sz w:val="22"/>
        <w:szCs w:val="22"/>
        <w:lang w:val="en-CA" w:eastAsia="en-C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5F66"/>
    <w:pPr>
      <w:spacing w:after="200" w:line="276" w:lineRule="auto"/>
    </w:pPr>
    <w:rPr>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270FB0"/>
    <w:pPr>
      <w:ind w:left="720"/>
      <w:contextualSpacing/>
    </w:pPr>
  </w:style>
  <w:style w:type="paragraph" w:styleId="a4">
    <w:name w:val="Balloon Text"/>
    <w:basedOn w:val="a"/>
    <w:link w:val="a5"/>
    <w:uiPriority w:val="99"/>
    <w:semiHidden/>
    <w:rsid w:val="00237ACB"/>
    <w:pPr>
      <w:spacing w:after="0" w:line="240" w:lineRule="auto"/>
    </w:pPr>
    <w:rPr>
      <w:rFonts w:ascii="Tahoma" w:hAnsi="Tahoma" w:cs="Tahoma"/>
      <w:sz w:val="16"/>
      <w:szCs w:val="16"/>
    </w:rPr>
  </w:style>
  <w:style w:type="character" w:customStyle="1" w:styleId="a5">
    <w:name w:val="吹き出し (文字)"/>
    <w:basedOn w:val="a0"/>
    <w:link w:val="a4"/>
    <w:uiPriority w:val="99"/>
    <w:semiHidden/>
    <w:locked/>
    <w:rsid w:val="00237ACB"/>
    <w:rPr>
      <w:rFonts w:ascii="Tahoma" w:hAnsi="Tahoma" w:cs="Tahoma"/>
      <w:sz w:val="16"/>
      <w:szCs w:val="16"/>
    </w:rPr>
  </w:style>
  <w:style w:type="character" w:styleId="a6">
    <w:name w:val="annotation reference"/>
    <w:basedOn w:val="a0"/>
    <w:uiPriority w:val="99"/>
    <w:semiHidden/>
    <w:rsid w:val="00E72BD8"/>
    <w:rPr>
      <w:rFonts w:cs="Times New Roman"/>
      <w:sz w:val="16"/>
      <w:szCs w:val="16"/>
    </w:rPr>
  </w:style>
  <w:style w:type="paragraph" w:styleId="a7">
    <w:name w:val="annotation text"/>
    <w:basedOn w:val="a"/>
    <w:link w:val="a8"/>
    <w:uiPriority w:val="99"/>
    <w:semiHidden/>
    <w:rsid w:val="00E72BD8"/>
    <w:pPr>
      <w:spacing w:line="240" w:lineRule="auto"/>
    </w:pPr>
    <w:rPr>
      <w:sz w:val="20"/>
      <w:szCs w:val="20"/>
    </w:rPr>
  </w:style>
  <w:style w:type="character" w:customStyle="1" w:styleId="a8">
    <w:name w:val="コメント文字列 (文字)"/>
    <w:basedOn w:val="a0"/>
    <w:link w:val="a7"/>
    <w:uiPriority w:val="99"/>
    <w:semiHidden/>
    <w:locked/>
    <w:rsid w:val="00E72BD8"/>
    <w:rPr>
      <w:rFonts w:cs="Times New Roman"/>
      <w:sz w:val="20"/>
      <w:szCs w:val="20"/>
    </w:rPr>
  </w:style>
  <w:style w:type="paragraph" w:styleId="a9">
    <w:name w:val="annotation subject"/>
    <w:basedOn w:val="a7"/>
    <w:next w:val="a7"/>
    <w:link w:val="aa"/>
    <w:uiPriority w:val="99"/>
    <w:semiHidden/>
    <w:rsid w:val="00E72BD8"/>
    <w:rPr>
      <w:b/>
      <w:bCs/>
    </w:rPr>
  </w:style>
  <w:style w:type="character" w:customStyle="1" w:styleId="aa">
    <w:name w:val="コメント内容 (文字)"/>
    <w:basedOn w:val="a8"/>
    <w:link w:val="a9"/>
    <w:uiPriority w:val="99"/>
    <w:semiHidden/>
    <w:locked/>
    <w:rsid w:val="00E72BD8"/>
    <w:rPr>
      <w:rFonts w:cs="Times New Roman"/>
      <w:b/>
      <w:bCs/>
      <w:sz w:val="20"/>
      <w:szCs w:val="20"/>
    </w:rPr>
  </w:style>
  <w:style w:type="table" w:styleId="ab">
    <w:name w:val="Table Grid"/>
    <w:basedOn w:val="a1"/>
    <w:uiPriority w:val="99"/>
    <w:rsid w:val="00F630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Hyperlink"/>
    <w:basedOn w:val="a0"/>
    <w:uiPriority w:val="99"/>
    <w:rsid w:val="00B92BE8"/>
    <w:rPr>
      <w:rFonts w:cs="Times New Roman"/>
      <w:color w:val="0000FF"/>
      <w:u w:val="single"/>
    </w:rPr>
  </w:style>
  <w:style w:type="paragraph" w:styleId="ad">
    <w:name w:val="footnote text"/>
    <w:basedOn w:val="a"/>
    <w:link w:val="ae"/>
    <w:uiPriority w:val="99"/>
    <w:rsid w:val="008C434B"/>
    <w:pPr>
      <w:spacing w:after="0" w:line="240" w:lineRule="auto"/>
    </w:pPr>
    <w:rPr>
      <w:sz w:val="24"/>
      <w:szCs w:val="24"/>
    </w:rPr>
  </w:style>
  <w:style w:type="character" w:customStyle="1" w:styleId="ae">
    <w:name w:val="脚注文字列 (文字)"/>
    <w:basedOn w:val="a0"/>
    <w:link w:val="ad"/>
    <w:uiPriority w:val="99"/>
    <w:locked/>
    <w:rsid w:val="008C434B"/>
    <w:rPr>
      <w:rFonts w:cs="Times New Roman"/>
      <w:sz w:val="24"/>
      <w:szCs w:val="24"/>
    </w:rPr>
  </w:style>
  <w:style w:type="character" w:styleId="af">
    <w:name w:val="footnote reference"/>
    <w:basedOn w:val="a0"/>
    <w:uiPriority w:val="99"/>
    <w:rsid w:val="008C434B"/>
    <w:rPr>
      <w:rFonts w:cs="Times New Roman"/>
      <w:vertAlign w:val="superscript"/>
    </w:rPr>
  </w:style>
  <w:style w:type="character" w:styleId="af0">
    <w:name w:val="FollowedHyperlink"/>
    <w:basedOn w:val="a0"/>
    <w:uiPriority w:val="99"/>
    <w:semiHidden/>
    <w:rsid w:val="007A6B6A"/>
    <w:rPr>
      <w:rFonts w:cs="Times New Roman"/>
      <w:color w:val="800080"/>
      <w:u w:val="single"/>
    </w:rPr>
  </w:style>
  <w:style w:type="paragraph" w:styleId="af1">
    <w:name w:val="footer"/>
    <w:basedOn w:val="a"/>
    <w:link w:val="af2"/>
    <w:uiPriority w:val="99"/>
    <w:rsid w:val="00465715"/>
    <w:pPr>
      <w:tabs>
        <w:tab w:val="center" w:pos="4320"/>
        <w:tab w:val="right" w:pos="8640"/>
      </w:tabs>
      <w:spacing w:after="0" w:line="240" w:lineRule="auto"/>
    </w:pPr>
  </w:style>
  <w:style w:type="character" w:customStyle="1" w:styleId="af2">
    <w:name w:val="フッター (文字)"/>
    <w:basedOn w:val="a0"/>
    <w:link w:val="af1"/>
    <w:uiPriority w:val="99"/>
    <w:locked/>
    <w:rsid w:val="00465715"/>
    <w:rPr>
      <w:rFonts w:cs="Times New Roman"/>
    </w:rPr>
  </w:style>
  <w:style w:type="character" w:styleId="af3">
    <w:name w:val="page number"/>
    <w:basedOn w:val="a0"/>
    <w:uiPriority w:val="99"/>
    <w:semiHidden/>
    <w:rsid w:val="00465715"/>
    <w:rPr>
      <w:rFonts w:cs="Times New Roman"/>
    </w:rPr>
  </w:style>
  <w:style w:type="paragraph" w:styleId="af4">
    <w:name w:val="header"/>
    <w:basedOn w:val="a"/>
    <w:link w:val="af5"/>
    <w:uiPriority w:val="99"/>
    <w:rsid w:val="009F3B81"/>
    <w:pPr>
      <w:tabs>
        <w:tab w:val="center" w:pos="4536"/>
        <w:tab w:val="right" w:pos="9072"/>
      </w:tabs>
      <w:spacing w:after="0" w:line="240" w:lineRule="auto"/>
    </w:pPr>
  </w:style>
  <w:style w:type="character" w:customStyle="1" w:styleId="af5">
    <w:name w:val="ヘッダー (文字)"/>
    <w:basedOn w:val="a0"/>
    <w:link w:val="af4"/>
    <w:uiPriority w:val="99"/>
    <w:locked/>
    <w:rsid w:val="009F3B81"/>
    <w:rPr>
      <w:rFonts w:cs="Times New Roman"/>
    </w:rPr>
  </w:style>
  <w:style w:type="paragraph" w:customStyle="1" w:styleId="Default">
    <w:name w:val="Default"/>
    <w:uiPriority w:val="99"/>
    <w:rsid w:val="005A791C"/>
    <w:pPr>
      <w:autoSpaceDE w:val="0"/>
      <w:autoSpaceDN w:val="0"/>
      <w:adjustRightInd w:val="0"/>
    </w:pPr>
    <w:rPr>
      <w:rFonts w:ascii="Arial" w:hAnsi="Arial" w:cs="Arial"/>
      <w:color w:val="000000"/>
      <w:sz w:val="24"/>
      <w:szCs w:val="24"/>
      <w:lang w:val="fr-CH" w:eastAsia="en-US"/>
    </w:rPr>
  </w:style>
  <w:style w:type="paragraph" w:customStyle="1" w:styleId="TOCI">
    <w:name w:val="TOCI"/>
    <w:basedOn w:val="Default"/>
    <w:next w:val="Default"/>
    <w:uiPriority w:val="99"/>
    <w:rsid w:val="005A791C"/>
    <w:rPr>
      <w:color w:val="auto"/>
    </w:rPr>
  </w:style>
  <w:style w:type="paragraph" w:styleId="af6">
    <w:name w:val="Revision"/>
    <w:hidden/>
    <w:uiPriority w:val="99"/>
    <w:semiHidden/>
    <w:rsid w:val="00DF4DDF"/>
    <w:rPr>
      <w:lang w:val="en-US"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EastAsia" w:hAnsi="Calibri" w:cs="Times New Roman"/>
        <w:sz w:val="22"/>
        <w:szCs w:val="22"/>
        <w:lang w:val="en-CA" w:eastAsia="en-CA"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5F66"/>
    <w:pPr>
      <w:spacing w:after="200" w:line="276" w:lineRule="auto"/>
    </w:pPr>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270FB0"/>
    <w:pPr>
      <w:ind w:left="720"/>
      <w:contextualSpacing/>
    </w:pPr>
  </w:style>
  <w:style w:type="paragraph" w:styleId="BalloonText">
    <w:name w:val="Balloon Text"/>
    <w:basedOn w:val="Normal"/>
    <w:link w:val="BalloonTextChar"/>
    <w:uiPriority w:val="99"/>
    <w:semiHidden/>
    <w:rsid w:val="00237A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37ACB"/>
    <w:rPr>
      <w:rFonts w:ascii="Tahoma" w:hAnsi="Tahoma" w:cs="Tahoma"/>
      <w:sz w:val="16"/>
      <w:szCs w:val="16"/>
    </w:rPr>
  </w:style>
  <w:style w:type="character" w:styleId="CommentReference">
    <w:name w:val="annotation reference"/>
    <w:basedOn w:val="DefaultParagraphFont"/>
    <w:uiPriority w:val="99"/>
    <w:semiHidden/>
    <w:rsid w:val="00E72BD8"/>
    <w:rPr>
      <w:rFonts w:cs="Times New Roman"/>
      <w:sz w:val="16"/>
      <w:szCs w:val="16"/>
    </w:rPr>
  </w:style>
  <w:style w:type="paragraph" w:styleId="CommentText">
    <w:name w:val="annotation text"/>
    <w:basedOn w:val="Normal"/>
    <w:link w:val="CommentTextChar"/>
    <w:uiPriority w:val="99"/>
    <w:semiHidden/>
    <w:rsid w:val="00E72BD8"/>
    <w:pPr>
      <w:spacing w:line="240" w:lineRule="auto"/>
    </w:pPr>
    <w:rPr>
      <w:sz w:val="20"/>
      <w:szCs w:val="20"/>
    </w:rPr>
  </w:style>
  <w:style w:type="character" w:customStyle="1" w:styleId="CommentTextChar">
    <w:name w:val="Comment Text Char"/>
    <w:basedOn w:val="DefaultParagraphFont"/>
    <w:link w:val="CommentText"/>
    <w:uiPriority w:val="99"/>
    <w:semiHidden/>
    <w:locked/>
    <w:rsid w:val="00E72BD8"/>
    <w:rPr>
      <w:rFonts w:cs="Times New Roman"/>
      <w:sz w:val="20"/>
      <w:szCs w:val="20"/>
    </w:rPr>
  </w:style>
  <w:style w:type="paragraph" w:styleId="CommentSubject">
    <w:name w:val="annotation subject"/>
    <w:basedOn w:val="CommentText"/>
    <w:next w:val="CommentText"/>
    <w:link w:val="CommentSubjectChar"/>
    <w:uiPriority w:val="99"/>
    <w:semiHidden/>
    <w:rsid w:val="00E72BD8"/>
    <w:rPr>
      <w:b/>
      <w:bCs/>
    </w:rPr>
  </w:style>
  <w:style w:type="character" w:customStyle="1" w:styleId="CommentSubjectChar">
    <w:name w:val="Comment Subject Char"/>
    <w:basedOn w:val="CommentTextChar"/>
    <w:link w:val="CommentSubject"/>
    <w:uiPriority w:val="99"/>
    <w:semiHidden/>
    <w:locked/>
    <w:rsid w:val="00E72BD8"/>
    <w:rPr>
      <w:rFonts w:cs="Times New Roman"/>
      <w:b/>
      <w:bCs/>
      <w:sz w:val="20"/>
      <w:szCs w:val="20"/>
    </w:rPr>
  </w:style>
  <w:style w:type="table" w:styleId="TableGrid">
    <w:name w:val="Table Grid"/>
    <w:basedOn w:val="TableNormal"/>
    <w:uiPriority w:val="99"/>
    <w:rsid w:val="00F630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B92BE8"/>
    <w:rPr>
      <w:rFonts w:cs="Times New Roman"/>
      <w:color w:val="0000FF"/>
      <w:u w:val="single"/>
    </w:rPr>
  </w:style>
  <w:style w:type="paragraph" w:styleId="FootnoteText">
    <w:name w:val="footnote text"/>
    <w:basedOn w:val="Normal"/>
    <w:link w:val="FootnoteTextChar"/>
    <w:uiPriority w:val="99"/>
    <w:rsid w:val="008C434B"/>
    <w:pPr>
      <w:spacing w:after="0" w:line="240" w:lineRule="auto"/>
    </w:pPr>
    <w:rPr>
      <w:sz w:val="24"/>
      <w:szCs w:val="24"/>
    </w:rPr>
  </w:style>
  <w:style w:type="character" w:customStyle="1" w:styleId="FootnoteTextChar">
    <w:name w:val="Footnote Text Char"/>
    <w:basedOn w:val="DefaultParagraphFont"/>
    <w:link w:val="FootnoteText"/>
    <w:uiPriority w:val="99"/>
    <w:locked/>
    <w:rsid w:val="008C434B"/>
    <w:rPr>
      <w:rFonts w:cs="Times New Roman"/>
      <w:sz w:val="24"/>
      <w:szCs w:val="24"/>
    </w:rPr>
  </w:style>
  <w:style w:type="character" w:styleId="FootnoteReference">
    <w:name w:val="footnote reference"/>
    <w:basedOn w:val="DefaultParagraphFont"/>
    <w:uiPriority w:val="99"/>
    <w:rsid w:val="008C434B"/>
    <w:rPr>
      <w:rFonts w:cs="Times New Roman"/>
      <w:vertAlign w:val="superscript"/>
    </w:rPr>
  </w:style>
  <w:style w:type="character" w:styleId="FollowedHyperlink">
    <w:name w:val="FollowedHyperlink"/>
    <w:basedOn w:val="DefaultParagraphFont"/>
    <w:uiPriority w:val="99"/>
    <w:semiHidden/>
    <w:rsid w:val="007A6B6A"/>
    <w:rPr>
      <w:rFonts w:cs="Times New Roman"/>
      <w:color w:val="800080"/>
      <w:u w:val="single"/>
    </w:rPr>
  </w:style>
  <w:style w:type="paragraph" w:styleId="Footer">
    <w:name w:val="footer"/>
    <w:basedOn w:val="Normal"/>
    <w:link w:val="FooterChar"/>
    <w:uiPriority w:val="99"/>
    <w:rsid w:val="00465715"/>
    <w:pPr>
      <w:tabs>
        <w:tab w:val="center" w:pos="4320"/>
        <w:tab w:val="right" w:pos="8640"/>
      </w:tabs>
      <w:spacing w:after="0" w:line="240" w:lineRule="auto"/>
    </w:pPr>
  </w:style>
  <w:style w:type="character" w:customStyle="1" w:styleId="FooterChar">
    <w:name w:val="Footer Char"/>
    <w:basedOn w:val="DefaultParagraphFont"/>
    <w:link w:val="Footer"/>
    <w:uiPriority w:val="99"/>
    <w:locked/>
    <w:rsid w:val="00465715"/>
    <w:rPr>
      <w:rFonts w:cs="Times New Roman"/>
    </w:rPr>
  </w:style>
  <w:style w:type="character" w:styleId="PageNumber">
    <w:name w:val="page number"/>
    <w:basedOn w:val="DefaultParagraphFont"/>
    <w:uiPriority w:val="99"/>
    <w:semiHidden/>
    <w:rsid w:val="00465715"/>
    <w:rPr>
      <w:rFonts w:cs="Times New Roman"/>
    </w:rPr>
  </w:style>
  <w:style w:type="paragraph" w:styleId="Header">
    <w:name w:val="header"/>
    <w:basedOn w:val="Normal"/>
    <w:link w:val="HeaderChar"/>
    <w:uiPriority w:val="99"/>
    <w:rsid w:val="009F3B81"/>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9F3B81"/>
    <w:rPr>
      <w:rFonts w:cs="Times New Roman"/>
    </w:rPr>
  </w:style>
  <w:style w:type="paragraph" w:customStyle="1" w:styleId="Default">
    <w:name w:val="Default"/>
    <w:uiPriority w:val="99"/>
    <w:rsid w:val="005A791C"/>
    <w:pPr>
      <w:autoSpaceDE w:val="0"/>
      <w:autoSpaceDN w:val="0"/>
      <w:adjustRightInd w:val="0"/>
    </w:pPr>
    <w:rPr>
      <w:rFonts w:ascii="Arial" w:hAnsi="Arial" w:cs="Arial"/>
      <w:color w:val="000000"/>
      <w:sz w:val="24"/>
      <w:szCs w:val="24"/>
      <w:lang w:val="fr-CH" w:eastAsia="en-US"/>
    </w:rPr>
  </w:style>
  <w:style w:type="paragraph" w:customStyle="1" w:styleId="TOCI">
    <w:name w:val="TOCI"/>
    <w:basedOn w:val="Default"/>
    <w:next w:val="Default"/>
    <w:uiPriority w:val="99"/>
    <w:rsid w:val="005A791C"/>
    <w:rPr>
      <w:color w:val="auto"/>
    </w:rPr>
  </w:style>
  <w:style w:type="paragraph" w:styleId="Revision">
    <w:name w:val="Revision"/>
    <w:hidden/>
    <w:uiPriority w:val="99"/>
    <w:semiHidden/>
    <w:rsid w:val="00DF4DDF"/>
    <w:rPr>
      <w:lang w:val="en-US" w:eastAsia="en-US"/>
    </w:rPr>
  </w:style>
</w:styles>
</file>

<file path=word/webSettings.xml><?xml version="1.0" encoding="utf-8"?>
<w:webSettings xmlns:r="http://schemas.openxmlformats.org/officeDocument/2006/relationships" xmlns:w="http://schemas.openxmlformats.org/wordprocessingml/2006/main">
  <w:divs>
    <w:div w:id="1154569794">
      <w:marLeft w:val="0"/>
      <w:marRight w:val="0"/>
      <w:marTop w:val="0"/>
      <w:marBottom w:val="0"/>
      <w:divBdr>
        <w:top w:val="none" w:sz="0" w:space="0" w:color="auto"/>
        <w:left w:val="none" w:sz="0" w:space="0" w:color="auto"/>
        <w:bottom w:val="none" w:sz="0" w:space="0" w:color="auto"/>
        <w:right w:val="none" w:sz="0" w:space="0" w:color="auto"/>
      </w:divBdr>
      <w:divsChild>
        <w:div w:id="1154569900">
          <w:marLeft w:val="0"/>
          <w:marRight w:val="0"/>
          <w:marTop w:val="0"/>
          <w:marBottom w:val="0"/>
          <w:divBdr>
            <w:top w:val="none" w:sz="0" w:space="0" w:color="auto"/>
            <w:left w:val="none" w:sz="0" w:space="0" w:color="auto"/>
            <w:bottom w:val="none" w:sz="0" w:space="0" w:color="auto"/>
            <w:right w:val="none" w:sz="0" w:space="0" w:color="auto"/>
          </w:divBdr>
          <w:divsChild>
            <w:div w:id="1154569816">
              <w:marLeft w:val="0"/>
              <w:marRight w:val="0"/>
              <w:marTop w:val="0"/>
              <w:marBottom w:val="0"/>
              <w:divBdr>
                <w:top w:val="none" w:sz="0" w:space="0" w:color="auto"/>
                <w:left w:val="none" w:sz="0" w:space="0" w:color="auto"/>
                <w:bottom w:val="none" w:sz="0" w:space="0" w:color="auto"/>
                <w:right w:val="none" w:sz="0" w:space="0" w:color="auto"/>
              </w:divBdr>
              <w:divsChild>
                <w:div w:id="1154569796">
                  <w:marLeft w:val="0"/>
                  <w:marRight w:val="0"/>
                  <w:marTop w:val="0"/>
                  <w:marBottom w:val="0"/>
                  <w:divBdr>
                    <w:top w:val="none" w:sz="0" w:space="0" w:color="auto"/>
                    <w:left w:val="none" w:sz="0" w:space="0" w:color="auto"/>
                    <w:bottom w:val="none" w:sz="0" w:space="0" w:color="auto"/>
                    <w:right w:val="none" w:sz="0" w:space="0" w:color="auto"/>
                  </w:divBdr>
                  <w:divsChild>
                    <w:div w:id="1154569990">
                      <w:marLeft w:val="0"/>
                      <w:marRight w:val="0"/>
                      <w:marTop w:val="0"/>
                      <w:marBottom w:val="0"/>
                      <w:divBdr>
                        <w:top w:val="none" w:sz="0" w:space="0" w:color="auto"/>
                        <w:left w:val="none" w:sz="0" w:space="0" w:color="auto"/>
                        <w:bottom w:val="none" w:sz="0" w:space="0" w:color="auto"/>
                        <w:right w:val="none" w:sz="0" w:space="0" w:color="auto"/>
                      </w:divBdr>
                      <w:divsChild>
                        <w:div w:id="1154569985">
                          <w:marLeft w:val="0"/>
                          <w:marRight w:val="0"/>
                          <w:marTop w:val="0"/>
                          <w:marBottom w:val="0"/>
                          <w:divBdr>
                            <w:top w:val="none" w:sz="0" w:space="0" w:color="auto"/>
                            <w:left w:val="none" w:sz="0" w:space="0" w:color="auto"/>
                            <w:bottom w:val="none" w:sz="0" w:space="0" w:color="auto"/>
                            <w:right w:val="none" w:sz="0" w:space="0" w:color="auto"/>
                          </w:divBdr>
                          <w:divsChild>
                            <w:div w:id="1154569814">
                              <w:marLeft w:val="0"/>
                              <w:marRight w:val="0"/>
                              <w:marTop w:val="0"/>
                              <w:marBottom w:val="0"/>
                              <w:divBdr>
                                <w:top w:val="none" w:sz="0" w:space="0" w:color="auto"/>
                                <w:left w:val="none" w:sz="0" w:space="0" w:color="auto"/>
                                <w:bottom w:val="none" w:sz="0" w:space="0" w:color="auto"/>
                                <w:right w:val="none" w:sz="0" w:space="0" w:color="auto"/>
                              </w:divBdr>
                              <w:divsChild>
                                <w:div w:id="1154569897">
                                  <w:marLeft w:val="0"/>
                                  <w:marRight w:val="0"/>
                                  <w:marTop w:val="0"/>
                                  <w:marBottom w:val="0"/>
                                  <w:divBdr>
                                    <w:top w:val="none" w:sz="0" w:space="0" w:color="auto"/>
                                    <w:left w:val="none" w:sz="0" w:space="0" w:color="auto"/>
                                    <w:bottom w:val="none" w:sz="0" w:space="0" w:color="auto"/>
                                    <w:right w:val="none" w:sz="0" w:space="0" w:color="auto"/>
                                  </w:divBdr>
                                  <w:divsChild>
                                    <w:div w:id="115456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4569812">
      <w:marLeft w:val="0"/>
      <w:marRight w:val="0"/>
      <w:marTop w:val="0"/>
      <w:marBottom w:val="0"/>
      <w:divBdr>
        <w:top w:val="none" w:sz="0" w:space="0" w:color="auto"/>
        <w:left w:val="none" w:sz="0" w:space="0" w:color="auto"/>
        <w:bottom w:val="none" w:sz="0" w:space="0" w:color="auto"/>
        <w:right w:val="none" w:sz="0" w:space="0" w:color="auto"/>
      </w:divBdr>
      <w:divsChild>
        <w:div w:id="1154569795">
          <w:marLeft w:val="0"/>
          <w:marRight w:val="0"/>
          <w:marTop w:val="0"/>
          <w:marBottom w:val="0"/>
          <w:divBdr>
            <w:top w:val="none" w:sz="0" w:space="0" w:color="auto"/>
            <w:left w:val="none" w:sz="0" w:space="0" w:color="auto"/>
            <w:bottom w:val="none" w:sz="0" w:space="0" w:color="auto"/>
            <w:right w:val="none" w:sz="0" w:space="0" w:color="auto"/>
          </w:divBdr>
          <w:divsChild>
            <w:div w:id="1154570019">
              <w:marLeft w:val="0"/>
              <w:marRight w:val="0"/>
              <w:marTop w:val="0"/>
              <w:marBottom w:val="0"/>
              <w:divBdr>
                <w:top w:val="none" w:sz="0" w:space="0" w:color="auto"/>
                <w:left w:val="none" w:sz="0" w:space="0" w:color="auto"/>
                <w:bottom w:val="none" w:sz="0" w:space="0" w:color="auto"/>
                <w:right w:val="none" w:sz="0" w:space="0" w:color="auto"/>
              </w:divBdr>
              <w:divsChild>
                <w:div w:id="1154569869">
                  <w:marLeft w:val="0"/>
                  <w:marRight w:val="0"/>
                  <w:marTop w:val="0"/>
                  <w:marBottom w:val="0"/>
                  <w:divBdr>
                    <w:top w:val="none" w:sz="0" w:space="0" w:color="auto"/>
                    <w:left w:val="none" w:sz="0" w:space="0" w:color="auto"/>
                    <w:bottom w:val="none" w:sz="0" w:space="0" w:color="auto"/>
                    <w:right w:val="none" w:sz="0" w:space="0" w:color="auto"/>
                  </w:divBdr>
                  <w:divsChild>
                    <w:div w:id="1154569786">
                      <w:marLeft w:val="0"/>
                      <w:marRight w:val="0"/>
                      <w:marTop w:val="0"/>
                      <w:marBottom w:val="0"/>
                      <w:divBdr>
                        <w:top w:val="none" w:sz="0" w:space="0" w:color="auto"/>
                        <w:left w:val="none" w:sz="0" w:space="0" w:color="auto"/>
                        <w:bottom w:val="none" w:sz="0" w:space="0" w:color="auto"/>
                        <w:right w:val="none" w:sz="0" w:space="0" w:color="auto"/>
                      </w:divBdr>
                      <w:divsChild>
                        <w:div w:id="1154569783">
                          <w:marLeft w:val="0"/>
                          <w:marRight w:val="0"/>
                          <w:marTop w:val="0"/>
                          <w:marBottom w:val="0"/>
                          <w:divBdr>
                            <w:top w:val="none" w:sz="0" w:space="0" w:color="auto"/>
                            <w:left w:val="none" w:sz="0" w:space="0" w:color="auto"/>
                            <w:bottom w:val="none" w:sz="0" w:space="0" w:color="auto"/>
                            <w:right w:val="none" w:sz="0" w:space="0" w:color="auto"/>
                          </w:divBdr>
                          <w:divsChild>
                            <w:div w:id="1154569882">
                              <w:marLeft w:val="0"/>
                              <w:marRight w:val="0"/>
                              <w:marTop w:val="0"/>
                              <w:marBottom w:val="0"/>
                              <w:divBdr>
                                <w:top w:val="none" w:sz="0" w:space="0" w:color="auto"/>
                                <w:left w:val="none" w:sz="0" w:space="0" w:color="auto"/>
                                <w:bottom w:val="none" w:sz="0" w:space="0" w:color="auto"/>
                                <w:right w:val="none" w:sz="0" w:space="0" w:color="auto"/>
                              </w:divBdr>
                              <w:divsChild>
                                <w:div w:id="1154569849">
                                  <w:marLeft w:val="0"/>
                                  <w:marRight w:val="0"/>
                                  <w:marTop w:val="0"/>
                                  <w:marBottom w:val="0"/>
                                  <w:divBdr>
                                    <w:top w:val="none" w:sz="0" w:space="0" w:color="auto"/>
                                    <w:left w:val="none" w:sz="0" w:space="0" w:color="auto"/>
                                    <w:bottom w:val="none" w:sz="0" w:space="0" w:color="auto"/>
                                    <w:right w:val="none" w:sz="0" w:space="0" w:color="auto"/>
                                  </w:divBdr>
                                  <w:divsChild>
                                    <w:div w:id="1154569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4569813">
      <w:marLeft w:val="0"/>
      <w:marRight w:val="0"/>
      <w:marTop w:val="0"/>
      <w:marBottom w:val="0"/>
      <w:divBdr>
        <w:top w:val="none" w:sz="0" w:space="0" w:color="auto"/>
        <w:left w:val="none" w:sz="0" w:space="0" w:color="auto"/>
        <w:bottom w:val="none" w:sz="0" w:space="0" w:color="auto"/>
        <w:right w:val="none" w:sz="0" w:space="0" w:color="auto"/>
      </w:divBdr>
      <w:divsChild>
        <w:div w:id="1154569874">
          <w:marLeft w:val="0"/>
          <w:marRight w:val="0"/>
          <w:marTop w:val="0"/>
          <w:marBottom w:val="0"/>
          <w:divBdr>
            <w:top w:val="none" w:sz="0" w:space="0" w:color="auto"/>
            <w:left w:val="none" w:sz="0" w:space="0" w:color="auto"/>
            <w:bottom w:val="none" w:sz="0" w:space="0" w:color="auto"/>
            <w:right w:val="none" w:sz="0" w:space="0" w:color="auto"/>
          </w:divBdr>
          <w:divsChild>
            <w:div w:id="1154569825">
              <w:marLeft w:val="0"/>
              <w:marRight w:val="0"/>
              <w:marTop w:val="0"/>
              <w:marBottom w:val="0"/>
              <w:divBdr>
                <w:top w:val="none" w:sz="0" w:space="0" w:color="auto"/>
                <w:left w:val="none" w:sz="0" w:space="0" w:color="auto"/>
                <w:bottom w:val="none" w:sz="0" w:space="0" w:color="auto"/>
                <w:right w:val="none" w:sz="0" w:space="0" w:color="auto"/>
              </w:divBdr>
              <w:divsChild>
                <w:div w:id="1154569938">
                  <w:marLeft w:val="0"/>
                  <w:marRight w:val="0"/>
                  <w:marTop w:val="0"/>
                  <w:marBottom w:val="0"/>
                  <w:divBdr>
                    <w:top w:val="none" w:sz="0" w:space="0" w:color="auto"/>
                    <w:left w:val="none" w:sz="0" w:space="0" w:color="auto"/>
                    <w:bottom w:val="none" w:sz="0" w:space="0" w:color="auto"/>
                    <w:right w:val="none" w:sz="0" w:space="0" w:color="auto"/>
                  </w:divBdr>
                  <w:divsChild>
                    <w:div w:id="1154569817">
                      <w:marLeft w:val="0"/>
                      <w:marRight w:val="0"/>
                      <w:marTop w:val="0"/>
                      <w:marBottom w:val="0"/>
                      <w:divBdr>
                        <w:top w:val="none" w:sz="0" w:space="0" w:color="auto"/>
                        <w:left w:val="none" w:sz="0" w:space="0" w:color="auto"/>
                        <w:bottom w:val="none" w:sz="0" w:space="0" w:color="auto"/>
                        <w:right w:val="none" w:sz="0" w:space="0" w:color="auto"/>
                      </w:divBdr>
                      <w:divsChild>
                        <w:div w:id="1154569785">
                          <w:marLeft w:val="0"/>
                          <w:marRight w:val="0"/>
                          <w:marTop w:val="0"/>
                          <w:marBottom w:val="0"/>
                          <w:divBdr>
                            <w:top w:val="none" w:sz="0" w:space="0" w:color="auto"/>
                            <w:left w:val="none" w:sz="0" w:space="0" w:color="auto"/>
                            <w:bottom w:val="none" w:sz="0" w:space="0" w:color="auto"/>
                            <w:right w:val="none" w:sz="0" w:space="0" w:color="auto"/>
                          </w:divBdr>
                          <w:divsChild>
                            <w:div w:id="1154569827">
                              <w:marLeft w:val="0"/>
                              <w:marRight w:val="0"/>
                              <w:marTop w:val="0"/>
                              <w:marBottom w:val="0"/>
                              <w:divBdr>
                                <w:top w:val="none" w:sz="0" w:space="0" w:color="auto"/>
                                <w:left w:val="none" w:sz="0" w:space="0" w:color="auto"/>
                                <w:bottom w:val="none" w:sz="0" w:space="0" w:color="auto"/>
                                <w:right w:val="none" w:sz="0" w:space="0" w:color="auto"/>
                              </w:divBdr>
                              <w:divsChild>
                                <w:div w:id="1154569935">
                                  <w:marLeft w:val="0"/>
                                  <w:marRight w:val="0"/>
                                  <w:marTop w:val="0"/>
                                  <w:marBottom w:val="0"/>
                                  <w:divBdr>
                                    <w:top w:val="none" w:sz="0" w:space="0" w:color="auto"/>
                                    <w:left w:val="none" w:sz="0" w:space="0" w:color="auto"/>
                                    <w:bottom w:val="none" w:sz="0" w:space="0" w:color="auto"/>
                                    <w:right w:val="none" w:sz="0" w:space="0" w:color="auto"/>
                                  </w:divBdr>
                                  <w:divsChild>
                                    <w:div w:id="115456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4569822">
      <w:marLeft w:val="0"/>
      <w:marRight w:val="0"/>
      <w:marTop w:val="0"/>
      <w:marBottom w:val="0"/>
      <w:divBdr>
        <w:top w:val="none" w:sz="0" w:space="0" w:color="auto"/>
        <w:left w:val="none" w:sz="0" w:space="0" w:color="auto"/>
        <w:bottom w:val="none" w:sz="0" w:space="0" w:color="auto"/>
        <w:right w:val="none" w:sz="0" w:space="0" w:color="auto"/>
      </w:divBdr>
      <w:divsChild>
        <w:div w:id="1154569979">
          <w:marLeft w:val="0"/>
          <w:marRight w:val="0"/>
          <w:marTop w:val="0"/>
          <w:marBottom w:val="0"/>
          <w:divBdr>
            <w:top w:val="none" w:sz="0" w:space="0" w:color="auto"/>
            <w:left w:val="none" w:sz="0" w:space="0" w:color="auto"/>
            <w:bottom w:val="none" w:sz="0" w:space="0" w:color="auto"/>
            <w:right w:val="none" w:sz="0" w:space="0" w:color="auto"/>
          </w:divBdr>
          <w:divsChild>
            <w:div w:id="1154569911">
              <w:marLeft w:val="0"/>
              <w:marRight w:val="0"/>
              <w:marTop w:val="0"/>
              <w:marBottom w:val="0"/>
              <w:divBdr>
                <w:top w:val="none" w:sz="0" w:space="0" w:color="auto"/>
                <w:left w:val="none" w:sz="0" w:space="0" w:color="auto"/>
                <w:bottom w:val="none" w:sz="0" w:space="0" w:color="auto"/>
                <w:right w:val="none" w:sz="0" w:space="0" w:color="auto"/>
              </w:divBdr>
              <w:divsChild>
                <w:div w:id="1154569954">
                  <w:marLeft w:val="0"/>
                  <w:marRight w:val="0"/>
                  <w:marTop w:val="0"/>
                  <w:marBottom w:val="0"/>
                  <w:divBdr>
                    <w:top w:val="none" w:sz="0" w:space="0" w:color="auto"/>
                    <w:left w:val="none" w:sz="0" w:space="0" w:color="auto"/>
                    <w:bottom w:val="none" w:sz="0" w:space="0" w:color="auto"/>
                    <w:right w:val="none" w:sz="0" w:space="0" w:color="auto"/>
                  </w:divBdr>
                  <w:divsChild>
                    <w:div w:id="1154569854">
                      <w:marLeft w:val="0"/>
                      <w:marRight w:val="0"/>
                      <w:marTop w:val="0"/>
                      <w:marBottom w:val="0"/>
                      <w:divBdr>
                        <w:top w:val="none" w:sz="0" w:space="0" w:color="auto"/>
                        <w:left w:val="none" w:sz="0" w:space="0" w:color="auto"/>
                        <w:bottom w:val="none" w:sz="0" w:space="0" w:color="auto"/>
                        <w:right w:val="none" w:sz="0" w:space="0" w:color="auto"/>
                      </w:divBdr>
                      <w:divsChild>
                        <w:div w:id="1154569978">
                          <w:marLeft w:val="0"/>
                          <w:marRight w:val="0"/>
                          <w:marTop w:val="0"/>
                          <w:marBottom w:val="0"/>
                          <w:divBdr>
                            <w:top w:val="none" w:sz="0" w:space="0" w:color="auto"/>
                            <w:left w:val="none" w:sz="0" w:space="0" w:color="auto"/>
                            <w:bottom w:val="none" w:sz="0" w:space="0" w:color="auto"/>
                            <w:right w:val="none" w:sz="0" w:space="0" w:color="auto"/>
                          </w:divBdr>
                          <w:divsChild>
                            <w:div w:id="1154569945">
                              <w:marLeft w:val="0"/>
                              <w:marRight w:val="0"/>
                              <w:marTop w:val="0"/>
                              <w:marBottom w:val="0"/>
                              <w:divBdr>
                                <w:top w:val="none" w:sz="0" w:space="0" w:color="auto"/>
                                <w:left w:val="none" w:sz="0" w:space="0" w:color="auto"/>
                                <w:bottom w:val="none" w:sz="0" w:space="0" w:color="auto"/>
                                <w:right w:val="none" w:sz="0" w:space="0" w:color="auto"/>
                              </w:divBdr>
                              <w:divsChild>
                                <w:div w:id="1154569846">
                                  <w:marLeft w:val="0"/>
                                  <w:marRight w:val="0"/>
                                  <w:marTop w:val="0"/>
                                  <w:marBottom w:val="0"/>
                                  <w:divBdr>
                                    <w:top w:val="none" w:sz="0" w:space="0" w:color="auto"/>
                                    <w:left w:val="none" w:sz="0" w:space="0" w:color="auto"/>
                                    <w:bottom w:val="none" w:sz="0" w:space="0" w:color="auto"/>
                                    <w:right w:val="none" w:sz="0" w:space="0" w:color="auto"/>
                                  </w:divBdr>
                                  <w:divsChild>
                                    <w:div w:id="115456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4569824">
      <w:marLeft w:val="0"/>
      <w:marRight w:val="0"/>
      <w:marTop w:val="0"/>
      <w:marBottom w:val="0"/>
      <w:divBdr>
        <w:top w:val="none" w:sz="0" w:space="0" w:color="auto"/>
        <w:left w:val="none" w:sz="0" w:space="0" w:color="auto"/>
        <w:bottom w:val="none" w:sz="0" w:space="0" w:color="auto"/>
        <w:right w:val="none" w:sz="0" w:space="0" w:color="auto"/>
      </w:divBdr>
      <w:divsChild>
        <w:div w:id="1154569828">
          <w:marLeft w:val="0"/>
          <w:marRight w:val="0"/>
          <w:marTop w:val="0"/>
          <w:marBottom w:val="0"/>
          <w:divBdr>
            <w:top w:val="none" w:sz="0" w:space="0" w:color="auto"/>
            <w:left w:val="none" w:sz="0" w:space="0" w:color="auto"/>
            <w:bottom w:val="none" w:sz="0" w:space="0" w:color="auto"/>
            <w:right w:val="none" w:sz="0" w:space="0" w:color="auto"/>
          </w:divBdr>
          <w:divsChild>
            <w:div w:id="1154569907">
              <w:marLeft w:val="0"/>
              <w:marRight w:val="0"/>
              <w:marTop w:val="0"/>
              <w:marBottom w:val="0"/>
              <w:divBdr>
                <w:top w:val="none" w:sz="0" w:space="0" w:color="auto"/>
                <w:left w:val="none" w:sz="0" w:space="0" w:color="auto"/>
                <w:bottom w:val="none" w:sz="0" w:space="0" w:color="auto"/>
                <w:right w:val="none" w:sz="0" w:space="0" w:color="auto"/>
              </w:divBdr>
              <w:divsChild>
                <w:div w:id="1154569996">
                  <w:marLeft w:val="0"/>
                  <w:marRight w:val="0"/>
                  <w:marTop w:val="0"/>
                  <w:marBottom w:val="0"/>
                  <w:divBdr>
                    <w:top w:val="none" w:sz="0" w:space="0" w:color="auto"/>
                    <w:left w:val="none" w:sz="0" w:space="0" w:color="auto"/>
                    <w:bottom w:val="none" w:sz="0" w:space="0" w:color="auto"/>
                    <w:right w:val="none" w:sz="0" w:space="0" w:color="auto"/>
                  </w:divBdr>
                  <w:divsChild>
                    <w:div w:id="1154570012">
                      <w:marLeft w:val="0"/>
                      <w:marRight w:val="0"/>
                      <w:marTop w:val="0"/>
                      <w:marBottom w:val="0"/>
                      <w:divBdr>
                        <w:top w:val="none" w:sz="0" w:space="0" w:color="auto"/>
                        <w:left w:val="none" w:sz="0" w:space="0" w:color="auto"/>
                        <w:bottom w:val="none" w:sz="0" w:space="0" w:color="auto"/>
                        <w:right w:val="none" w:sz="0" w:space="0" w:color="auto"/>
                      </w:divBdr>
                      <w:divsChild>
                        <w:div w:id="1154569943">
                          <w:marLeft w:val="0"/>
                          <w:marRight w:val="0"/>
                          <w:marTop w:val="0"/>
                          <w:marBottom w:val="0"/>
                          <w:divBdr>
                            <w:top w:val="none" w:sz="0" w:space="0" w:color="auto"/>
                            <w:left w:val="none" w:sz="0" w:space="0" w:color="auto"/>
                            <w:bottom w:val="none" w:sz="0" w:space="0" w:color="auto"/>
                            <w:right w:val="none" w:sz="0" w:space="0" w:color="auto"/>
                          </w:divBdr>
                          <w:divsChild>
                            <w:div w:id="1154569982">
                              <w:marLeft w:val="0"/>
                              <w:marRight w:val="0"/>
                              <w:marTop w:val="0"/>
                              <w:marBottom w:val="0"/>
                              <w:divBdr>
                                <w:top w:val="none" w:sz="0" w:space="0" w:color="auto"/>
                                <w:left w:val="none" w:sz="0" w:space="0" w:color="auto"/>
                                <w:bottom w:val="none" w:sz="0" w:space="0" w:color="auto"/>
                                <w:right w:val="none" w:sz="0" w:space="0" w:color="auto"/>
                              </w:divBdr>
                              <w:divsChild>
                                <w:div w:id="1154570018">
                                  <w:marLeft w:val="0"/>
                                  <w:marRight w:val="0"/>
                                  <w:marTop w:val="0"/>
                                  <w:marBottom w:val="0"/>
                                  <w:divBdr>
                                    <w:top w:val="none" w:sz="0" w:space="0" w:color="auto"/>
                                    <w:left w:val="none" w:sz="0" w:space="0" w:color="auto"/>
                                    <w:bottom w:val="none" w:sz="0" w:space="0" w:color="auto"/>
                                    <w:right w:val="none" w:sz="0" w:space="0" w:color="auto"/>
                                  </w:divBdr>
                                  <w:divsChild>
                                    <w:div w:id="115456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4569832">
      <w:marLeft w:val="0"/>
      <w:marRight w:val="0"/>
      <w:marTop w:val="0"/>
      <w:marBottom w:val="0"/>
      <w:divBdr>
        <w:top w:val="none" w:sz="0" w:space="0" w:color="auto"/>
        <w:left w:val="none" w:sz="0" w:space="0" w:color="auto"/>
        <w:bottom w:val="none" w:sz="0" w:space="0" w:color="auto"/>
        <w:right w:val="none" w:sz="0" w:space="0" w:color="auto"/>
      </w:divBdr>
      <w:divsChild>
        <w:div w:id="1154569932">
          <w:marLeft w:val="0"/>
          <w:marRight w:val="0"/>
          <w:marTop w:val="0"/>
          <w:marBottom w:val="0"/>
          <w:divBdr>
            <w:top w:val="none" w:sz="0" w:space="0" w:color="auto"/>
            <w:left w:val="none" w:sz="0" w:space="0" w:color="auto"/>
            <w:bottom w:val="none" w:sz="0" w:space="0" w:color="auto"/>
            <w:right w:val="none" w:sz="0" w:space="0" w:color="auto"/>
          </w:divBdr>
          <w:divsChild>
            <w:div w:id="1154569853">
              <w:marLeft w:val="0"/>
              <w:marRight w:val="0"/>
              <w:marTop w:val="0"/>
              <w:marBottom w:val="0"/>
              <w:divBdr>
                <w:top w:val="none" w:sz="0" w:space="0" w:color="auto"/>
                <w:left w:val="none" w:sz="0" w:space="0" w:color="auto"/>
                <w:bottom w:val="none" w:sz="0" w:space="0" w:color="auto"/>
                <w:right w:val="none" w:sz="0" w:space="0" w:color="auto"/>
              </w:divBdr>
              <w:divsChild>
                <w:div w:id="1154569901">
                  <w:marLeft w:val="0"/>
                  <w:marRight w:val="0"/>
                  <w:marTop w:val="0"/>
                  <w:marBottom w:val="0"/>
                  <w:divBdr>
                    <w:top w:val="none" w:sz="0" w:space="0" w:color="auto"/>
                    <w:left w:val="none" w:sz="0" w:space="0" w:color="auto"/>
                    <w:bottom w:val="none" w:sz="0" w:space="0" w:color="auto"/>
                    <w:right w:val="none" w:sz="0" w:space="0" w:color="auto"/>
                  </w:divBdr>
                  <w:divsChild>
                    <w:div w:id="1154569864">
                      <w:marLeft w:val="0"/>
                      <w:marRight w:val="0"/>
                      <w:marTop w:val="0"/>
                      <w:marBottom w:val="0"/>
                      <w:divBdr>
                        <w:top w:val="none" w:sz="0" w:space="0" w:color="auto"/>
                        <w:left w:val="none" w:sz="0" w:space="0" w:color="auto"/>
                        <w:bottom w:val="none" w:sz="0" w:space="0" w:color="auto"/>
                        <w:right w:val="none" w:sz="0" w:space="0" w:color="auto"/>
                      </w:divBdr>
                      <w:divsChild>
                        <w:div w:id="1154569818">
                          <w:marLeft w:val="0"/>
                          <w:marRight w:val="0"/>
                          <w:marTop w:val="0"/>
                          <w:marBottom w:val="0"/>
                          <w:divBdr>
                            <w:top w:val="none" w:sz="0" w:space="0" w:color="auto"/>
                            <w:left w:val="none" w:sz="0" w:space="0" w:color="auto"/>
                            <w:bottom w:val="none" w:sz="0" w:space="0" w:color="auto"/>
                            <w:right w:val="none" w:sz="0" w:space="0" w:color="auto"/>
                          </w:divBdr>
                          <w:divsChild>
                            <w:div w:id="1154569946">
                              <w:marLeft w:val="0"/>
                              <w:marRight w:val="0"/>
                              <w:marTop w:val="0"/>
                              <w:marBottom w:val="0"/>
                              <w:divBdr>
                                <w:top w:val="none" w:sz="0" w:space="0" w:color="auto"/>
                                <w:left w:val="none" w:sz="0" w:space="0" w:color="auto"/>
                                <w:bottom w:val="none" w:sz="0" w:space="0" w:color="auto"/>
                                <w:right w:val="none" w:sz="0" w:space="0" w:color="auto"/>
                              </w:divBdr>
                              <w:divsChild>
                                <w:div w:id="1154569994">
                                  <w:marLeft w:val="0"/>
                                  <w:marRight w:val="0"/>
                                  <w:marTop w:val="0"/>
                                  <w:marBottom w:val="0"/>
                                  <w:divBdr>
                                    <w:top w:val="none" w:sz="0" w:space="0" w:color="auto"/>
                                    <w:left w:val="none" w:sz="0" w:space="0" w:color="auto"/>
                                    <w:bottom w:val="none" w:sz="0" w:space="0" w:color="auto"/>
                                    <w:right w:val="none" w:sz="0" w:space="0" w:color="auto"/>
                                  </w:divBdr>
                                  <w:divsChild>
                                    <w:div w:id="115456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4569842">
      <w:marLeft w:val="0"/>
      <w:marRight w:val="0"/>
      <w:marTop w:val="0"/>
      <w:marBottom w:val="0"/>
      <w:divBdr>
        <w:top w:val="none" w:sz="0" w:space="0" w:color="auto"/>
        <w:left w:val="none" w:sz="0" w:space="0" w:color="auto"/>
        <w:bottom w:val="none" w:sz="0" w:space="0" w:color="auto"/>
        <w:right w:val="none" w:sz="0" w:space="0" w:color="auto"/>
      </w:divBdr>
      <w:divsChild>
        <w:div w:id="1154570013">
          <w:marLeft w:val="0"/>
          <w:marRight w:val="0"/>
          <w:marTop w:val="0"/>
          <w:marBottom w:val="0"/>
          <w:divBdr>
            <w:top w:val="none" w:sz="0" w:space="0" w:color="auto"/>
            <w:left w:val="none" w:sz="0" w:space="0" w:color="auto"/>
            <w:bottom w:val="none" w:sz="0" w:space="0" w:color="auto"/>
            <w:right w:val="none" w:sz="0" w:space="0" w:color="auto"/>
          </w:divBdr>
          <w:divsChild>
            <w:div w:id="1154569917">
              <w:marLeft w:val="0"/>
              <w:marRight w:val="0"/>
              <w:marTop w:val="0"/>
              <w:marBottom w:val="0"/>
              <w:divBdr>
                <w:top w:val="none" w:sz="0" w:space="0" w:color="auto"/>
                <w:left w:val="none" w:sz="0" w:space="0" w:color="auto"/>
                <w:bottom w:val="none" w:sz="0" w:space="0" w:color="auto"/>
                <w:right w:val="none" w:sz="0" w:space="0" w:color="auto"/>
              </w:divBdr>
              <w:divsChild>
                <w:div w:id="1154570020">
                  <w:marLeft w:val="0"/>
                  <w:marRight w:val="0"/>
                  <w:marTop w:val="0"/>
                  <w:marBottom w:val="0"/>
                  <w:divBdr>
                    <w:top w:val="none" w:sz="0" w:space="0" w:color="auto"/>
                    <w:left w:val="none" w:sz="0" w:space="0" w:color="auto"/>
                    <w:bottom w:val="none" w:sz="0" w:space="0" w:color="auto"/>
                    <w:right w:val="none" w:sz="0" w:space="0" w:color="auto"/>
                  </w:divBdr>
                  <w:divsChild>
                    <w:div w:id="1154569939">
                      <w:marLeft w:val="0"/>
                      <w:marRight w:val="0"/>
                      <w:marTop w:val="0"/>
                      <w:marBottom w:val="0"/>
                      <w:divBdr>
                        <w:top w:val="none" w:sz="0" w:space="0" w:color="auto"/>
                        <w:left w:val="none" w:sz="0" w:space="0" w:color="auto"/>
                        <w:bottom w:val="none" w:sz="0" w:space="0" w:color="auto"/>
                        <w:right w:val="none" w:sz="0" w:space="0" w:color="auto"/>
                      </w:divBdr>
                      <w:divsChild>
                        <w:div w:id="1154569871">
                          <w:marLeft w:val="0"/>
                          <w:marRight w:val="0"/>
                          <w:marTop w:val="0"/>
                          <w:marBottom w:val="0"/>
                          <w:divBdr>
                            <w:top w:val="none" w:sz="0" w:space="0" w:color="auto"/>
                            <w:left w:val="none" w:sz="0" w:space="0" w:color="auto"/>
                            <w:bottom w:val="none" w:sz="0" w:space="0" w:color="auto"/>
                            <w:right w:val="none" w:sz="0" w:space="0" w:color="auto"/>
                          </w:divBdr>
                          <w:divsChild>
                            <w:div w:id="1154569961">
                              <w:marLeft w:val="0"/>
                              <w:marRight w:val="0"/>
                              <w:marTop w:val="0"/>
                              <w:marBottom w:val="0"/>
                              <w:divBdr>
                                <w:top w:val="none" w:sz="0" w:space="0" w:color="auto"/>
                                <w:left w:val="none" w:sz="0" w:space="0" w:color="auto"/>
                                <w:bottom w:val="none" w:sz="0" w:space="0" w:color="auto"/>
                                <w:right w:val="none" w:sz="0" w:space="0" w:color="auto"/>
                              </w:divBdr>
                              <w:divsChild>
                                <w:div w:id="1154569837">
                                  <w:marLeft w:val="0"/>
                                  <w:marRight w:val="0"/>
                                  <w:marTop w:val="0"/>
                                  <w:marBottom w:val="0"/>
                                  <w:divBdr>
                                    <w:top w:val="none" w:sz="0" w:space="0" w:color="auto"/>
                                    <w:left w:val="none" w:sz="0" w:space="0" w:color="auto"/>
                                    <w:bottom w:val="none" w:sz="0" w:space="0" w:color="auto"/>
                                    <w:right w:val="none" w:sz="0" w:space="0" w:color="auto"/>
                                  </w:divBdr>
                                  <w:divsChild>
                                    <w:div w:id="1154569801">
                                      <w:marLeft w:val="0"/>
                                      <w:marRight w:val="0"/>
                                      <w:marTop w:val="0"/>
                                      <w:marBottom w:val="0"/>
                                      <w:divBdr>
                                        <w:top w:val="none" w:sz="0" w:space="0" w:color="auto"/>
                                        <w:left w:val="none" w:sz="0" w:space="0" w:color="auto"/>
                                        <w:bottom w:val="none" w:sz="0" w:space="0" w:color="auto"/>
                                        <w:right w:val="none" w:sz="0" w:space="0" w:color="auto"/>
                                      </w:divBdr>
                                      <w:divsChild>
                                        <w:div w:id="1154569865">
                                          <w:marLeft w:val="0"/>
                                          <w:marRight w:val="0"/>
                                          <w:marTop w:val="0"/>
                                          <w:marBottom w:val="0"/>
                                          <w:divBdr>
                                            <w:top w:val="none" w:sz="0" w:space="0" w:color="auto"/>
                                            <w:left w:val="none" w:sz="0" w:space="0" w:color="auto"/>
                                            <w:bottom w:val="none" w:sz="0" w:space="0" w:color="auto"/>
                                            <w:right w:val="none" w:sz="0" w:space="0" w:color="auto"/>
                                          </w:divBdr>
                                          <w:divsChild>
                                            <w:div w:id="1154569940">
                                              <w:marLeft w:val="0"/>
                                              <w:marRight w:val="0"/>
                                              <w:marTop w:val="0"/>
                                              <w:marBottom w:val="0"/>
                                              <w:divBdr>
                                                <w:top w:val="none" w:sz="0" w:space="0" w:color="auto"/>
                                                <w:left w:val="none" w:sz="0" w:space="0" w:color="auto"/>
                                                <w:bottom w:val="none" w:sz="0" w:space="0" w:color="auto"/>
                                                <w:right w:val="none" w:sz="0" w:space="0" w:color="auto"/>
                                              </w:divBdr>
                                              <w:divsChild>
                                                <w:div w:id="1154569793">
                                                  <w:marLeft w:val="0"/>
                                                  <w:marRight w:val="0"/>
                                                  <w:marTop w:val="0"/>
                                                  <w:marBottom w:val="0"/>
                                                  <w:divBdr>
                                                    <w:top w:val="none" w:sz="0" w:space="0" w:color="auto"/>
                                                    <w:left w:val="none" w:sz="0" w:space="0" w:color="auto"/>
                                                    <w:bottom w:val="none" w:sz="0" w:space="0" w:color="auto"/>
                                                    <w:right w:val="none" w:sz="0" w:space="0" w:color="auto"/>
                                                  </w:divBdr>
                                                </w:div>
                                                <w:div w:id="1154570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54569856">
      <w:marLeft w:val="0"/>
      <w:marRight w:val="0"/>
      <w:marTop w:val="0"/>
      <w:marBottom w:val="0"/>
      <w:divBdr>
        <w:top w:val="none" w:sz="0" w:space="0" w:color="auto"/>
        <w:left w:val="none" w:sz="0" w:space="0" w:color="auto"/>
        <w:bottom w:val="none" w:sz="0" w:space="0" w:color="auto"/>
        <w:right w:val="none" w:sz="0" w:space="0" w:color="auto"/>
      </w:divBdr>
      <w:divsChild>
        <w:div w:id="1154569971">
          <w:marLeft w:val="0"/>
          <w:marRight w:val="0"/>
          <w:marTop w:val="0"/>
          <w:marBottom w:val="0"/>
          <w:divBdr>
            <w:top w:val="none" w:sz="0" w:space="0" w:color="auto"/>
            <w:left w:val="none" w:sz="0" w:space="0" w:color="auto"/>
            <w:bottom w:val="none" w:sz="0" w:space="0" w:color="auto"/>
            <w:right w:val="none" w:sz="0" w:space="0" w:color="auto"/>
          </w:divBdr>
          <w:divsChild>
            <w:div w:id="1154569953">
              <w:marLeft w:val="0"/>
              <w:marRight w:val="0"/>
              <w:marTop w:val="0"/>
              <w:marBottom w:val="0"/>
              <w:divBdr>
                <w:top w:val="none" w:sz="0" w:space="0" w:color="auto"/>
                <w:left w:val="none" w:sz="0" w:space="0" w:color="auto"/>
                <w:bottom w:val="none" w:sz="0" w:space="0" w:color="auto"/>
                <w:right w:val="none" w:sz="0" w:space="0" w:color="auto"/>
              </w:divBdr>
              <w:divsChild>
                <w:div w:id="1154569960">
                  <w:marLeft w:val="0"/>
                  <w:marRight w:val="0"/>
                  <w:marTop w:val="0"/>
                  <w:marBottom w:val="0"/>
                  <w:divBdr>
                    <w:top w:val="none" w:sz="0" w:space="0" w:color="auto"/>
                    <w:left w:val="none" w:sz="0" w:space="0" w:color="auto"/>
                    <w:bottom w:val="none" w:sz="0" w:space="0" w:color="auto"/>
                    <w:right w:val="none" w:sz="0" w:space="0" w:color="auto"/>
                  </w:divBdr>
                  <w:divsChild>
                    <w:div w:id="1154569866">
                      <w:marLeft w:val="0"/>
                      <w:marRight w:val="0"/>
                      <w:marTop w:val="0"/>
                      <w:marBottom w:val="0"/>
                      <w:divBdr>
                        <w:top w:val="none" w:sz="0" w:space="0" w:color="auto"/>
                        <w:left w:val="none" w:sz="0" w:space="0" w:color="auto"/>
                        <w:bottom w:val="none" w:sz="0" w:space="0" w:color="auto"/>
                        <w:right w:val="none" w:sz="0" w:space="0" w:color="auto"/>
                      </w:divBdr>
                      <w:divsChild>
                        <w:div w:id="1154569876">
                          <w:marLeft w:val="0"/>
                          <w:marRight w:val="0"/>
                          <w:marTop w:val="0"/>
                          <w:marBottom w:val="0"/>
                          <w:divBdr>
                            <w:top w:val="none" w:sz="0" w:space="0" w:color="auto"/>
                            <w:left w:val="none" w:sz="0" w:space="0" w:color="auto"/>
                            <w:bottom w:val="none" w:sz="0" w:space="0" w:color="auto"/>
                            <w:right w:val="none" w:sz="0" w:space="0" w:color="auto"/>
                          </w:divBdr>
                          <w:divsChild>
                            <w:div w:id="1154569806">
                              <w:marLeft w:val="0"/>
                              <w:marRight w:val="0"/>
                              <w:marTop w:val="0"/>
                              <w:marBottom w:val="0"/>
                              <w:divBdr>
                                <w:top w:val="none" w:sz="0" w:space="0" w:color="auto"/>
                                <w:left w:val="none" w:sz="0" w:space="0" w:color="auto"/>
                                <w:bottom w:val="none" w:sz="0" w:space="0" w:color="auto"/>
                                <w:right w:val="none" w:sz="0" w:space="0" w:color="auto"/>
                              </w:divBdr>
                              <w:divsChild>
                                <w:div w:id="1154569928">
                                  <w:marLeft w:val="0"/>
                                  <w:marRight w:val="0"/>
                                  <w:marTop w:val="0"/>
                                  <w:marBottom w:val="0"/>
                                  <w:divBdr>
                                    <w:top w:val="none" w:sz="0" w:space="0" w:color="auto"/>
                                    <w:left w:val="none" w:sz="0" w:space="0" w:color="auto"/>
                                    <w:bottom w:val="none" w:sz="0" w:space="0" w:color="auto"/>
                                    <w:right w:val="none" w:sz="0" w:space="0" w:color="auto"/>
                                  </w:divBdr>
                                  <w:divsChild>
                                    <w:div w:id="115456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4569862">
      <w:marLeft w:val="0"/>
      <w:marRight w:val="0"/>
      <w:marTop w:val="0"/>
      <w:marBottom w:val="0"/>
      <w:divBdr>
        <w:top w:val="none" w:sz="0" w:space="0" w:color="auto"/>
        <w:left w:val="none" w:sz="0" w:space="0" w:color="auto"/>
        <w:bottom w:val="none" w:sz="0" w:space="0" w:color="auto"/>
        <w:right w:val="none" w:sz="0" w:space="0" w:color="auto"/>
      </w:divBdr>
      <w:divsChild>
        <w:div w:id="1154569930">
          <w:marLeft w:val="0"/>
          <w:marRight w:val="0"/>
          <w:marTop w:val="0"/>
          <w:marBottom w:val="0"/>
          <w:divBdr>
            <w:top w:val="none" w:sz="0" w:space="0" w:color="auto"/>
            <w:left w:val="none" w:sz="0" w:space="0" w:color="auto"/>
            <w:bottom w:val="none" w:sz="0" w:space="0" w:color="auto"/>
            <w:right w:val="none" w:sz="0" w:space="0" w:color="auto"/>
          </w:divBdr>
          <w:divsChild>
            <w:div w:id="1154569860">
              <w:marLeft w:val="0"/>
              <w:marRight w:val="0"/>
              <w:marTop w:val="0"/>
              <w:marBottom w:val="0"/>
              <w:divBdr>
                <w:top w:val="none" w:sz="0" w:space="0" w:color="auto"/>
                <w:left w:val="none" w:sz="0" w:space="0" w:color="auto"/>
                <w:bottom w:val="none" w:sz="0" w:space="0" w:color="auto"/>
                <w:right w:val="none" w:sz="0" w:space="0" w:color="auto"/>
              </w:divBdr>
              <w:divsChild>
                <w:div w:id="1154569875">
                  <w:marLeft w:val="0"/>
                  <w:marRight w:val="0"/>
                  <w:marTop w:val="0"/>
                  <w:marBottom w:val="0"/>
                  <w:divBdr>
                    <w:top w:val="none" w:sz="0" w:space="0" w:color="auto"/>
                    <w:left w:val="none" w:sz="0" w:space="0" w:color="auto"/>
                    <w:bottom w:val="none" w:sz="0" w:space="0" w:color="auto"/>
                    <w:right w:val="none" w:sz="0" w:space="0" w:color="auto"/>
                  </w:divBdr>
                  <w:divsChild>
                    <w:div w:id="1154569870">
                      <w:marLeft w:val="0"/>
                      <w:marRight w:val="0"/>
                      <w:marTop w:val="0"/>
                      <w:marBottom w:val="0"/>
                      <w:divBdr>
                        <w:top w:val="none" w:sz="0" w:space="0" w:color="auto"/>
                        <w:left w:val="none" w:sz="0" w:space="0" w:color="auto"/>
                        <w:bottom w:val="none" w:sz="0" w:space="0" w:color="auto"/>
                        <w:right w:val="none" w:sz="0" w:space="0" w:color="auto"/>
                      </w:divBdr>
                      <w:divsChild>
                        <w:div w:id="1154569966">
                          <w:marLeft w:val="0"/>
                          <w:marRight w:val="0"/>
                          <w:marTop w:val="0"/>
                          <w:marBottom w:val="0"/>
                          <w:divBdr>
                            <w:top w:val="none" w:sz="0" w:space="0" w:color="auto"/>
                            <w:left w:val="none" w:sz="0" w:space="0" w:color="auto"/>
                            <w:bottom w:val="none" w:sz="0" w:space="0" w:color="auto"/>
                            <w:right w:val="none" w:sz="0" w:space="0" w:color="auto"/>
                          </w:divBdr>
                          <w:divsChild>
                            <w:div w:id="1154569973">
                              <w:marLeft w:val="0"/>
                              <w:marRight w:val="0"/>
                              <w:marTop w:val="0"/>
                              <w:marBottom w:val="0"/>
                              <w:divBdr>
                                <w:top w:val="none" w:sz="0" w:space="0" w:color="auto"/>
                                <w:left w:val="none" w:sz="0" w:space="0" w:color="auto"/>
                                <w:bottom w:val="none" w:sz="0" w:space="0" w:color="auto"/>
                                <w:right w:val="none" w:sz="0" w:space="0" w:color="auto"/>
                              </w:divBdr>
                              <w:divsChild>
                                <w:div w:id="1154569992">
                                  <w:marLeft w:val="0"/>
                                  <w:marRight w:val="0"/>
                                  <w:marTop w:val="0"/>
                                  <w:marBottom w:val="0"/>
                                  <w:divBdr>
                                    <w:top w:val="none" w:sz="0" w:space="0" w:color="auto"/>
                                    <w:left w:val="none" w:sz="0" w:space="0" w:color="auto"/>
                                    <w:bottom w:val="none" w:sz="0" w:space="0" w:color="auto"/>
                                    <w:right w:val="none" w:sz="0" w:space="0" w:color="auto"/>
                                  </w:divBdr>
                                  <w:divsChild>
                                    <w:div w:id="1154570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4569879">
      <w:marLeft w:val="0"/>
      <w:marRight w:val="0"/>
      <w:marTop w:val="0"/>
      <w:marBottom w:val="0"/>
      <w:divBdr>
        <w:top w:val="none" w:sz="0" w:space="0" w:color="auto"/>
        <w:left w:val="none" w:sz="0" w:space="0" w:color="auto"/>
        <w:bottom w:val="none" w:sz="0" w:space="0" w:color="auto"/>
        <w:right w:val="none" w:sz="0" w:space="0" w:color="auto"/>
      </w:divBdr>
      <w:divsChild>
        <w:div w:id="1154569976">
          <w:marLeft w:val="0"/>
          <w:marRight w:val="0"/>
          <w:marTop w:val="0"/>
          <w:marBottom w:val="0"/>
          <w:divBdr>
            <w:top w:val="none" w:sz="0" w:space="0" w:color="auto"/>
            <w:left w:val="none" w:sz="0" w:space="0" w:color="auto"/>
            <w:bottom w:val="none" w:sz="0" w:space="0" w:color="auto"/>
            <w:right w:val="none" w:sz="0" w:space="0" w:color="auto"/>
          </w:divBdr>
          <w:divsChild>
            <w:div w:id="1154570016">
              <w:marLeft w:val="0"/>
              <w:marRight w:val="0"/>
              <w:marTop w:val="0"/>
              <w:marBottom w:val="0"/>
              <w:divBdr>
                <w:top w:val="none" w:sz="0" w:space="0" w:color="auto"/>
                <w:left w:val="none" w:sz="0" w:space="0" w:color="auto"/>
                <w:bottom w:val="none" w:sz="0" w:space="0" w:color="auto"/>
                <w:right w:val="none" w:sz="0" w:space="0" w:color="auto"/>
              </w:divBdr>
              <w:divsChild>
                <w:div w:id="1154569777">
                  <w:marLeft w:val="0"/>
                  <w:marRight w:val="0"/>
                  <w:marTop w:val="0"/>
                  <w:marBottom w:val="0"/>
                  <w:divBdr>
                    <w:top w:val="none" w:sz="0" w:space="0" w:color="auto"/>
                    <w:left w:val="none" w:sz="0" w:space="0" w:color="auto"/>
                    <w:bottom w:val="none" w:sz="0" w:space="0" w:color="auto"/>
                    <w:right w:val="none" w:sz="0" w:space="0" w:color="auto"/>
                  </w:divBdr>
                  <w:divsChild>
                    <w:div w:id="1154569772">
                      <w:marLeft w:val="0"/>
                      <w:marRight w:val="0"/>
                      <w:marTop w:val="0"/>
                      <w:marBottom w:val="0"/>
                      <w:divBdr>
                        <w:top w:val="none" w:sz="0" w:space="0" w:color="auto"/>
                        <w:left w:val="none" w:sz="0" w:space="0" w:color="auto"/>
                        <w:bottom w:val="none" w:sz="0" w:space="0" w:color="auto"/>
                        <w:right w:val="none" w:sz="0" w:space="0" w:color="auto"/>
                      </w:divBdr>
                      <w:divsChild>
                        <w:div w:id="1154569808">
                          <w:marLeft w:val="0"/>
                          <w:marRight w:val="0"/>
                          <w:marTop w:val="0"/>
                          <w:marBottom w:val="0"/>
                          <w:divBdr>
                            <w:top w:val="none" w:sz="0" w:space="0" w:color="auto"/>
                            <w:left w:val="none" w:sz="0" w:space="0" w:color="auto"/>
                            <w:bottom w:val="none" w:sz="0" w:space="0" w:color="auto"/>
                            <w:right w:val="none" w:sz="0" w:space="0" w:color="auto"/>
                          </w:divBdr>
                          <w:divsChild>
                            <w:div w:id="1154569913">
                              <w:marLeft w:val="0"/>
                              <w:marRight w:val="0"/>
                              <w:marTop w:val="0"/>
                              <w:marBottom w:val="0"/>
                              <w:divBdr>
                                <w:top w:val="none" w:sz="0" w:space="0" w:color="auto"/>
                                <w:left w:val="none" w:sz="0" w:space="0" w:color="auto"/>
                                <w:bottom w:val="none" w:sz="0" w:space="0" w:color="auto"/>
                                <w:right w:val="none" w:sz="0" w:space="0" w:color="auto"/>
                              </w:divBdr>
                              <w:divsChild>
                                <w:div w:id="1154569942">
                                  <w:marLeft w:val="0"/>
                                  <w:marRight w:val="0"/>
                                  <w:marTop w:val="0"/>
                                  <w:marBottom w:val="0"/>
                                  <w:divBdr>
                                    <w:top w:val="none" w:sz="0" w:space="0" w:color="auto"/>
                                    <w:left w:val="none" w:sz="0" w:space="0" w:color="auto"/>
                                    <w:bottom w:val="none" w:sz="0" w:space="0" w:color="auto"/>
                                    <w:right w:val="none" w:sz="0" w:space="0" w:color="auto"/>
                                  </w:divBdr>
                                  <w:divsChild>
                                    <w:div w:id="1154569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4569883">
      <w:marLeft w:val="0"/>
      <w:marRight w:val="0"/>
      <w:marTop w:val="0"/>
      <w:marBottom w:val="0"/>
      <w:divBdr>
        <w:top w:val="none" w:sz="0" w:space="0" w:color="auto"/>
        <w:left w:val="none" w:sz="0" w:space="0" w:color="auto"/>
        <w:bottom w:val="none" w:sz="0" w:space="0" w:color="auto"/>
        <w:right w:val="none" w:sz="0" w:space="0" w:color="auto"/>
      </w:divBdr>
      <w:divsChild>
        <w:div w:id="1154569803">
          <w:marLeft w:val="0"/>
          <w:marRight w:val="0"/>
          <w:marTop w:val="0"/>
          <w:marBottom w:val="0"/>
          <w:divBdr>
            <w:top w:val="none" w:sz="0" w:space="0" w:color="auto"/>
            <w:left w:val="none" w:sz="0" w:space="0" w:color="auto"/>
            <w:bottom w:val="none" w:sz="0" w:space="0" w:color="auto"/>
            <w:right w:val="none" w:sz="0" w:space="0" w:color="auto"/>
          </w:divBdr>
          <w:divsChild>
            <w:div w:id="1154570011">
              <w:marLeft w:val="0"/>
              <w:marRight w:val="0"/>
              <w:marTop w:val="0"/>
              <w:marBottom w:val="0"/>
              <w:divBdr>
                <w:top w:val="none" w:sz="0" w:space="0" w:color="auto"/>
                <w:left w:val="none" w:sz="0" w:space="0" w:color="auto"/>
                <w:bottom w:val="none" w:sz="0" w:space="0" w:color="auto"/>
                <w:right w:val="none" w:sz="0" w:space="0" w:color="auto"/>
              </w:divBdr>
              <w:divsChild>
                <w:div w:id="1154569802">
                  <w:marLeft w:val="0"/>
                  <w:marRight w:val="0"/>
                  <w:marTop w:val="0"/>
                  <w:marBottom w:val="0"/>
                  <w:divBdr>
                    <w:top w:val="none" w:sz="0" w:space="0" w:color="auto"/>
                    <w:left w:val="none" w:sz="0" w:space="0" w:color="auto"/>
                    <w:bottom w:val="none" w:sz="0" w:space="0" w:color="auto"/>
                    <w:right w:val="none" w:sz="0" w:space="0" w:color="auto"/>
                  </w:divBdr>
                  <w:divsChild>
                    <w:div w:id="115456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4569887">
      <w:marLeft w:val="0"/>
      <w:marRight w:val="0"/>
      <w:marTop w:val="0"/>
      <w:marBottom w:val="0"/>
      <w:divBdr>
        <w:top w:val="none" w:sz="0" w:space="0" w:color="auto"/>
        <w:left w:val="none" w:sz="0" w:space="0" w:color="auto"/>
        <w:bottom w:val="none" w:sz="0" w:space="0" w:color="auto"/>
        <w:right w:val="none" w:sz="0" w:space="0" w:color="auto"/>
      </w:divBdr>
      <w:divsChild>
        <w:div w:id="1154569950">
          <w:marLeft w:val="0"/>
          <w:marRight w:val="0"/>
          <w:marTop w:val="0"/>
          <w:marBottom w:val="0"/>
          <w:divBdr>
            <w:top w:val="none" w:sz="0" w:space="0" w:color="auto"/>
            <w:left w:val="none" w:sz="0" w:space="0" w:color="auto"/>
            <w:bottom w:val="none" w:sz="0" w:space="0" w:color="auto"/>
            <w:right w:val="none" w:sz="0" w:space="0" w:color="auto"/>
          </w:divBdr>
          <w:divsChild>
            <w:div w:id="1154569964">
              <w:marLeft w:val="0"/>
              <w:marRight w:val="0"/>
              <w:marTop w:val="0"/>
              <w:marBottom w:val="0"/>
              <w:divBdr>
                <w:top w:val="none" w:sz="0" w:space="0" w:color="auto"/>
                <w:left w:val="none" w:sz="0" w:space="0" w:color="auto"/>
                <w:bottom w:val="none" w:sz="0" w:space="0" w:color="auto"/>
                <w:right w:val="none" w:sz="0" w:space="0" w:color="auto"/>
              </w:divBdr>
              <w:divsChild>
                <w:div w:id="1154569968">
                  <w:marLeft w:val="0"/>
                  <w:marRight w:val="0"/>
                  <w:marTop w:val="0"/>
                  <w:marBottom w:val="0"/>
                  <w:divBdr>
                    <w:top w:val="none" w:sz="0" w:space="0" w:color="auto"/>
                    <w:left w:val="none" w:sz="0" w:space="0" w:color="auto"/>
                    <w:bottom w:val="none" w:sz="0" w:space="0" w:color="auto"/>
                    <w:right w:val="none" w:sz="0" w:space="0" w:color="auto"/>
                  </w:divBdr>
                  <w:divsChild>
                    <w:div w:id="1154569989">
                      <w:marLeft w:val="0"/>
                      <w:marRight w:val="0"/>
                      <w:marTop w:val="0"/>
                      <w:marBottom w:val="0"/>
                      <w:divBdr>
                        <w:top w:val="none" w:sz="0" w:space="0" w:color="auto"/>
                        <w:left w:val="none" w:sz="0" w:space="0" w:color="auto"/>
                        <w:bottom w:val="none" w:sz="0" w:space="0" w:color="auto"/>
                        <w:right w:val="none" w:sz="0" w:space="0" w:color="auto"/>
                      </w:divBdr>
                      <w:divsChild>
                        <w:div w:id="1154569933">
                          <w:marLeft w:val="0"/>
                          <w:marRight w:val="0"/>
                          <w:marTop w:val="0"/>
                          <w:marBottom w:val="0"/>
                          <w:divBdr>
                            <w:top w:val="none" w:sz="0" w:space="0" w:color="auto"/>
                            <w:left w:val="none" w:sz="0" w:space="0" w:color="auto"/>
                            <w:bottom w:val="none" w:sz="0" w:space="0" w:color="auto"/>
                            <w:right w:val="none" w:sz="0" w:space="0" w:color="auto"/>
                          </w:divBdr>
                          <w:divsChild>
                            <w:div w:id="1154569974">
                              <w:marLeft w:val="0"/>
                              <w:marRight w:val="0"/>
                              <w:marTop w:val="0"/>
                              <w:marBottom w:val="0"/>
                              <w:divBdr>
                                <w:top w:val="none" w:sz="0" w:space="0" w:color="auto"/>
                                <w:left w:val="none" w:sz="0" w:space="0" w:color="auto"/>
                                <w:bottom w:val="none" w:sz="0" w:space="0" w:color="auto"/>
                                <w:right w:val="none" w:sz="0" w:space="0" w:color="auto"/>
                              </w:divBdr>
                              <w:divsChild>
                                <w:div w:id="1154569797">
                                  <w:marLeft w:val="0"/>
                                  <w:marRight w:val="0"/>
                                  <w:marTop w:val="0"/>
                                  <w:marBottom w:val="0"/>
                                  <w:divBdr>
                                    <w:top w:val="none" w:sz="0" w:space="0" w:color="auto"/>
                                    <w:left w:val="none" w:sz="0" w:space="0" w:color="auto"/>
                                    <w:bottom w:val="none" w:sz="0" w:space="0" w:color="auto"/>
                                    <w:right w:val="none" w:sz="0" w:space="0" w:color="auto"/>
                                  </w:divBdr>
                                  <w:divsChild>
                                    <w:div w:id="1154569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4569898">
      <w:marLeft w:val="0"/>
      <w:marRight w:val="0"/>
      <w:marTop w:val="0"/>
      <w:marBottom w:val="0"/>
      <w:divBdr>
        <w:top w:val="none" w:sz="0" w:space="0" w:color="auto"/>
        <w:left w:val="none" w:sz="0" w:space="0" w:color="auto"/>
        <w:bottom w:val="none" w:sz="0" w:space="0" w:color="auto"/>
        <w:right w:val="none" w:sz="0" w:space="0" w:color="auto"/>
      </w:divBdr>
      <w:divsChild>
        <w:div w:id="1154570005">
          <w:marLeft w:val="0"/>
          <w:marRight w:val="0"/>
          <w:marTop w:val="0"/>
          <w:marBottom w:val="0"/>
          <w:divBdr>
            <w:top w:val="none" w:sz="0" w:space="0" w:color="auto"/>
            <w:left w:val="none" w:sz="0" w:space="0" w:color="auto"/>
            <w:bottom w:val="none" w:sz="0" w:space="0" w:color="auto"/>
            <w:right w:val="none" w:sz="0" w:space="0" w:color="auto"/>
          </w:divBdr>
          <w:divsChild>
            <w:div w:id="1154569983">
              <w:marLeft w:val="0"/>
              <w:marRight w:val="0"/>
              <w:marTop w:val="0"/>
              <w:marBottom w:val="0"/>
              <w:divBdr>
                <w:top w:val="none" w:sz="0" w:space="0" w:color="auto"/>
                <w:left w:val="none" w:sz="0" w:space="0" w:color="auto"/>
                <w:bottom w:val="none" w:sz="0" w:space="0" w:color="auto"/>
                <w:right w:val="none" w:sz="0" w:space="0" w:color="auto"/>
              </w:divBdr>
              <w:divsChild>
                <w:div w:id="1154569999">
                  <w:marLeft w:val="0"/>
                  <w:marRight w:val="0"/>
                  <w:marTop w:val="0"/>
                  <w:marBottom w:val="0"/>
                  <w:divBdr>
                    <w:top w:val="none" w:sz="0" w:space="0" w:color="auto"/>
                    <w:left w:val="none" w:sz="0" w:space="0" w:color="auto"/>
                    <w:bottom w:val="none" w:sz="0" w:space="0" w:color="auto"/>
                    <w:right w:val="none" w:sz="0" w:space="0" w:color="auto"/>
                  </w:divBdr>
                  <w:divsChild>
                    <w:div w:id="1154569877">
                      <w:marLeft w:val="0"/>
                      <w:marRight w:val="0"/>
                      <w:marTop w:val="0"/>
                      <w:marBottom w:val="0"/>
                      <w:divBdr>
                        <w:top w:val="none" w:sz="0" w:space="0" w:color="auto"/>
                        <w:left w:val="none" w:sz="0" w:space="0" w:color="auto"/>
                        <w:bottom w:val="none" w:sz="0" w:space="0" w:color="auto"/>
                        <w:right w:val="none" w:sz="0" w:space="0" w:color="auto"/>
                      </w:divBdr>
                      <w:divsChild>
                        <w:div w:id="1154569949">
                          <w:marLeft w:val="0"/>
                          <w:marRight w:val="0"/>
                          <w:marTop w:val="0"/>
                          <w:marBottom w:val="0"/>
                          <w:divBdr>
                            <w:top w:val="none" w:sz="0" w:space="0" w:color="auto"/>
                            <w:left w:val="none" w:sz="0" w:space="0" w:color="auto"/>
                            <w:bottom w:val="none" w:sz="0" w:space="0" w:color="auto"/>
                            <w:right w:val="none" w:sz="0" w:space="0" w:color="auto"/>
                          </w:divBdr>
                          <w:divsChild>
                            <w:div w:id="1154569952">
                              <w:marLeft w:val="0"/>
                              <w:marRight w:val="0"/>
                              <w:marTop w:val="0"/>
                              <w:marBottom w:val="0"/>
                              <w:divBdr>
                                <w:top w:val="none" w:sz="0" w:space="0" w:color="auto"/>
                                <w:left w:val="none" w:sz="0" w:space="0" w:color="auto"/>
                                <w:bottom w:val="none" w:sz="0" w:space="0" w:color="auto"/>
                                <w:right w:val="none" w:sz="0" w:space="0" w:color="auto"/>
                              </w:divBdr>
                              <w:divsChild>
                                <w:div w:id="1154569821">
                                  <w:marLeft w:val="0"/>
                                  <w:marRight w:val="0"/>
                                  <w:marTop w:val="0"/>
                                  <w:marBottom w:val="0"/>
                                  <w:divBdr>
                                    <w:top w:val="none" w:sz="0" w:space="0" w:color="auto"/>
                                    <w:left w:val="none" w:sz="0" w:space="0" w:color="auto"/>
                                    <w:bottom w:val="none" w:sz="0" w:space="0" w:color="auto"/>
                                    <w:right w:val="none" w:sz="0" w:space="0" w:color="auto"/>
                                  </w:divBdr>
                                  <w:divsChild>
                                    <w:div w:id="115456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4569899">
      <w:marLeft w:val="0"/>
      <w:marRight w:val="0"/>
      <w:marTop w:val="0"/>
      <w:marBottom w:val="0"/>
      <w:divBdr>
        <w:top w:val="none" w:sz="0" w:space="0" w:color="auto"/>
        <w:left w:val="none" w:sz="0" w:space="0" w:color="auto"/>
        <w:bottom w:val="none" w:sz="0" w:space="0" w:color="auto"/>
        <w:right w:val="none" w:sz="0" w:space="0" w:color="auto"/>
      </w:divBdr>
      <w:divsChild>
        <w:div w:id="1154569934">
          <w:marLeft w:val="0"/>
          <w:marRight w:val="0"/>
          <w:marTop w:val="0"/>
          <w:marBottom w:val="0"/>
          <w:divBdr>
            <w:top w:val="none" w:sz="0" w:space="0" w:color="auto"/>
            <w:left w:val="none" w:sz="0" w:space="0" w:color="auto"/>
            <w:bottom w:val="none" w:sz="0" w:space="0" w:color="auto"/>
            <w:right w:val="none" w:sz="0" w:space="0" w:color="auto"/>
          </w:divBdr>
          <w:divsChild>
            <w:div w:id="1154569906">
              <w:marLeft w:val="0"/>
              <w:marRight w:val="0"/>
              <w:marTop w:val="0"/>
              <w:marBottom w:val="0"/>
              <w:divBdr>
                <w:top w:val="none" w:sz="0" w:space="0" w:color="auto"/>
                <w:left w:val="none" w:sz="0" w:space="0" w:color="auto"/>
                <w:bottom w:val="none" w:sz="0" w:space="0" w:color="auto"/>
                <w:right w:val="none" w:sz="0" w:space="0" w:color="auto"/>
              </w:divBdr>
              <w:divsChild>
                <w:div w:id="1154570022">
                  <w:marLeft w:val="0"/>
                  <w:marRight w:val="0"/>
                  <w:marTop w:val="0"/>
                  <w:marBottom w:val="0"/>
                  <w:divBdr>
                    <w:top w:val="none" w:sz="0" w:space="0" w:color="auto"/>
                    <w:left w:val="none" w:sz="0" w:space="0" w:color="auto"/>
                    <w:bottom w:val="none" w:sz="0" w:space="0" w:color="auto"/>
                    <w:right w:val="none" w:sz="0" w:space="0" w:color="auto"/>
                  </w:divBdr>
                  <w:divsChild>
                    <w:div w:id="1154569804">
                      <w:marLeft w:val="0"/>
                      <w:marRight w:val="0"/>
                      <w:marTop w:val="0"/>
                      <w:marBottom w:val="0"/>
                      <w:divBdr>
                        <w:top w:val="none" w:sz="0" w:space="0" w:color="auto"/>
                        <w:left w:val="none" w:sz="0" w:space="0" w:color="auto"/>
                        <w:bottom w:val="none" w:sz="0" w:space="0" w:color="auto"/>
                        <w:right w:val="none" w:sz="0" w:space="0" w:color="auto"/>
                      </w:divBdr>
                      <w:divsChild>
                        <w:div w:id="1154569826">
                          <w:marLeft w:val="0"/>
                          <w:marRight w:val="0"/>
                          <w:marTop w:val="0"/>
                          <w:marBottom w:val="0"/>
                          <w:divBdr>
                            <w:top w:val="none" w:sz="0" w:space="0" w:color="auto"/>
                            <w:left w:val="none" w:sz="0" w:space="0" w:color="auto"/>
                            <w:bottom w:val="none" w:sz="0" w:space="0" w:color="auto"/>
                            <w:right w:val="none" w:sz="0" w:space="0" w:color="auto"/>
                          </w:divBdr>
                          <w:divsChild>
                            <w:div w:id="1154569924">
                              <w:marLeft w:val="0"/>
                              <w:marRight w:val="0"/>
                              <w:marTop w:val="0"/>
                              <w:marBottom w:val="0"/>
                              <w:divBdr>
                                <w:top w:val="none" w:sz="0" w:space="0" w:color="auto"/>
                                <w:left w:val="none" w:sz="0" w:space="0" w:color="auto"/>
                                <w:bottom w:val="none" w:sz="0" w:space="0" w:color="auto"/>
                                <w:right w:val="none" w:sz="0" w:space="0" w:color="auto"/>
                              </w:divBdr>
                              <w:divsChild>
                                <w:div w:id="1154569993">
                                  <w:marLeft w:val="0"/>
                                  <w:marRight w:val="0"/>
                                  <w:marTop w:val="0"/>
                                  <w:marBottom w:val="0"/>
                                  <w:divBdr>
                                    <w:top w:val="none" w:sz="0" w:space="0" w:color="auto"/>
                                    <w:left w:val="none" w:sz="0" w:space="0" w:color="auto"/>
                                    <w:bottom w:val="none" w:sz="0" w:space="0" w:color="auto"/>
                                    <w:right w:val="none" w:sz="0" w:space="0" w:color="auto"/>
                                  </w:divBdr>
                                  <w:divsChild>
                                    <w:div w:id="1154569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4569910">
      <w:marLeft w:val="0"/>
      <w:marRight w:val="0"/>
      <w:marTop w:val="0"/>
      <w:marBottom w:val="0"/>
      <w:divBdr>
        <w:top w:val="none" w:sz="0" w:space="0" w:color="auto"/>
        <w:left w:val="none" w:sz="0" w:space="0" w:color="auto"/>
        <w:bottom w:val="none" w:sz="0" w:space="0" w:color="auto"/>
        <w:right w:val="none" w:sz="0" w:space="0" w:color="auto"/>
      </w:divBdr>
      <w:divsChild>
        <w:div w:id="1154569800">
          <w:marLeft w:val="0"/>
          <w:marRight w:val="0"/>
          <w:marTop w:val="0"/>
          <w:marBottom w:val="0"/>
          <w:divBdr>
            <w:top w:val="none" w:sz="0" w:space="0" w:color="auto"/>
            <w:left w:val="none" w:sz="0" w:space="0" w:color="auto"/>
            <w:bottom w:val="none" w:sz="0" w:space="0" w:color="auto"/>
            <w:right w:val="none" w:sz="0" w:space="0" w:color="auto"/>
          </w:divBdr>
          <w:divsChild>
            <w:div w:id="1154569847">
              <w:marLeft w:val="0"/>
              <w:marRight w:val="0"/>
              <w:marTop w:val="0"/>
              <w:marBottom w:val="0"/>
              <w:divBdr>
                <w:top w:val="none" w:sz="0" w:space="0" w:color="auto"/>
                <w:left w:val="none" w:sz="0" w:space="0" w:color="auto"/>
                <w:bottom w:val="none" w:sz="0" w:space="0" w:color="auto"/>
                <w:right w:val="none" w:sz="0" w:space="0" w:color="auto"/>
              </w:divBdr>
              <w:divsChild>
                <w:div w:id="1154569937">
                  <w:marLeft w:val="0"/>
                  <w:marRight w:val="0"/>
                  <w:marTop w:val="0"/>
                  <w:marBottom w:val="0"/>
                  <w:divBdr>
                    <w:top w:val="none" w:sz="0" w:space="0" w:color="auto"/>
                    <w:left w:val="none" w:sz="0" w:space="0" w:color="auto"/>
                    <w:bottom w:val="none" w:sz="0" w:space="0" w:color="auto"/>
                    <w:right w:val="none" w:sz="0" w:space="0" w:color="auto"/>
                  </w:divBdr>
                  <w:divsChild>
                    <w:div w:id="1154569909">
                      <w:marLeft w:val="0"/>
                      <w:marRight w:val="0"/>
                      <w:marTop w:val="0"/>
                      <w:marBottom w:val="0"/>
                      <w:divBdr>
                        <w:top w:val="none" w:sz="0" w:space="0" w:color="auto"/>
                        <w:left w:val="none" w:sz="0" w:space="0" w:color="auto"/>
                        <w:bottom w:val="none" w:sz="0" w:space="0" w:color="auto"/>
                        <w:right w:val="none" w:sz="0" w:space="0" w:color="auto"/>
                      </w:divBdr>
                      <w:divsChild>
                        <w:div w:id="1154569781">
                          <w:marLeft w:val="0"/>
                          <w:marRight w:val="0"/>
                          <w:marTop w:val="0"/>
                          <w:marBottom w:val="0"/>
                          <w:divBdr>
                            <w:top w:val="none" w:sz="0" w:space="0" w:color="auto"/>
                            <w:left w:val="none" w:sz="0" w:space="0" w:color="auto"/>
                            <w:bottom w:val="none" w:sz="0" w:space="0" w:color="auto"/>
                            <w:right w:val="none" w:sz="0" w:space="0" w:color="auto"/>
                          </w:divBdr>
                          <w:divsChild>
                            <w:div w:id="1154569773">
                              <w:marLeft w:val="0"/>
                              <w:marRight w:val="0"/>
                              <w:marTop w:val="0"/>
                              <w:marBottom w:val="0"/>
                              <w:divBdr>
                                <w:top w:val="none" w:sz="0" w:space="0" w:color="auto"/>
                                <w:left w:val="none" w:sz="0" w:space="0" w:color="auto"/>
                                <w:bottom w:val="none" w:sz="0" w:space="0" w:color="auto"/>
                                <w:right w:val="none" w:sz="0" w:space="0" w:color="auto"/>
                              </w:divBdr>
                              <w:divsChild>
                                <w:div w:id="1154569903">
                                  <w:marLeft w:val="0"/>
                                  <w:marRight w:val="0"/>
                                  <w:marTop w:val="0"/>
                                  <w:marBottom w:val="0"/>
                                  <w:divBdr>
                                    <w:top w:val="none" w:sz="0" w:space="0" w:color="auto"/>
                                    <w:left w:val="none" w:sz="0" w:space="0" w:color="auto"/>
                                    <w:bottom w:val="none" w:sz="0" w:space="0" w:color="auto"/>
                                    <w:right w:val="none" w:sz="0" w:space="0" w:color="auto"/>
                                  </w:divBdr>
                                  <w:divsChild>
                                    <w:div w:id="1154570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4569927">
      <w:marLeft w:val="0"/>
      <w:marRight w:val="0"/>
      <w:marTop w:val="0"/>
      <w:marBottom w:val="0"/>
      <w:divBdr>
        <w:top w:val="none" w:sz="0" w:space="0" w:color="auto"/>
        <w:left w:val="none" w:sz="0" w:space="0" w:color="auto"/>
        <w:bottom w:val="none" w:sz="0" w:space="0" w:color="auto"/>
        <w:right w:val="none" w:sz="0" w:space="0" w:color="auto"/>
      </w:divBdr>
      <w:divsChild>
        <w:div w:id="1154569892">
          <w:marLeft w:val="0"/>
          <w:marRight w:val="0"/>
          <w:marTop w:val="0"/>
          <w:marBottom w:val="0"/>
          <w:divBdr>
            <w:top w:val="none" w:sz="0" w:space="0" w:color="auto"/>
            <w:left w:val="none" w:sz="0" w:space="0" w:color="auto"/>
            <w:bottom w:val="none" w:sz="0" w:space="0" w:color="auto"/>
            <w:right w:val="none" w:sz="0" w:space="0" w:color="auto"/>
          </w:divBdr>
          <w:divsChild>
            <w:div w:id="1154569809">
              <w:marLeft w:val="0"/>
              <w:marRight w:val="0"/>
              <w:marTop w:val="0"/>
              <w:marBottom w:val="0"/>
              <w:divBdr>
                <w:top w:val="none" w:sz="0" w:space="0" w:color="auto"/>
                <w:left w:val="none" w:sz="0" w:space="0" w:color="auto"/>
                <w:bottom w:val="none" w:sz="0" w:space="0" w:color="auto"/>
                <w:right w:val="none" w:sz="0" w:space="0" w:color="auto"/>
              </w:divBdr>
              <w:divsChild>
                <w:div w:id="1154569798">
                  <w:marLeft w:val="0"/>
                  <w:marRight w:val="0"/>
                  <w:marTop w:val="0"/>
                  <w:marBottom w:val="0"/>
                  <w:divBdr>
                    <w:top w:val="none" w:sz="0" w:space="0" w:color="auto"/>
                    <w:left w:val="none" w:sz="0" w:space="0" w:color="auto"/>
                    <w:bottom w:val="none" w:sz="0" w:space="0" w:color="auto"/>
                    <w:right w:val="none" w:sz="0" w:space="0" w:color="auto"/>
                  </w:divBdr>
                  <w:divsChild>
                    <w:div w:id="1154569948">
                      <w:marLeft w:val="0"/>
                      <w:marRight w:val="0"/>
                      <w:marTop w:val="0"/>
                      <w:marBottom w:val="0"/>
                      <w:divBdr>
                        <w:top w:val="none" w:sz="0" w:space="0" w:color="auto"/>
                        <w:left w:val="none" w:sz="0" w:space="0" w:color="auto"/>
                        <w:bottom w:val="none" w:sz="0" w:space="0" w:color="auto"/>
                        <w:right w:val="none" w:sz="0" w:space="0" w:color="auto"/>
                      </w:divBdr>
                      <w:divsChild>
                        <w:div w:id="1154569894">
                          <w:marLeft w:val="0"/>
                          <w:marRight w:val="0"/>
                          <w:marTop w:val="0"/>
                          <w:marBottom w:val="0"/>
                          <w:divBdr>
                            <w:top w:val="none" w:sz="0" w:space="0" w:color="auto"/>
                            <w:left w:val="none" w:sz="0" w:space="0" w:color="auto"/>
                            <w:bottom w:val="none" w:sz="0" w:space="0" w:color="auto"/>
                            <w:right w:val="none" w:sz="0" w:space="0" w:color="auto"/>
                          </w:divBdr>
                          <w:divsChild>
                            <w:div w:id="1154569921">
                              <w:marLeft w:val="0"/>
                              <w:marRight w:val="0"/>
                              <w:marTop w:val="0"/>
                              <w:marBottom w:val="0"/>
                              <w:divBdr>
                                <w:top w:val="none" w:sz="0" w:space="0" w:color="auto"/>
                                <w:left w:val="none" w:sz="0" w:space="0" w:color="auto"/>
                                <w:bottom w:val="none" w:sz="0" w:space="0" w:color="auto"/>
                                <w:right w:val="none" w:sz="0" w:space="0" w:color="auto"/>
                              </w:divBdr>
                              <w:divsChild>
                                <w:div w:id="1154569778">
                                  <w:marLeft w:val="0"/>
                                  <w:marRight w:val="0"/>
                                  <w:marTop w:val="0"/>
                                  <w:marBottom w:val="0"/>
                                  <w:divBdr>
                                    <w:top w:val="none" w:sz="0" w:space="0" w:color="auto"/>
                                    <w:left w:val="none" w:sz="0" w:space="0" w:color="auto"/>
                                    <w:bottom w:val="none" w:sz="0" w:space="0" w:color="auto"/>
                                    <w:right w:val="none" w:sz="0" w:space="0" w:color="auto"/>
                                  </w:divBdr>
                                  <w:divsChild>
                                    <w:div w:id="1154569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4569929">
      <w:marLeft w:val="0"/>
      <w:marRight w:val="0"/>
      <w:marTop w:val="0"/>
      <w:marBottom w:val="0"/>
      <w:divBdr>
        <w:top w:val="none" w:sz="0" w:space="0" w:color="auto"/>
        <w:left w:val="none" w:sz="0" w:space="0" w:color="auto"/>
        <w:bottom w:val="none" w:sz="0" w:space="0" w:color="auto"/>
        <w:right w:val="none" w:sz="0" w:space="0" w:color="auto"/>
      </w:divBdr>
      <w:divsChild>
        <w:div w:id="1154569941">
          <w:marLeft w:val="0"/>
          <w:marRight w:val="0"/>
          <w:marTop w:val="0"/>
          <w:marBottom w:val="0"/>
          <w:divBdr>
            <w:top w:val="none" w:sz="0" w:space="0" w:color="auto"/>
            <w:left w:val="none" w:sz="0" w:space="0" w:color="auto"/>
            <w:bottom w:val="none" w:sz="0" w:space="0" w:color="auto"/>
            <w:right w:val="none" w:sz="0" w:space="0" w:color="auto"/>
          </w:divBdr>
          <w:divsChild>
            <w:div w:id="1154569963">
              <w:marLeft w:val="0"/>
              <w:marRight w:val="0"/>
              <w:marTop w:val="0"/>
              <w:marBottom w:val="0"/>
              <w:divBdr>
                <w:top w:val="none" w:sz="0" w:space="0" w:color="auto"/>
                <w:left w:val="none" w:sz="0" w:space="0" w:color="auto"/>
                <w:bottom w:val="none" w:sz="0" w:space="0" w:color="auto"/>
                <w:right w:val="none" w:sz="0" w:space="0" w:color="auto"/>
              </w:divBdr>
              <w:divsChild>
                <w:div w:id="1154569836">
                  <w:marLeft w:val="0"/>
                  <w:marRight w:val="0"/>
                  <w:marTop w:val="0"/>
                  <w:marBottom w:val="0"/>
                  <w:divBdr>
                    <w:top w:val="none" w:sz="0" w:space="0" w:color="auto"/>
                    <w:left w:val="none" w:sz="0" w:space="0" w:color="auto"/>
                    <w:bottom w:val="none" w:sz="0" w:space="0" w:color="auto"/>
                    <w:right w:val="none" w:sz="0" w:space="0" w:color="auto"/>
                  </w:divBdr>
                  <w:divsChild>
                    <w:div w:id="1154569920">
                      <w:marLeft w:val="0"/>
                      <w:marRight w:val="0"/>
                      <w:marTop w:val="0"/>
                      <w:marBottom w:val="0"/>
                      <w:divBdr>
                        <w:top w:val="none" w:sz="0" w:space="0" w:color="auto"/>
                        <w:left w:val="none" w:sz="0" w:space="0" w:color="auto"/>
                        <w:bottom w:val="none" w:sz="0" w:space="0" w:color="auto"/>
                        <w:right w:val="none" w:sz="0" w:space="0" w:color="auto"/>
                      </w:divBdr>
                      <w:divsChild>
                        <w:div w:id="1154569896">
                          <w:marLeft w:val="0"/>
                          <w:marRight w:val="0"/>
                          <w:marTop w:val="0"/>
                          <w:marBottom w:val="0"/>
                          <w:divBdr>
                            <w:top w:val="none" w:sz="0" w:space="0" w:color="auto"/>
                            <w:left w:val="none" w:sz="0" w:space="0" w:color="auto"/>
                            <w:bottom w:val="none" w:sz="0" w:space="0" w:color="auto"/>
                            <w:right w:val="none" w:sz="0" w:space="0" w:color="auto"/>
                          </w:divBdr>
                          <w:divsChild>
                            <w:div w:id="1154569915">
                              <w:marLeft w:val="0"/>
                              <w:marRight w:val="0"/>
                              <w:marTop w:val="0"/>
                              <w:marBottom w:val="0"/>
                              <w:divBdr>
                                <w:top w:val="none" w:sz="0" w:space="0" w:color="auto"/>
                                <w:left w:val="none" w:sz="0" w:space="0" w:color="auto"/>
                                <w:bottom w:val="none" w:sz="0" w:space="0" w:color="auto"/>
                                <w:right w:val="none" w:sz="0" w:space="0" w:color="auto"/>
                              </w:divBdr>
                              <w:divsChild>
                                <w:div w:id="1154569844">
                                  <w:marLeft w:val="0"/>
                                  <w:marRight w:val="0"/>
                                  <w:marTop w:val="0"/>
                                  <w:marBottom w:val="0"/>
                                  <w:divBdr>
                                    <w:top w:val="none" w:sz="0" w:space="0" w:color="auto"/>
                                    <w:left w:val="none" w:sz="0" w:space="0" w:color="auto"/>
                                    <w:bottom w:val="none" w:sz="0" w:space="0" w:color="auto"/>
                                    <w:right w:val="none" w:sz="0" w:space="0" w:color="auto"/>
                                  </w:divBdr>
                                  <w:divsChild>
                                    <w:div w:id="1154569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4569944">
      <w:marLeft w:val="0"/>
      <w:marRight w:val="0"/>
      <w:marTop w:val="0"/>
      <w:marBottom w:val="0"/>
      <w:divBdr>
        <w:top w:val="none" w:sz="0" w:space="0" w:color="auto"/>
        <w:left w:val="none" w:sz="0" w:space="0" w:color="auto"/>
        <w:bottom w:val="none" w:sz="0" w:space="0" w:color="auto"/>
        <w:right w:val="none" w:sz="0" w:space="0" w:color="auto"/>
      </w:divBdr>
    </w:div>
    <w:div w:id="1154569951">
      <w:marLeft w:val="0"/>
      <w:marRight w:val="0"/>
      <w:marTop w:val="0"/>
      <w:marBottom w:val="0"/>
      <w:divBdr>
        <w:top w:val="none" w:sz="0" w:space="0" w:color="auto"/>
        <w:left w:val="none" w:sz="0" w:space="0" w:color="auto"/>
        <w:bottom w:val="none" w:sz="0" w:space="0" w:color="auto"/>
        <w:right w:val="none" w:sz="0" w:space="0" w:color="auto"/>
      </w:divBdr>
      <w:divsChild>
        <w:div w:id="1154569830">
          <w:marLeft w:val="0"/>
          <w:marRight w:val="0"/>
          <w:marTop w:val="0"/>
          <w:marBottom w:val="0"/>
          <w:divBdr>
            <w:top w:val="none" w:sz="0" w:space="0" w:color="auto"/>
            <w:left w:val="none" w:sz="0" w:space="0" w:color="auto"/>
            <w:bottom w:val="none" w:sz="0" w:space="0" w:color="auto"/>
            <w:right w:val="none" w:sz="0" w:space="0" w:color="auto"/>
          </w:divBdr>
          <w:divsChild>
            <w:div w:id="1154569863">
              <w:marLeft w:val="0"/>
              <w:marRight w:val="0"/>
              <w:marTop w:val="0"/>
              <w:marBottom w:val="0"/>
              <w:divBdr>
                <w:top w:val="none" w:sz="0" w:space="0" w:color="auto"/>
                <w:left w:val="none" w:sz="0" w:space="0" w:color="auto"/>
                <w:bottom w:val="none" w:sz="0" w:space="0" w:color="auto"/>
                <w:right w:val="none" w:sz="0" w:space="0" w:color="auto"/>
              </w:divBdr>
              <w:divsChild>
                <w:div w:id="1154569884">
                  <w:marLeft w:val="0"/>
                  <w:marRight w:val="0"/>
                  <w:marTop w:val="0"/>
                  <w:marBottom w:val="0"/>
                  <w:divBdr>
                    <w:top w:val="none" w:sz="0" w:space="0" w:color="auto"/>
                    <w:left w:val="none" w:sz="0" w:space="0" w:color="auto"/>
                    <w:bottom w:val="none" w:sz="0" w:space="0" w:color="auto"/>
                    <w:right w:val="none" w:sz="0" w:space="0" w:color="auto"/>
                  </w:divBdr>
                  <w:divsChild>
                    <w:div w:id="1154569998">
                      <w:marLeft w:val="0"/>
                      <w:marRight w:val="0"/>
                      <w:marTop w:val="0"/>
                      <w:marBottom w:val="0"/>
                      <w:divBdr>
                        <w:top w:val="none" w:sz="0" w:space="0" w:color="auto"/>
                        <w:left w:val="none" w:sz="0" w:space="0" w:color="auto"/>
                        <w:bottom w:val="none" w:sz="0" w:space="0" w:color="auto"/>
                        <w:right w:val="none" w:sz="0" w:space="0" w:color="auto"/>
                      </w:divBdr>
                      <w:divsChild>
                        <w:div w:id="1154569957">
                          <w:marLeft w:val="0"/>
                          <w:marRight w:val="0"/>
                          <w:marTop w:val="0"/>
                          <w:marBottom w:val="0"/>
                          <w:divBdr>
                            <w:top w:val="none" w:sz="0" w:space="0" w:color="auto"/>
                            <w:left w:val="none" w:sz="0" w:space="0" w:color="auto"/>
                            <w:bottom w:val="none" w:sz="0" w:space="0" w:color="auto"/>
                            <w:right w:val="none" w:sz="0" w:space="0" w:color="auto"/>
                          </w:divBdr>
                          <w:divsChild>
                            <w:div w:id="1154570025">
                              <w:marLeft w:val="0"/>
                              <w:marRight w:val="0"/>
                              <w:marTop w:val="0"/>
                              <w:marBottom w:val="0"/>
                              <w:divBdr>
                                <w:top w:val="none" w:sz="0" w:space="0" w:color="auto"/>
                                <w:left w:val="none" w:sz="0" w:space="0" w:color="auto"/>
                                <w:bottom w:val="none" w:sz="0" w:space="0" w:color="auto"/>
                                <w:right w:val="none" w:sz="0" w:space="0" w:color="auto"/>
                              </w:divBdr>
                              <w:divsChild>
                                <w:div w:id="1154569843">
                                  <w:marLeft w:val="0"/>
                                  <w:marRight w:val="0"/>
                                  <w:marTop w:val="0"/>
                                  <w:marBottom w:val="0"/>
                                  <w:divBdr>
                                    <w:top w:val="none" w:sz="0" w:space="0" w:color="auto"/>
                                    <w:left w:val="none" w:sz="0" w:space="0" w:color="auto"/>
                                    <w:bottom w:val="none" w:sz="0" w:space="0" w:color="auto"/>
                                    <w:right w:val="none" w:sz="0" w:space="0" w:color="auto"/>
                                  </w:divBdr>
                                  <w:divsChild>
                                    <w:div w:id="115456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4569956">
      <w:marLeft w:val="0"/>
      <w:marRight w:val="0"/>
      <w:marTop w:val="0"/>
      <w:marBottom w:val="0"/>
      <w:divBdr>
        <w:top w:val="none" w:sz="0" w:space="0" w:color="auto"/>
        <w:left w:val="none" w:sz="0" w:space="0" w:color="auto"/>
        <w:bottom w:val="none" w:sz="0" w:space="0" w:color="auto"/>
        <w:right w:val="none" w:sz="0" w:space="0" w:color="auto"/>
      </w:divBdr>
      <w:divsChild>
        <w:div w:id="1154569851">
          <w:marLeft w:val="0"/>
          <w:marRight w:val="0"/>
          <w:marTop w:val="0"/>
          <w:marBottom w:val="0"/>
          <w:divBdr>
            <w:top w:val="none" w:sz="0" w:space="0" w:color="auto"/>
            <w:left w:val="none" w:sz="0" w:space="0" w:color="auto"/>
            <w:bottom w:val="none" w:sz="0" w:space="0" w:color="auto"/>
            <w:right w:val="none" w:sz="0" w:space="0" w:color="auto"/>
          </w:divBdr>
          <w:divsChild>
            <w:div w:id="1154569893">
              <w:marLeft w:val="0"/>
              <w:marRight w:val="0"/>
              <w:marTop w:val="0"/>
              <w:marBottom w:val="0"/>
              <w:divBdr>
                <w:top w:val="none" w:sz="0" w:space="0" w:color="auto"/>
                <w:left w:val="none" w:sz="0" w:space="0" w:color="auto"/>
                <w:bottom w:val="none" w:sz="0" w:space="0" w:color="auto"/>
                <w:right w:val="none" w:sz="0" w:space="0" w:color="auto"/>
              </w:divBdr>
              <w:divsChild>
                <w:div w:id="1154570002">
                  <w:marLeft w:val="0"/>
                  <w:marRight w:val="0"/>
                  <w:marTop w:val="0"/>
                  <w:marBottom w:val="0"/>
                  <w:divBdr>
                    <w:top w:val="none" w:sz="0" w:space="0" w:color="auto"/>
                    <w:left w:val="none" w:sz="0" w:space="0" w:color="auto"/>
                    <w:bottom w:val="none" w:sz="0" w:space="0" w:color="auto"/>
                    <w:right w:val="none" w:sz="0" w:space="0" w:color="auto"/>
                  </w:divBdr>
                  <w:divsChild>
                    <w:div w:id="115456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4569962">
      <w:marLeft w:val="0"/>
      <w:marRight w:val="0"/>
      <w:marTop w:val="0"/>
      <w:marBottom w:val="0"/>
      <w:divBdr>
        <w:top w:val="none" w:sz="0" w:space="0" w:color="auto"/>
        <w:left w:val="none" w:sz="0" w:space="0" w:color="auto"/>
        <w:bottom w:val="none" w:sz="0" w:space="0" w:color="auto"/>
        <w:right w:val="none" w:sz="0" w:space="0" w:color="auto"/>
      </w:divBdr>
      <w:divsChild>
        <w:div w:id="1154569857">
          <w:marLeft w:val="0"/>
          <w:marRight w:val="0"/>
          <w:marTop w:val="0"/>
          <w:marBottom w:val="0"/>
          <w:divBdr>
            <w:top w:val="none" w:sz="0" w:space="0" w:color="auto"/>
            <w:left w:val="none" w:sz="0" w:space="0" w:color="auto"/>
            <w:bottom w:val="none" w:sz="0" w:space="0" w:color="auto"/>
            <w:right w:val="none" w:sz="0" w:space="0" w:color="auto"/>
          </w:divBdr>
          <w:divsChild>
            <w:div w:id="1154569834">
              <w:marLeft w:val="0"/>
              <w:marRight w:val="0"/>
              <w:marTop w:val="0"/>
              <w:marBottom w:val="0"/>
              <w:divBdr>
                <w:top w:val="none" w:sz="0" w:space="0" w:color="auto"/>
                <w:left w:val="none" w:sz="0" w:space="0" w:color="auto"/>
                <w:bottom w:val="none" w:sz="0" w:space="0" w:color="auto"/>
                <w:right w:val="none" w:sz="0" w:space="0" w:color="auto"/>
              </w:divBdr>
              <w:divsChild>
                <w:div w:id="1154569829">
                  <w:marLeft w:val="0"/>
                  <w:marRight w:val="0"/>
                  <w:marTop w:val="0"/>
                  <w:marBottom w:val="0"/>
                  <w:divBdr>
                    <w:top w:val="none" w:sz="0" w:space="0" w:color="auto"/>
                    <w:left w:val="none" w:sz="0" w:space="0" w:color="auto"/>
                    <w:bottom w:val="none" w:sz="0" w:space="0" w:color="auto"/>
                    <w:right w:val="none" w:sz="0" w:space="0" w:color="auto"/>
                  </w:divBdr>
                  <w:divsChild>
                    <w:div w:id="1154570001">
                      <w:marLeft w:val="0"/>
                      <w:marRight w:val="0"/>
                      <w:marTop w:val="0"/>
                      <w:marBottom w:val="0"/>
                      <w:divBdr>
                        <w:top w:val="none" w:sz="0" w:space="0" w:color="auto"/>
                        <w:left w:val="none" w:sz="0" w:space="0" w:color="auto"/>
                        <w:bottom w:val="none" w:sz="0" w:space="0" w:color="auto"/>
                        <w:right w:val="none" w:sz="0" w:space="0" w:color="auto"/>
                      </w:divBdr>
                      <w:divsChild>
                        <w:div w:id="1154569902">
                          <w:marLeft w:val="0"/>
                          <w:marRight w:val="0"/>
                          <w:marTop w:val="0"/>
                          <w:marBottom w:val="0"/>
                          <w:divBdr>
                            <w:top w:val="none" w:sz="0" w:space="0" w:color="auto"/>
                            <w:left w:val="none" w:sz="0" w:space="0" w:color="auto"/>
                            <w:bottom w:val="none" w:sz="0" w:space="0" w:color="auto"/>
                            <w:right w:val="none" w:sz="0" w:space="0" w:color="auto"/>
                          </w:divBdr>
                          <w:divsChild>
                            <w:div w:id="1154570004">
                              <w:marLeft w:val="0"/>
                              <w:marRight w:val="0"/>
                              <w:marTop w:val="0"/>
                              <w:marBottom w:val="0"/>
                              <w:divBdr>
                                <w:top w:val="none" w:sz="0" w:space="0" w:color="auto"/>
                                <w:left w:val="none" w:sz="0" w:space="0" w:color="auto"/>
                                <w:bottom w:val="none" w:sz="0" w:space="0" w:color="auto"/>
                                <w:right w:val="none" w:sz="0" w:space="0" w:color="auto"/>
                              </w:divBdr>
                              <w:divsChild>
                                <w:div w:id="1154569891">
                                  <w:marLeft w:val="0"/>
                                  <w:marRight w:val="0"/>
                                  <w:marTop w:val="0"/>
                                  <w:marBottom w:val="0"/>
                                  <w:divBdr>
                                    <w:top w:val="none" w:sz="0" w:space="0" w:color="auto"/>
                                    <w:left w:val="none" w:sz="0" w:space="0" w:color="auto"/>
                                    <w:bottom w:val="none" w:sz="0" w:space="0" w:color="auto"/>
                                    <w:right w:val="none" w:sz="0" w:space="0" w:color="auto"/>
                                  </w:divBdr>
                                  <w:divsChild>
                                    <w:div w:id="1154570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4569965">
      <w:marLeft w:val="0"/>
      <w:marRight w:val="0"/>
      <w:marTop w:val="0"/>
      <w:marBottom w:val="0"/>
      <w:divBdr>
        <w:top w:val="none" w:sz="0" w:space="0" w:color="auto"/>
        <w:left w:val="none" w:sz="0" w:space="0" w:color="auto"/>
        <w:bottom w:val="none" w:sz="0" w:space="0" w:color="auto"/>
        <w:right w:val="none" w:sz="0" w:space="0" w:color="auto"/>
      </w:divBdr>
      <w:divsChild>
        <w:div w:id="1154569858">
          <w:marLeft w:val="0"/>
          <w:marRight w:val="0"/>
          <w:marTop w:val="0"/>
          <w:marBottom w:val="0"/>
          <w:divBdr>
            <w:top w:val="none" w:sz="0" w:space="0" w:color="auto"/>
            <w:left w:val="none" w:sz="0" w:space="0" w:color="auto"/>
            <w:bottom w:val="none" w:sz="0" w:space="0" w:color="auto"/>
            <w:right w:val="none" w:sz="0" w:space="0" w:color="auto"/>
          </w:divBdr>
          <w:divsChild>
            <w:div w:id="1154569861">
              <w:marLeft w:val="0"/>
              <w:marRight w:val="0"/>
              <w:marTop w:val="0"/>
              <w:marBottom w:val="0"/>
              <w:divBdr>
                <w:top w:val="none" w:sz="0" w:space="0" w:color="auto"/>
                <w:left w:val="none" w:sz="0" w:space="0" w:color="auto"/>
                <w:bottom w:val="none" w:sz="0" w:space="0" w:color="auto"/>
                <w:right w:val="none" w:sz="0" w:space="0" w:color="auto"/>
              </w:divBdr>
              <w:divsChild>
                <w:div w:id="1154569852">
                  <w:marLeft w:val="0"/>
                  <w:marRight w:val="0"/>
                  <w:marTop w:val="0"/>
                  <w:marBottom w:val="0"/>
                  <w:divBdr>
                    <w:top w:val="none" w:sz="0" w:space="0" w:color="auto"/>
                    <w:left w:val="none" w:sz="0" w:space="0" w:color="auto"/>
                    <w:bottom w:val="none" w:sz="0" w:space="0" w:color="auto"/>
                    <w:right w:val="none" w:sz="0" w:space="0" w:color="auto"/>
                  </w:divBdr>
                  <w:divsChild>
                    <w:div w:id="1154570015">
                      <w:marLeft w:val="0"/>
                      <w:marRight w:val="0"/>
                      <w:marTop w:val="0"/>
                      <w:marBottom w:val="0"/>
                      <w:divBdr>
                        <w:top w:val="none" w:sz="0" w:space="0" w:color="auto"/>
                        <w:left w:val="none" w:sz="0" w:space="0" w:color="auto"/>
                        <w:bottom w:val="none" w:sz="0" w:space="0" w:color="auto"/>
                        <w:right w:val="none" w:sz="0" w:space="0" w:color="auto"/>
                      </w:divBdr>
                      <w:divsChild>
                        <w:div w:id="1154569886">
                          <w:marLeft w:val="0"/>
                          <w:marRight w:val="0"/>
                          <w:marTop w:val="0"/>
                          <w:marBottom w:val="0"/>
                          <w:divBdr>
                            <w:top w:val="none" w:sz="0" w:space="0" w:color="auto"/>
                            <w:left w:val="none" w:sz="0" w:space="0" w:color="auto"/>
                            <w:bottom w:val="none" w:sz="0" w:space="0" w:color="auto"/>
                            <w:right w:val="none" w:sz="0" w:space="0" w:color="auto"/>
                          </w:divBdr>
                          <w:divsChild>
                            <w:div w:id="1154569789">
                              <w:marLeft w:val="0"/>
                              <w:marRight w:val="0"/>
                              <w:marTop w:val="0"/>
                              <w:marBottom w:val="0"/>
                              <w:divBdr>
                                <w:top w:val="none" w:sz="0" w:space="0" w:color="auto"/>
                                <w:left w:val="none" w:sz="0" w:space="0" w:color="auto"/>
                                <w:bottom w:val="none" w:sz="0" w:space="0" w:color="auto"/>
                                <w:right w:val="none" w:sz="0" w:space="0" w:color="auto"/>
                              </w:divBdr>
                              <w:divsChild>
                                <w:div w:id="1154569980">
                                  <w:marLeft w:val="0"/>
                                  <w:marRight w:val="0"/>
                                  <w:marTop w:val="0"/>
                                  <w:marBottom w:val="0"/>
                                  <w:divBdr>
                                    <w:top w:val="none" w:sz="0" w:space="0" w:color="auto"/>
                                    <w:left w:val="none" w:sz="0" w:space="0" w:color="auto"/>
                                    <w:bottom w:val="none" w:sz="0" w:space="0" w:color="auto"/>
                                    <w:right w:val="none" w:sz="0" w:space="0" w:color="auto"/>
                                  </w:divBdr>
                                  <w:divsChild>
                                    <w:div w:id="115457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4569969">
      <w:marLeft w:val="0"/>
      <w:marRight w:val="0"/>
      <w:marTop w:val="0"/>
      <w:marBottom w:val="0"/>
      <w:divBdr>
        <w:top w:val="none" w:sz="0" w:space="0" w:color="auto"/>
        <w:left w:val="none" w:sz="0" w:space="0" w:color="auto"/>
        <w:bottom w:val="none" w:sz="0" w:space="0" w:color="auto"/>
        <w:right w:val="none" w:sz="0" w:space="0" w:color="auto"/>
      </w:divBdr>
      <w:divsChild>
        <w:div w:id="1154569916">
          <w:marLeft w:val="0"/>
          <w:marRight w:val="0"/>
          <w:marTop w:val="0"/>
          <w:marBottom w:val="0"/>
          <w:divBdr>
            <w:top w:val="none" w:sz="0" w:space="0" w:color="auto"/>
            <w:left w:val="none" w:sz="0" w:space="0" w:color="auto"/>
            <w:bottom w:val="none" w:sz="0" w:space="0" w:color="auto"/>
            <w:right w:val="none" w:sz="0" w:space="0" w:color="auto"/>
          </w:divBdr>
          <w:divsChild>
            <w:div w:id="1154569958">
              <w:marLeft w:val="0"/>
              <w:marRight w:val="0"/>
              <w:marTop w:val="0"/>
              <w:marBottom w:val="0"/>
              <w:divBdr>
                <w:top w:val="none" w:sz="0" w:space="0" w:color="auto"/>
                <w:left w:val="none" w:sz="0" w:space="0" w:color="auto"/>
                <w:bottom w:val="none" w:sz="0" w:space="0" w:color="auto"/>
                <w:right w:val="none" w:sz="0" w:space="0" w:color="auto"/>
              </w:divBdr>
              <w:divsChild>
                <w:div w:id="1154569914">
                  <w:marLeft w:val="0"/>
                  <w:marRight w:val="0"/>
                  <w:marTop w:val="0"/>
                  <w:marBottom w:val="0"/>
                  <w:divBdr>
                    <w:top w:val="none" w:sz="0" w:space="0" w:color="auto"/>
                    <w:left w:val="none" w:sz="0" w:space="0" w:color="auto"/>
                    <w:bottom w:val="none" w:sz="0" w:space="0" w:color="auto"/>
                    <w:right w:val="none" w:sz="0" w:space="0" w:color="auto"/>
                  </w:divBdr>
                  <w:divsChild>
                    <w:div w:id="1154569895">
                      <w:marLeft w:val="0"/>
                      <w:marRight w:val="0"/>
                      <w:marTop w:val="0"/>
                      <w:marBottom w:val="0"/>
                      <w:divBdr>
                        <w:top w:val="none" w:sz="0" w:space="0" w:color="auto"/>
                        <w:left w:val="none" w:sz="0" w:space="0" w:color="auto"/>
                        <w:bottom w:val="none" w:sz="0" w:space="0" w:color="auto"/>
                        <w:right w:val="none" w:sz="0" w:space="0" w:color="auto"/>
                      </w:divBdr>
                      <w:divsChild>
                        <w:div w:id="1154569867">
                          <w:marLeft w:val="0"/>
                          <w:marRight w:val="0"/>
                          <w:marTop w:val="0"/>
                          <w:marBottom w:val="0"/>
                          <w:divBdr>
                            <w:top w:val="none" w:sz="0" w:space="0" w:color="auto"/>
                            <w:left w:val="none" w:sz="0" w:space="0" w:color="auto"/>
                            <w:bottom w:val="none" w:sz="0" w:space="0" w:color="auto"/>
                            <w:right w:val="none" w:sz="0" w:space="0" w:color="auto"/>
                          </w:divBdr>
                          <w:divsChild>
                            <w:div w:id="1154569788">
                              <w:marLeft w:val="0"/>
                              <w:marRight w:val="0"/>
                              <w:marTop w:val="0"/>
                              <w:marBottom w:val="0"/>
                              <w:divBdr>
                                <w:top w:val="none" w:sz="0" w:space="0" w:color="auto"/>
                                <w:left w:val="none" w:sz="0" w:space="0" w:color="auto"/>
                                <w:bottom w:val="none" w:sz="0" w:space="0" w:color="auto"/>
                                <w:right w:val="none" w:sz="0" w:space="0" w:color="auto"/>
                              </w:divBdr>
                              <w:divsChild>
                                <w:div w:id="1154569790">
                                  <w:marLeft w:val="0"/>
                                  <w:marRight w:val="0"/>
                                  <w:marTop w:val="0"/>
                                  <w:marBottom w:val="0"/>
                                  <w:divBdr>
                                    <w:top w:val="none" w:sz="0" w:space="0" w:color="auto"/>
                                    <w:left w:val="none" w:sz="0" w:space="0" w:color="auto"/>
                                    <w:bottom w:val="none" w:sz="0" w:space="0" w:color="auto"/>
                                    <w:right w:val="none" w:sz="0" w:space="0" w:color="auto"/>
                                  </w:divBdr>
                                  <w:divsChild>
                                    <w:div w:id="115457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4569972">
      <w:marLeft w:val="0"/>
      <w:marRight w:val="0"/>
      <w:marTop w:val="0"/>
      <w:marBottom w:val="0"/>
      <w:divBdr>
        <w:top w:val="none" w:sz="0" w:space="0" w:color="auto"/>
        <w:left w:val="none" w:sz="0" w:space="0" w:color="auto"/>
        <w:bottom w:val="none" w:sz="0" w:space="0" w:color="auto"/>
        <w:right w:val="none" w:sz="0" w:space="0" w:color="auto"/>
      </w:divBdr>
      <w:divsChild>
        <w:div w:id="1154569799">
          <w:marLeft w:val="0"/>
          <w:marRight w:val="0"/>
          <w:marTop w:val="0"/>
          <w:marBottom w:val="0"/>
          <w:divBdr>
            <w:top w:val="none" w:sz="0" w:space="0" w:color="auto"/>
            <w:left w:val="none" w:sz="0" w:space="0" w:color="auto"/>
            <w:bottom w:val="none" w:sz="0" w:space="0" w:color="auto"/>
            <w:right w:val="none" w:sz="0" w:space="0" w:color="auto"/>
          </w:divBdr>
          <w:divsChild>
            <w:div w:id="1154569919">
              <w:marLeft w:val="0"/>
              <w:marRight w:val="0"/>
              <w:marTop w:val="0"/>
              <w:marBottom w:val="0"/>
              <w:divBdr>
                <w:top w:val="none" w:sz="0" w:space="0" w:color="auto"/>
                <w:left w:val="none" w:sz="0" w:space="0" w:color="auto"/>
                <w:bottom w:val="none" w:sz="0" w:space="0" w:color="auto"/>
                <w:right w:val="none" w:sz="0" w:space="0" w:color="auto"/>
              </w:divBdr>
              <w:divsChild>
                <w:div w:id="1154569981">
                  <w:marLeft w:val="0"/>
                  <w:marRight w:val="0"/>
                  <w:marTop w:val="0"/>
                  <w:marBottom w:val="0"/>
                  <w:divBdr>
                    <w:top w:val="none" w:sz="0" w:space="0" w:color="auto"/>
                    <w:left w:val="none" w:sz="0" w:space="0" w:color="auto"/>
                    <w:bottom w:val="none" w:sz="0" w:space="0" w:color="auto"/>
                    <w:right w:val="none" w:sz="0" w:space="0" w:color="auto"/>
                  </w:divBdr>
                  <w:divsChild>
                    <w:div w:id="1154569967">
                      <w:marLeft w:val="0"/>
                      <w:marRight w:val="0"/>
                      <w:marTop w:val="0"/>
                      <w:marBottom w:val="0"/>
                      <w:divBdr>
                        <w:top w:val="none" w:sz="0" w:space="0" w:color="auto"/>
                        <w:left w:val="none" w:sz="0" w:space="0" w:color="auto"/>
                        <w:bottom w:val="none" w:sz="0" w:space="0" w:color="auto"/>
                        <w:right w:val="none" w:sz="0" w:space="0" w:color="auto"/>
                      </w:divBdr>
                      <w:divsChild>
                        <w:div w:id="1154569888">
                          <w:marLeft w:val="0"/>
                          <w:marRight w:val="0"/>
                          <w:marTop w:val="0"/>
                          <w:marBottom w:val="0"/>
                          <w:divBdr>
                            <w:top w:val="none" w:sz="0" w:space="0" w:color="auto"/>
                            <w:left w:val="none" w:sz="0" w:space="0" w:color="auto"/>
                            <w:bottom w:val="none" w:sz="0" w:space="0" w:color="auto"/>
                            <w:right w:val="none" w:sz="0" w:space="0" w:color="auto"/>
                          </w:divBdr>
                          <w:divsChild>
                            <w:div w:id="1154569878">
                              <w:marLeft w:val="0"/>
                              <w:marRight w:val="0"/>
                              <w:marTop w:val="0"/>
                              <w:marBottom w:val="0"/>
                              <w:divBdr>
                                <w:top w:val="none" w:sz="0" w:space="0" w:color="auto"/>
                                <w:left w:val="none" w:sz="0" w:space="0" w:color="auto"/>
                                <w:bottom w:val="none" w:sz="0" w:space="0" w:color="auto"/>
                                <w:right w:val="none" w:sz="0" w:space="0" w:color="auto"/>
                              </w:divBdr>
                              <w:divsChild>
                                <w:div w:id="1154569855">
                                  <w:marLeft w:val="0"/>
                                  <w:marRight w:val="0"/>
                                  <w:marTop w:val="0"/>
                                  <w:marBottom w:val="0"/>
                                  <w:divBdr>
                                    <w:top w:val="none" w:sz="0" w:space="0" w:color="auto"/>
                                    <w:left w:val="none" w:sz="0" w:space="0" w:color="auto"/>
                                    <w:bottom w:val="none" w:sz="0" w:space="0" w:color="auto"/>
                                    <w:right w:val="none" w:sz="0" w:space="0" w:color="auto"/>
                                  </w:divBdr>
                                  <w:divsChild>
                                    <w:div w:id="115457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4569977">
      <w:marLeft w:val="0"/>
      <w:marRight w:val="0"/>
      <w:marTop w:val="0"/>
      <w:marBottom w:val="0"/>
      <w:divBdr>
        <w:top w:val="none" w:sz="0" w:space="0" w:color="auto"/>
        <w:left w:val="none" w:sz="0" w:space="0" w:color="auto"/>
        <w:bottom w:val="none" w:sz="0" w:space="0" w:color="auto"/>
        <w:right w:val="none" w:sz="0" w:space="0" w:color="auto"/>
      </w:divBdr>
      <w:divsChild>
        <w:div w:id="1154569955">
          <w:marLeft w:val="0"/>
          <w:marRight w:val="0"/>
          <w:marTop w:val="0"/>
          <w:marBottom w:val="0"/>
          <w:divBdr>
            <w:top w:val="none" w:sz="0" w:space="0" w:color="auto"/>
            <w:left w:val="none" w:sz="0" w:space="0" w:color="auto"/>
            <w:bottom w:val="none" w:sz="0" w:space="0" w:color="auto"/>
            <w:right w:val="none" w:sz="0" w:space="0" w:color="auto"/>
          </w:divBdr>
          <w:divsChild>
            <w:div w:id="1154569904">
              <w:marLeft w:val="0"/>
              <w:marRight w:val="0"/>
              <w:marTop w:val="0"/>
              <w:marBottom w:val="0"/>
              <w:divBdr>
                <w:top w:val="none" w:sz="0" w:space="0" w:color="auto"/>
                <w:left w:val="none" w:sz="0" w:space="0" w:color="auto"/>
                <w:bottom w:val="none" w:sz="0" w:space="0" w:color="auto"/>
                <w:right w:val="none" w:sz="0" w:space="0" w:color="auto"/>
              </w:divBdr>
              <w:divsChild>
                <w:div w:id="1154569820">
                  <w:marLeft w:val="0"/>
                  <w:marRight w:val="0"/>
                  <w:marTop w:val="0"/>
                  <w:marBottom w:val="0"/>
                  <w:divBdr>
                    <w:top w:val="none" w:sz="0" w:space="0" w:color="auto"/>
                    <w:left w:val="none" w:sz="0" w:space="0" w:color="auto"/>
                    <w:bottom w:val="none" w:sz="0" w:space="0" w:color="auto"/>
                    <w:right w:val="none" w:sz="0" w:space="0" w:color="auto"/>
                  </w:divBdr>
                  <w:divsChild>
                    <w:div w:id="1154569823">
                      <w:marLeft w:val="0"/>
                      <w:marRight w:val="0"/>
                      <w:marTop w:val="0"/>
                      <w:marBottom w:val="0"/>
                      <w:divBdr>
                        <w:top w:val="none" w:sz="0" w:space="0" w:color="auto"/>
                        <w:left w:val="none" w:sz="0" w:space="0" w:color="auto"/>
                        <w:bottom w:val="none" w:sz="0" w:space="0" w:color="auto"/>
                        <w:right w:val="none" w:sz="0" w:space="0" w:color="auto"/>
                      </w:divBdr>
                      <w:divsChild>
                        <w:div w:id="1154569782">
                          <w:marLeft w:val="0"/>
                          <w:marRight w:val="0"/>
                          <w:marTop w:val="0"/>
                          <w:marBottom w:val="0"/>
                          <w:divBdr>
                            <w:top w:val="none" w:sz="0" w:space="0" w:color="auto"/>
                            <w:left w:val="none" w:sz="0" w:space="0" w:color="auto"/>
                            <w:bottom w:val="none" w:sz="0" w:space="0" w:color="auto"/>
                            <w:right w:val="none" w:sz="0" w:space="0" w:color="auto"/>
                          </w:divBdr>
                          <w:divsChild>
                            <w:div w:id="1154569811">
                              <w:marLeft w:val="0"/>
                              <w:marRight w:val="0"/>
                              <w:marTop w:val="0"/>
                              <w:marBottom w:val="0"/>
                              <w:divBdr>
                                <w:top w:val="none" w:sz="0" w:space="0" w:color="auto"/>
                                <w:left w:val="none" w:sz="0" w:space="0" w:color="auto"/>
                                <w:bottom w:val="none" w:sz="0" w:space="0" w:color="auto"/>
                                <w:right w:val="none" w:sz="0" w:space="0" w:color="auto"/>
                              </w:divBdr>
                              <w:divsChild>
                                <w:div w:id="1154569848">
                                  <w:marLeft w:val="0"/>
                                  <w:marRight w:val="0"/>
                                  <w:marTop w:val="0"/>
                                  <w:marBottom w:val="0"/>
                                  <w:divBdr>
                                    <w:top w:val="none" w:sz="0" w:space="0" w:color="auto"/>
                                    <w:left w:val="none" w:sz="0" w:space="0" w:color="auto"/>
                                    <w:bottom w:val="none" w:sz="0" w:space="0" w:color="auto"/>
                                    <w:right w:val="none" w:sz="0" w:space="0" w:color="auto"/>
                                  </w:divBdr>
                                  <w:divsChild>
                                    <w:div w:id="1154570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4569986">
      <w:marLeft w:val="0"/>
      <w:marRight w:val="0"/>
      <w:marTop w:val="0"/>
      <w:marBottom w:val="0"/>
      <w:divBdr>
        <w:top w:val="none" w:sz="0" w:space="0" w:color="auto"/>
        <w:left w:val="none" w:sz="0" w:space="0" w:color="auto"/>
        <w:bottom w:val="none" w:sz="0" w:space="0" w:color="auto"/>
        <w:right w:val="none" w:sz="0" w:space="0" w:color="auto"/>
      </w:divBdr>
      <w:divsChild>
        <w:div w:id="1154569792">
          <w:marLeft w:val="0"/>
          <w:marRight w:val="0"/>
          <w:marTop w:val="0"/>
          <w:marBottom w:val="0"/>
          <w:divBdr>
            <w:top w:val="none" w:sz="0" w:space="0" w:color="auto"/>
            <w:left w:val="none" w:sz="0" w:space="0" w:color="auto"/>
            <w:bottom w:val="none" w:sz="0" w:space="0" w:color="auto"/>
            <w:right w:val="none" w:sz="0" w:space="0" w:color="auto"/>
          </w:divBdr>
          <w:divsChild>
            <w:div w:id="1154569889">
              <w:marLeft w:val="0"/>
              <w:marRight w:val="0"/>
              <w:marTop w:val="0"/>
              <w:marBottom w:val="0"/>
              <w:divBdr>
                <w:top w:val="none" w:sz="0" w:space="0" w:color="auto"/>
                <w:left w:val="none" w:sz="0" w:space="0" w:color="auto"/>
                <w:bottom w:val="none" w:sz="0" w:space="0" w:color="auto"/>
                <w:right w:val="none" w:sz="0" w:space="0" w:color="auto"/>
              </w:divBdr>
              <w:divsChild>
                <w:div w:id="1154569859">
                  <w:marLeft w:val="0"/>
                  <w:marRight w:val="0"/>
                  <w:marTop w:val="0"/>
                  <w:marBottom w:val="0"/>
                  <w:divBdr>
                    <w:top w:val="none" w:sz="0" w:space="0" w:color="auto"/>
                    <w:left w:val="none" w:sz="0" w:space="0" w:color="auto"/>
                    <w:bottom w:val="none" w:sz="0" w:space="0" w:color="auto"/>
                    <w:right w:val="none" w:sz="0" w:space="0" w:color="auto"/>
                  </w:divBdr>
                  <w:divsChild>
                    <w:div w:id="1154569774">
                      <w:marLeft w:val="0"/>
                      <w:marRight w:val="0"/>
                      <w:marTop w:val="0"/>
                      <w:marBottom w:val="0"/>
                      <w:divBdr>
                        <w:top w:val="none" w:sz="0" w:space="0" w:color="auto"/>
                        <w:left w:val="none" w:sz="0" w:space="0" w:color="auto"/>
                        <w:bottom w:val="none" w:sz="0" w:space="0" w:color="auto"/>
                        <w:right w:val="none" w:sz="0" w:space="0" w:color="auto"/>
                      </w:divBdr>
                      <w:divsChild>
                        <w:div w:id="1154569815">
                          <w:marLeft w:val="0"/>
                          <w:marRight w:val="0"/>
                          <w:marTop w:val="0"/>
                          <w:marBottom w:val="0"/>
                          <w:divBdr>
                            <w:top w:val="none" w:sz="0" w:space="0" w:color="auto"/>
                            <w:left w:val="none" w:sz="0" w:space="0" w:color="auto"/>
                            <w:bottom w:val="none" w:sz="0" w:space="0" w:color="auto"/>
                            <w:right w:val="none" w:sz="0" w:space="0" w:color="auto"/>
                          </w:divBdr>
                          <w:divsChild>
                            <w:div w:id="1154569890">
                              <w:marLeft w:val="0"/>
                              <w:marRight w:val="0"/>
                              <w:marTop w:val="0"/>
                              <w:marBottom w:val="0"/>
                              <w:divBdr>
                                <w:top w:val="none" w:sz="0" w:space="0" w:color="auto"/>
                                <w:left w:val="none" w:sz="0" w:space="0" w:color="auto"/>
                                <w:bottom w:val="none" w:sz="0" w:space="0" w:color="auto"/>
                                <w:right w:val="none" w:sz="0" w:space="0" w:color="auto"/>
                              </w:divBdr>
                              <w:divsChild>
                                <w:div w:id="1154569925">
                                  <w:marLeft w:val="0"/>
                                  <w:marRight w:val="0"/>
                                  <w:marTop w:val="0"/>
                                  <w:marBottom w:val="0"/>
                                  <w:divBdr>
                                    <w:top w:val="none" w:sz="0" w:space="0" w:color="auto"/>
                                    <w:left w:val="none" w:sz="0" w:space="0" w:color="auto"/>
                                    <w:bottom w:val="none" w:sz="0" w:space="0" w:color="auto"/>
                                    <w:right w:val="none" w:sz="0" w:space="0" w:color="auto"/>
                                  </w:divBdr>
                                  <w:divsChild>
                                    <w:div w:id="1154569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4569987">
      <w:marLeft w:val="0"/>
      <w:marRight w:val="0"/>
      <w:marTop w:val="0"/>
      <w:marBottom w:val="0"/>
      <w:divBdr>
        <w:top w:val="none" w:sz="0" w:space="0" w:color="auto"/>
        <w:left w:val="none" w:sz="0" w:space="0" w:color="auto"/>
        <w:bottom w:val="none" w:sz="0" w:space="0" w:color="auto"/>
        <w:right w:val="none" w:sz="0" w:space="0" w:color="auto"/>
      </w:divBdr>
      <w:divsChild>
        <w:div w:id="1154569838">
          <w:marLeft w:val="0"/>
          <w:marRight w:val="0"/>
          <w:marTop w:val="0"/>
          <w:marBottom w:val="0"/>
          <w:divBdr>
            <w:top w:val="none" w:sz="0" w:space="0" w:color="auto"/>
            <w:left w:val="none" w:sz="0" w:space="0" w:color="auto"/>
            <w:bottom w:val="none" w:sz="0" w:space="0" w:color="auto"/>
            <w:right w:val="none" w:sz="0" w:space="0" w:color="auto"/>
          </w:divBdr>
          <w:divsChild>
            <w:div w:id="1154569833">
              <w:marLeft w:val="0"/>
              <w:marRight w:val="0"/>
              <w:marTop w:val="0"/>
              <w:marBottom w:val="0"/>
              <w:divBdr>
                <w:top w:val="none" w:sz="0" w:space="0" w:color="auto"/>
                <w:left w:val="none" w:sz="0" w:space="0" w:color="auto"/>
                <w:bottom w:val="none" w:sz="0" w:space="0" w:color="auto"/>
                <w:right w:val="none" w:sz="0" w:space="0" w:color="auto"/>
              </w:divBdr>
              <w:divsChild>
                <w:div w:id="1154569975">
                  <w:marLeft w:val="0"/>
                  <w:marRight w:val="0"/>
                  <w:marTop w:val="0"/>
                  <w:marBottom w:val="0"/>
                  <w:divBdr>
                    <w:top w:val="none" w:sz="0" w:space="0" w:color="auto"/>
                    <w:left w:val="none" w:sz="0" w:space="0" w:color="auto"/>
                    <w:bottom w:val="none" w:sz="0" w:space="0" w:color="auto"/>
                    <w:right w:val="none" w:sz="0" w:space="0" w:color="auto"/>
                  </w:divBdr>
                  <w:divsChild>
                    <w:div w:id="1154570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4569995">
      <w:marLeft w:val="0"/>
      <w:marRight w:val="0"/>
      <w:marTop w:val="0"/>
      <w:marBottom w:val="0"/>
      <w:divBdr>
        <w:top w:val="none" w:sz="0" w:space="0" w:color="auto"/>
        <w:left w:val="none" w:sz="0" w:space="0" w:color="auto"/>
        <w:bottom w:val="none" w:sz="0" w:space="0" w:color="auto"/>
        <w:right w:val="none" w:sz="0" w:space="0" w:color="auto"/>
      </w:divBdr>
      <w:divsChild>
        <w:div w:id="1154569923">
          <w:marLeft w:val="0"/>
          <w:marRight w:val="0"/>
          <w:marTop w:val="0"/>
          <w:marBottom w:val="0"/>
          <w:divBdr>
            <w:top w:val="none" w:sz="0" w:space="0" w:color="auto"/>
            <w:left w:val="none" w:sz="0" w:space="0" w:color="auto"/>
            <w:bottom w:val="none" w:sz="0" w:space="0" w:color="auto"/>
            <w:right w:val="none" w:sz="0" w:space="0" w:color="auto"/>
          </w:divBdr>
          <w:divsChild>
            <w:div w:id="1154569918">
              <w:marLeft w:val="0"/>
              <w:marRight w:val="0"/>
              <w:marTop w:val="0"/>
              <w:marBottom w:val="0"/>
              <w:divBdr>
                <w:top w:val="none" w:sz="0" w:space="0" w:color="auto"/>
                <w:left w:val="none" w:sz="0" w:space="0" w:color="auto"/>
                <w:bottom w:val="none" w:sz="0" w:space="0" w:color="auto"/>
                <w:right w:val="none" w:sz="0" w:space="0" w:color="auto"/>
              </w:divBdr>
              <w:divsChild>
                <w:div w:id="1154569835">
                  <w:marLeft w:val="0"/>
                  <w:marRight w:val="0"/>
                  <w:marTop w:val="0"/>
                  <w:marBottom w:val="0"/>
                  <w:divBdr>
                    <w:top w:val="none" w:sz="0" w:space="0" w:color="auto"/>
                    <w:left w:val="none" w:sz="0" w:space="0" w:color="auto"/>
                    <w:bottom w:val="none" w:sz="0" w:space="0" w:color="auto"/>
                    <w:right w:val="none" w:sz="0" w:space="0" w:color="auto"/>
                  </w:divBdr>
                  <w:divsChild>
                    <w:div w:id="1154569922">
                      <w:marLeft w:val="0"/>
                      <w:marRight w:val="0"/>
                      <w:marTop w:val="0"/>
                      <w:marBottom w:val="0"/>
                      <w:divBdr>
                        <w:top w:val="none" w:sz="0" w:space="0" w:color="auto"/>
                        <w:left w:val="none" w:sz="0" w:space="0" w:color="auto"/>
                        <w:bottom w:val="none" w:sz="0" w:space="0" w:color="auto"/>
                        <w:right w:val="none" w:sz="0" w:space="0" w:color="auto"/>
                      </w:divBdr>
                      <w:divsChild>
                        <w:div w:id="1154569841">
                          <w:marLeft w:val="0"/>
                          <w:marRight w:val="0"/>
                          <w:marTop w:val="0"/>
                          <w:marBottom w:val="0"/>
                          <w:divBdr>
                            <w:top w:val="none" w:sz="0" w:space="0" w:color="auto"/>
                            <w:left w:val="none" w:sz="0" w:space="0" w:color="auto"/>
                            <w:bottom w:val="none" w:sz="0" w:space="0" w:color="auto"/>
                            <w:right w:val="none" w:sz="0" w:space="0" w:color="auto"/>
                          </w:divBdr>
                          <w:divsChild>
                            <w:div w:id="1154569873">
                              <w:marLeft w:val="0"/>
                              <w:marRight w:val="0"/>
                              <w:marTop w:val="0"/>
                              <w:marBottom w:val="0"/>
                              <w:divBdr>
                                <w:top w:val="none" w:sz="0" w:space="0" w:color="auto"/>
                                <w:left w:val="none" w:sz="0" w:space="0" w:color="auto"/>
                                <w:bottom w:val="none" w:sz="0" w:space="0" w:color="auto"/>
                                <w:right w:val="none" w:sz="0" w:space="0" w:color="auto"/>
                              </w:divBdr>
                              <w:divsChild>
                                <w:div w:id="1154569908">
                                  <w:marLeft w:val="0"/>
                                  <w:marRight w:val="0"/>
                                  <w:marTop w:val="0"/>
                                  <w:marBottom w:val="0"/>
                                  <w:divBdr>
                                    <w:top w:val="none" w:sz="0" w:space="0" w:color="auto"/>
                                    <w:left w:val="none" w:sz="0" w:space="0" w:color="auto"/>
                                    <w:bottom w:val="none" w:sz="0" w:space="0" w:color="auto"/>
                                    <w:right w:val="none" w:sz="0" w:space="0" w:color="auto"/>
                                  </w:divBdr>
                                  <w:divsChild>
                                    <w:div w:id="1154569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4570010">
      <w:marLeft w:val="0"/>
      <w:marRight w:val="0"/>
      <w:marTop w:val="0"/>
      <w:marBottom w:val="0"/>
      <w:divBdr>
        <w:top w:val="none" w:sz="0" w:space="0" w:color="auto"/>
        <w:left w:val="none" w:sz="0" w:space="0" w:color="auto"/>
        <w:bottom w:val="none" w:sz="0" w:space="0" w:color="auto"/>
        <w:right w:val="none" w:sz="0" w:space="0" w:color="auto"/>
      </w:divBdr>
      <w:divsChild>
        <w:div w:id="1154569959">
          <w:marLeft w:val="0"/>
          <w:marRight w:val="0"/>
          <w:marTop w:val="0"/>
          <w:marBottom w:val="0"/>
          <w:divBdr>
            <w:top w:val="none" w:sz="0" w:space="0" w:color="auto"/>
            <w:left w:val="none" w:sz="0" w:space="0" w:color="auto"/>
            <w:bottom w:val="none" w:sz="0" w:space="0" w:color="auto"/>
            <w:right w:val="none" w:sz="0" w:space="0" w:color="auto"/>
          </w:divBdr>
          <w:divsChild>
            <w:div w:id="1154569831">
              <w:marLeft w:val="0"/>
              <w:marRight w:val="0"/>
              <w:marTop w:val="0"/>
              <w:marBottom w:val="0"/>
              <w:divBdr>
                <w:top w:val="none" w:sz="0" w:space="0" w:color="auto"/>
                <w:left w:val="none" w:sz="0" w:space="0" w:color="auto"/>
                <w:bottom w:val="none" w:sz="0" w:space="0" w:color="auto"/>
                <w:right w:val="none" w:sz="0" w:space="0" w:color="auto"/>
              </w:divBdr>
              <w:divsChild>
                <w:div w:id="1154569779">
                  <w:marLeft w:val="0"/>
                  <w:marRight w:val="0"/>
                  <w:marTop w:val="0"/>
                  <w:marBottom w:val="0"/>
                  <w:divBdr>
                    <w:top w:val="none" w:sz="0" w:space="0" w:color="auto"/>
                    <w:left w:val="none" w:sz="0" w:space="0" w:color="auto"/>
                    <w:bottom w:val="none" w:sz="0" w:space="0" w:color="auto"/>
                    <w:right w:val="none" w:sz="0" w:space="0" w:color="auto"/>
                  </w:divBdr>
                  <w:divsChild>
                    <w:div w:id="1154569780">
                      <w:marLeft w:val="0"/>
                      <w:marRight w:val="0"/>
                      <w:marTop w:val="0"/>
                      <w:marBottom w:val="0"/>
                      <w:divBdr>
                        <w:top w:val="none" w:sz="0" w:space="0" w:color="auto"/>
                        <w:left w:val="none" w:sz="0" w:space="0" w:color="auto"/>
                        <w:bottom w:val="none" w:sz="0" w:space="0" w:color="auto"/>
                        <w:right w:val="none" w:sz="0" w:space="0" w:color="auto"/>
                      </w:divBdr>
                      <w:divsChild>
                        <w:div w:id="1154569819">
                          <w:marLeft w:val="0"/>
                          <w:marRight w:val="0"/>
                          <w:marTop w:val="0"/>
                          <w:marBottom w:val="0"/>
                          <w:divBdr>
                            <w:top w:val="none" w:sz="0" w:space="0" w:color="auto"/>
                            <w:left w:val="none" w:sz="0" w:space="0" w:color="auto"/>
                            <w:bottom w:val="none" w:sz="0" w:space="0" w:color="auto"/>
                            <w:right w:val="none" w:sz="0" w:space="0" w:color="auto"/>
                          </w:divBdr>
                          <w:divsChild>
                            <w:div w:id="1154569970">
                              <w:marLeft w:val="0"/>
                              <w:marRight w:val="0"/>
                              <w:marTop w:val="0"/>
                              <w:marBottom w:val="0"/>
                              <w:divBdr>
                                <w:top w:val="none" w:sz="0" w:space="0" w:color="auto"/>
                                <w:left w:val="none" w:sz="0" w:space="0" w:color="auto"/>
                                <w:bottom w:val="none" w:sz="0" w:space="0" w:color="auto"/>
                                <w:right w:val="none" w:sz="0" w:space="0" w:color="auto"/>
                              </w:divBdr>
                              <w:divsChild>
                                <w:div w:id="1154569984">
                                  <w:marLeft w:val="0"/>
                                  <w:marRight w:val="0"/>
                                  <w:marTop w:val="0"/>
                                  <w:marBottom w:val="0"/>
                                  <w:divBdr>
                                    <w:top w:val="none" w:sz="0" w:space="0" w:color="auto"/>
                                    <w:left w:val="none" w:sz="0" w:space="0" w:color="auto"/>
                                    <w:bottom w:val="none" w:sz="0" w:space="0" w:color="auto"/>
                                    <w:right w:val="none" w:sz="0" w:space="0" w:color="auto"/>
                                  </w:divBdr>
                                  <w:divsChild>
                                    <w:div w:id="115456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4570014">
      <w:marLeft w:val="0"/>
      <w:marRight w:val="0"/>
      <w:marTop w:val="0"/>
      <w:marBottom w:val="0"/>
      <w:divBdr>
        <w:top w:val="none" w:sz="0" w:space="0" w:color="auto"/>
        <w:left w:val="none" w:sz="0" w:space="0" w:color="auto"/>
        <w:bottom w:val="none" w:sz="0" w:space="0" w:color="auto"/>
        <w:right w:val="none" w:sz="0" w:space="0" w:color="auto"/>
      </w:divBdr>
    </w:div>
    <w:div w:id="1154570024">
      <w:marLeft w:val="0"/>
      <w:marRight w:val="0"/>
      <w:marTop w:val="0"/>
      <w:marBottom w:val="0"/>
      <w:divBdr>
        <w:top w:val="none" w:sz="0" w:space="0" w:color="auto"/>
        <w:left w:val="none" w:sz="0" w:space="0" w:color="auto"/>
        <w:bottom w:val="none" w:sz="0" w:space="0" w:color="auto"/>
        <w:right w:val="none" w:sz="0" w:space="0" w:color="auto"/>
      </w:divBdr>
      <w:divsChild>
        <w:div w:id="1154570006">
          <w:marLeft w:val="0"/>
          <w:marRight w:val="0"/>
          <w:marTop w:val="0"/>
          <w:marBottom w:val="0"/>
          <w:divBdr>
            <w:top w:val="none" w:sz="0" w:space="0" w:color="auto"/>
            <w:left w:val="none" w:sz="0" w:space="0" w:color="auto"/>
            <w:bottom w:val="none" w:sz="0" w:space="0" w:color="auto"/>
            <w:right w:val="none" w:sz="0" w:space="0" w:color="auto"/>
          </w:divBdr>
          <w:divsChild>
            <w:div w:id="1154569905">
              <w:marLeft w:val="0"/>
              <w:marRight w:val="0"/>
              <w:marTop w:val="0"/>
              <w:marBottom w:val="0"/>
              <w:divBdr>
                <w:top w:val="none" w:sz="0" w:space="0" w:color="auto"/>
                <w:left w:val="none" w:sz="0" w:space="0" w:color="auto"/>
                <w:bottom w:val="none" w:sz="0" w:space="0" w:color="auto"/>
                <w:right w:val="none" w:sz="0" w:space="0" w:color="auto"/>
              </w:divBdr>
              <w:divsChild>
                <w:div w:id="1154569881">
                  <w:marLeft w:val="0"/>
                  <w:marRight w:val="0"/>
                  <w:marTop w:val="0"/>
                  <w:marBottom w:val="0"/>
                  <w:divBdr>
                    <w:top w:val="none" w:sz="0" w:space="0" w:color="auto"/>
                    <w:left w:val="none" w:sz="0" w:space="0" w:color="auto"/>
                    <w:bottom w:val="none" w:sz="0" w:space="0" w:color="auto"/>
                    <w:right w:val="none" w:sz="0" w:space="0" w:color="auto"/>
                  </w:divBdr>
                  <w:divsChild>
                    <w:div w:id="1154569775">
                      <w:marLeft w:val="0"/>
                      <w:marRight w:val="0"/>
                      <w:marTop w:val="0"/>
                      <w:marBottom w:val="0"/>
                      <w:divBdr>
                        <w:top w:val="none" w:sz="0" w:space="0" w:color="auto"/>
                        <w:left w:val="none" w:sz="0" w:space="0" w:color="auto"/>
                        <w:bottom w:val="none" w:sz="0" w:space="0" w:color="auto"/>
                        <w:right w:val="none" w:sz="0" w:space="0" w:color="auto"/>
                      </w:divBdr>
                      <w:divsChild>
                        <w:div w:id="1154569991">
                          <w:marLeft w:val="0"/>
                          <w:marRight w:val="0"/>
                          <w:marTop w:val="0"/>
                          <w:marBottom w:val="0"/>
                          <w:divBdr>
                            <w:top w:val="none" w:sz="0" w:space="0" w:color="auto"/>
                            <w:left w:val="none" w:sz="0" w:space="0" w:color="auto"/>
                            <w:bottom w:val="none" w:sz="0" w:space="0" w:color="auto"/>
                            <w:right w:val="none" w:sz="0" w:space="0" w:color="auto"/>
                          </w:divBdr>
                          <w:divsChild>
                            <w:div w:id="1154569936">
                              <w:marLeft w:val="0"/>
                              <w:marRight w:val="0"/>
                              <w:marTop w:val="0"/>
                              <w:marBottom w:val="0"/>
                              <w:divBdr>
                                <w:top w:val="none" w:sz="0" w:space="0" w:color="auto"/>
                                <w:left w:val="none" w:sz="0" w:space="0" w:color="auto"/>
                                <w:bottom w:val="none" w:sz="0" w:space="0" w:color="auto"/>
                                <w:right w:val="none" w:sz="0" w:space="0" w:color="auto"/>
                              </w:divBdr>
                              <w:divsChild>
                                <w:div w:id="1154569947">
                                  <w:marLeft w:val="0"/>
                                  <w:marRight w:val="0"/>
                                  <w:marTop w:val="0"/>
                                  <w:marBottom w:val="0"/>
                                  <w:divBdr>
                                    <w:top w:val="none" w:sz="0" w:space="0" w:color="auto"/>
                                    <w:left w:val="none" w:sz="0" w:space="0" w:color="auto"/>
                                    <w:bottom w:val="none" w:sz="0" w:space="0" w:color="auto"/>
                                    <w:right w:val="none" w:sz="0" w:space="0" w:color="auto"/>
                                  </w:divBdr>
                                  <w:divsChild>
                                    <w:div w:id="1154569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www.wipo.int/tk/en/databases/contracts/texts/ncimta.html" TargetMode="External"/><Relationship Id="rId13" Type="http://schemas.openxmlformats.org/officeDocument/2006/relationships/hyperlink" Target="http://www.wipo.int/tk/en/databases/contracts/texts/nigeriaherbalist.html" TargetMode="External"/><Relationship Id="rId18" Type="http://schemas.openxmlformats.org/officeDocument/2006/relationships/hyperlink" Target="http://www.environment.gov.au/biodiversity/science/access/permits/non-commercial.html" TargetMode="External"/><Relationship Id="rId26" Type="http://schemas.openxmlformats.org/officeDocument/2006/relationships/hyperlink" Target="http://www.bioprospector.org" TargetMode="External"/><Relationship Id="rId39" Type="http://schemas.openxmlformats.org/officeDocument/2006/relationships/hyperlink" Target="http://www.sfaa.net/sfaaethic.html" TargetMode="External"/><Relationship Id="rId3" Type="http://schemas.openxmlformats.org/officeDocument/2006/relationships/hyperlink" Target="http://www.sib.admin.ch/en/nagoya-protocol/abs-management-tool/index.html" TargetMode="External"/><Relationship Id="rId21" Type="http://schemas.openxmlformats.org/officeDocument/2006/relationships/hyperlink" Target="https://www.environment.gov.za/?q=content/documents/forms" TargetMode="External"/><Relationship Id="rId34" Type="http://schemas.openxmlformats.org/officeDocument/2006/relationships/hyperlink" Target="http://www.eeu.org.za/DEA%20BABS%20Guidelines%20Web.pdf" TargetMode="External"/><Relationship Id="rId42" Type="http://schemas.openxmlformats.org/officeDocument/2006/relationships/hyperlink" Target="http://www.dfg.de" TargetMode="External"/><Relationship Id="rId7" Type="http://schemas.openxmlformats.org/officeDocument/2006/relationships/hyperlink" Target="http://www.wipo.int/tk/en/databases/contracts/texts/ccdm.html" TargetMode="External"/><Relationship Id="rId12" Type="http://schemas.openxmlformats.org/officeDocument/2006/relationships/hyperlink" Target="http://www.wipo.int/tk/en/databases/contracts/index.html" TargetMode="External"/><Relationship Id="rId17" Type="http://schemas.openxmlformats.org/officeDocument/2006/relationships/hyperlink" Target="http://abs.scnat.ch/downloads/documents/NonCommResearch_ABS_Agreement.pdf" TargetMode="External"/><Relationship Id="rId25" Type="http://schemas.openxmlformats.org/officeDocument/2006/relationships/hyperlink" Target="http://www.cbd.int/abs/instruments/default.shtml" TargetMode="External"/><Relationship Id="rId33" Type="http://schemas.openxmlformats.org/officeDocument/2006/relationships/hyperlink" Target="http://www.environment.gov.au/biodiversity/science/access/model-agreements/index.html" TargetMode="External"/><Relationship Id="rId38" Type="http://schemas.openxmlformats.org/officeDocument/2006/relationships/hyperlink" Target="http://www.cbd.int/traditional/code/ethicalconduct-brochure-en.pdf" TargetMode="External"/><Relationship Id="rId2" Type="http://schemas.openxmlformats.org/officeDocument/2006/relationships/hyperlink" Target="http://www.bioprospector.org" TargetMode="External"/><Relationship Id="rId16" Type="http://schemas.openxmlformats.org/officeDocument/2006/relationships/hyperlink" Target="http://www.environment.gov.au/biodiversity/science/access/model-agreements/index.html" TargetMode="External"/><Relationship Id="rId20" Type="http://schemas.openxmlformats.org/officeDocument/2006/relationships/hyperlink" Target="http://www.environment.gov.au/biodiversity/science/access/model-agreements/index.html" TargetMode="External"/><Relationship Id="rId29" Type="http://schemas.openxmlformats.org/officeDocument/2006/relationships/hyperlink" Target="http://www.bio.org/content/bio-bioprospecting-guidelines" TargetMode="External"/><Relationship Id="rId41" Type="http://schemas.openxmlformats.org/officeDocument/2006/relationships/hyperlink" Target="http://www.environment.gov.au/biodiversity/science/access/model-agreements/index.html" TargetMode="External"/><Relationship Id="rId1" Type="http://schemas.openxmlformats.org/officeDocument/2006/relationships/hyperlink" Target="http://www.cbd.int/abs/instruments/default.shtml" TargetMode="External"/><Relationship Id="rId6" Type="http://schemas.openxmlformats.org/officeDocument/2006/relationships/hyperlink" Target="http://www.wipo.int/tk/en/databases/contracts/texts/bio.html" TargetMode="External"/><Relationship Id="rId11" Type="http://schemas.openxmlformats.org/officeDocument/2006/relationships/hyperlink" Target="http://www.cbd.int/abs/resources/contracts.shtml" TargetMode="External"/><Relationship Id="rId24" Type="http://schemas.openxmlformats.org/officeDocument/2006/relationships/hyperlink" Target="http://test.bio.org/intl/ip/international/" TargetMode="External"/><Relationship Id="rId32" Type="http://schemas.openxmlformats.org/officeDocument/2006/relationships/hyperlink" Target="http://www.dfg.de/download/formulare/1_021_e/1_021e_rtf.rtf" TargetMode="External"/><Relationship Id="rId37" Type="http://schemas.openxmlformats.org/officeDocument/2006/relationships/hyperlink" Target="http://www.ifpma.org" TargetMode="External"/><Relationship Id="rId40" Type="http://schemas.openxmlformats.org/officeDocument/2006/relationships/hyperlink" Target="http://www.ethicalbiotrade.org/resources/index.html" TargetMode="External"/><Relationship Id="rId5" Type="http://schemas.openxmlformats.org/officeDocument/2006/relationships/hyperlink" Target="http://www.wipo.int/tk/en/databases/contracts/texts/bio.html" TargetMode="External"/><Relationship Id="rId15" Type="http://schemas.openxmlformats.org/officeDocument/2006/relationships/hyperlink" Target="http://www.dfg.de" TargetMode="External"/><Relationship Id="rId23" Type="http://schemas.openxmlformats.org/officeDocument/2006/relationships/hyperlink" Target="http://www.sib.admin.ch/en/nagoya-protocol/abs-management-tool/index.html" TargetMode="External"/><Relationship Id="rId28" Type="http://schemas.openxmlformats.org/officeDocument/2006/relationships/hyperlink" Target="http://www.environment.gov.au/biodiversity/science/access/model-agreements/index.html" TargetMode="External"/><Relationship Id="rId36" Type="http://schemas.openxmlformats.org/officeDocument/2006/relationships/hyperlink" Target="http://www.sib.admin.ch/en/nagoya-protocol/abs-management-tool/index.html" TargetMode="External"/><Relationship Id="rId10" Type="http://schemas.openxmlformats.org/officeDocument/2006/relationships/hyperlink" Target="http://www.wipo.int/tk/en/databases/contracts/texts/korea.html" TargetMode="External"/><Relationship Id="rId19" Type="http://schemas.openxmlformats.org/officeDocument/2006/relationships/hyperlink" Target="http://abs.scnat.ch/downloads/documents/NonCommResearch_ABS_Agreement.pdf" TargetMode="External"/><Relationship Id="rId31" Type="http://schemas.openxmlformats.org/officeDocument/2006/relationships/hyperlink" Target="http://abs.scnat.ch" TargetMode="External"/><Relationship Id="rId44" Type="http://schemas.openxmlformats.org/officeDocument/2006/relationships/hyperlink" Target="http://www.un.org/esa/socdev/unpfii/documents/DRIPS_en.pdf" TargetMode="External"/><Relationship Id="rId4" Type="http://schemas.openxmlformats.org/officeDocument/2006/relationships/hyperlink" Target="http://www.ipHandbook.org" TargetMode="External"/><Relationship Id="rId9" Type="http://schemas.openxmlformats.org/officeDocument/2006/relationships/hyperlink" Target="http://www.wipo.int/tk/en/databases/contracts/texts/nciloc.html" TargetMode="External"/><Relationship Id="rId14" Type="http://schemas.openxmlformats.org/officeDocument/2006/relationships/hyperlink" Target="http://www.planttreaty.org/content/what-smta" TargetMode="External"/><Relationship Id="rId22" Type="http://schemas.openxmlformats.org/officeDocument/2006/relationships/hyperlink" Target="https://www.environment.gov.za/?q=content/documents/forms" TargetMode="External"/><Relationship Id="rId27" Type="http://schemas.openxmlformats.org/officeDocument/2006/relationships/hyperlink" Target="http://www.sib.admin.ch/en/nagoya-protocol/abs-management-tool/index.html" TargetMode="External"/><Relationship Id="rId30" Type="http://schemas.openxmlformats.org/officeDocument/2006/relationships/hyperlink" Target="http://www.ifpma.org/fileadmin/content/Innovation/Biodiversity%20and%20Genetic%20Resources/IFPMA_Guidelines_GeneticResources_111206.pdf" TargetMode="External"/><Relationship Id="rId35" Type="http://schemas.openxmlformats.org/officeDocument/2006/relationships/hyperlink" Target="http://www.ethicalbiotrade.org/resources/index.html" TargetMode="External"/><Relationship Id="rId43" Type="http://schemas.openxmlformats.org/officeDocument/2006/relationships/hyperlink" Target="http://test.bio.org/intl/ip/internation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7BC1BF-DD90-40A5-A01B-668E0B629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8014</Words>
  <Characters>44264</Characters>
  <Application>Microsoft Office Word</Application>
  <DocSecurity>0</DocSecurity>
  <Lines>368</Lines>
  <Paragraphs>104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Articles 19 and 20 of the Nagoya Protocol on Access and Benefit-sharing – Survey of Model Contractual Clauses, Codes of Conduct, Guidelines, Best Practices and Standards</vt:lpstr>
      <vt:lpstr>Articles 19 and 20 of the Nagoya Protocol on Access and Benefit-sharing – Survey of Model Contractual Clauses, Codes of Conduct, Guidelines, Best Practices and Standards</vt:lpstr>
    </vt:vector>
  </TitlesOfParts>
  <Company>SCBD</Company>
  <LinksUpToDate>false</LinksUpToDate>
  <CharactersWithSpaces>52174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Articles 19 and 20 of the Nagoya Protocol on Access and Benefit-sharing – Survey of Model Contractual Clauses, Codes of Conduct, Guidelines, Best Practices and Standards</dc:title>
  <dc:creator>Valerie Normand</dc:creator>
  <cp:lastModifiedBy>情報通信課</cp:lastModifiedBy>
  <cp:revision>2</cp:revision>
  <cp:lastPrinted>2013-08-30T19:45:00Z</cp:lastPrinted>
  <dcterms:created xsi:type="dcterms:W3CDTF">2013-09-10T13:53:00Z</dcterms:created>
  <dcterms:modified xsi:type="dcterms:W3CDTF">2013-09-10T13:53:00Z</dcterms:modified>
</cp:coreProperties>
</file>