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F38A68" w14:textId="77777777" w:rsidR="009F53FC" w:rsidRPr="002848C4" w:rsidRDefault="009F53FC" w:rsidP="008C3E3E">
      <w:pPr>
        <w:jc w:val="center"/>
        <w:rPr>
          <w:lang w:val="en-US"/>
        </w:rPr>
      </w:pPr>
    </w:p>
    <w:p w14:paraId="75116E07" w14:textId="77777777" w:rsidR="00036BB7" w:rsidRPr="00D86585" w:rsidRDefault="00036BB7" w:rsidP="008C3E3E">
      <w:pPr>
        <w:pStyle w:val="Corpotesto"/>
        <w:jc w:val="center"/>
        <w:rPr>
          <w:rFonts w:ascii="Trebuchet MS" w:hAnsi="Trebuchet MS"/>
        </w:rPr>
      </w:pPr>
      <w:r w:rsidRPr="00D86585">
        <w:rPr>
          <w:rFonts w:ascii="Trebuchet MS" w:hAnsi="Trebuchet MS"/>
          <w:u w:val="single"/>
        </w:rPr>
        <w:t>COMUNICATO STAMPA</w:t>
      </w:r>
    </w:p>
    <w:p w14:paraId="38B6EFDD" w14:textId="193FA0C5" w:rsidR="00036BB7" w:rsidRPr="00D86585" w:rsidRDefault="00036BB7" w:rsidP="00036BB7">
      <w:pPr>
        <w:pStyle w:val="Corpotesto"/>
        <w:jc w:val="center"/>
        <w:rPr>
          <w:rFonts w:ascii="Trebuchet MS" w:hAnsi="Trebuchet MS"/>
        </w:rPr>
      </w:pPr>
      <w:r w:rsidRPr="00D86585">
        <w:rPr>
          <w:rFonts w:ascii="Trebuchet MS" w:hAnsi="Trebuchet MS"/>
        </w:rPr>
        <w:t xml:space="preserve">Osservatorio </w:t>
      </w:r>
      <w:r w:rsidR="00E453CF" w:rsidRPr="00D86585">
        <w:rPr>
          <w:rFonts w:ascii="Trebuchet MS" w:hAnsi="Trebuchet MS"/>
        </w:rPr>
        <w:t>Digital B2b</w:t>
      </w:r>
    </w:p>
    <w:p w14:paraId="0EF18813" w14:textId="7A23FDA9" w:rsidR="004832CF" w:rsidRPr="00D86585" w:rsidRDefault="004832CF" w:rsidP="004832CF">
      <w:pPr>
        <w:pStyle w:val="Corpotesto"/>
        <w:jc w:val="center"/>
        <w:rPr>
          <w:rFonts w:ascii="Trebuchet MS" w:hAnsi="Trebuchet MS"/>
          <w:b/>
          <w:bCs/>
        </w:rPr>
      </w:pPr>
      <w:r w:rsidRPr="00D86585">
        <w:rPr>
          <w:rFonts w:ascii="Trebuchet MS" w:hAnsi="Trebuchet MS"/>
          <w:b/>
          <w:bCs/>
        </w:rPr>
        <w:t>NEL 2020 L'ECOMMERCE B2B IN ITALIA VALE 406 MLD DI EURO, -1%</w:t>
      </w:r>
    </w:p>
    <w:p w14:paraId="1E19131D" w14:textId="69C6BA93" w:rsidR="004832CF" w:rsidRPr="00D86585" w:rsidRDefault="004832CF" w:rsidP="004832CF">
      <w:pPr>
        <w:pStyle w:val="Corpotesto"/>
        <w:jc w:val="center"/>
        <w:rPr>
          <w:rFonts w:ascii="Trebuchet MS" w:hAnsi="Trebuchet MS"/>
          <w:b/>
          <w:bCs/>
        </w:rPr>
      </w:pPr>
      <w:r w:rsidRPr="00D86585">
        <w:rPr>
          <w:rFonts w:ascii="Trebuchet MS" w:hAnsi="Trebuchet MS"/>
          <w:b/>
          <w:bCs/>
        </w:rPr>
        <w:t>UN QU</w:t>
      </w:r>
      <w:r w:rsidR="00A2380C" w:rsidRPr="00D86585">
        <w:rPr>
          <w:rFonts w:ascii="Trebuchet MS" w:hAnsi="Trebuchet MS"/>
          <w:b/>
          <w:bCs/>
        </w:rPr>
        <w:t>INTO</w:t>
      </w:r>
      <w:r w:rsidR="00C37FCF" w:rsidRPr="00D86585">
        <w:rPr>
          <w:rFonts w:ascii="Trebuchet MS" w:hAnsi="Trebuchet MS"/>
          <w:b/>
          <w:bCs/>
        </w:rPr>
        <w:t xml:space="preserve"> </w:t>
      </w:r>
      <w:r w:rsidRPr="00D86585">
        <w:rPr>
          <w:rFonts w:ascii="Trebuchet MS" w:hAnsi="Trebuchet MS"/>
          <w:b/>
          <w:bCs/>
        </w:rPr>
        <w:t>DELLE IMPRESE HA INVESTITO NEL DIGITAL B2B, IL 38</w:t>
      </w:r>
      <w:r w:rsidR="008A2912" w:rsidRPr="00D86585">
        <w:rPr>
          <w:rFonts w:ascii="Trebuchet MS" w:hAnsi="Trebuchet MS"/>
          <w:b/>
          <w:bCs/>
        </w:rPr>
        <w:t>,5</w:t>
      </w:r>
      <w:r w:rsidRPr="00D86585">
        <w:rPr>
          <w:rFonts w:ascii="Trebuchet MS" w:hAnsi="Trebuchet MS"/>
          <w:b/>
          <w:bCs/>
        </w:rPr>
        <w:t xml:space="preserve">% LO FARÀ ENTRO IL 2022 </w:t>
      </w:r>
    </w:p>
    <w:p w14:paraId="2FE5946B" w14:textId="09F93500" w:rsidR="004832CF" w:rsidRPr="00D86585" w:rsidRDefault="008A2912" w:rsidP="004832CF">
      <w:pPr>
        <w:pStyle w:val="Corpotesto"/>
        <w:jc w:val="center"/>
        <w:rPr>
          <w:rFonts w:ascii="Trebuchet MS" w:hAnsi="Trebuchet MS"/>
          <w:i/>
          <w:iCs/>
        </w:rPr>
      </w:pPr>
      <w:r w:rsidRPr="00D86585">
        <w:rPr>
          <w:rFonts w:ascii="Trebuchet MS" w:hAnsi="Trebuchet MS"/>
          <w:i/>
          <w:iCs/>
        </w:rPr>
        <w:t>Aumenta l’incidenza dell</w:t>
      </w:r>
      <w:r w:rsidR="004832CF" w:rsidRPr="00D86585">
        <w:rPr>
          <w:rFonts w:ascii="Trebuchet MS" w:hAnsi="Trebuchet MS"/>
          <w:i/>
          <w:iCs/>
        </w:rPr>
        <w:t>’eCommerce</w:t>
      </w:r>
      <w:r w:rsidRPr="00D86585">
        <w:rPr>
          <w:rFonts w:ascii="Trebuchet MS" w:hAnsi="Trebuchet MS"/>
          <w:i/>
          <w:iCs/>
        </w:rPr>
        <w:t xml:space="preserve"> sul totale delle transazioni B2b (2.500 mld), dal 19% al 20%. I settori più digitalizzati sono largo consumo, automotive e farmaceutico</w:t>
      </w:r>
    </w:p>
    <w:p w14:paraId="3872F587" w14:textId="232DE905" w:rsidR="008A2912" w:rsidRPr="00D86585" w:rsidRDefault="008A2912" w:rsidP="004832CF">
      <w:pPr>
        <w:pStyle w:val="Corpotesto"/>
        <w:jc w:val="center"/>
        <w:rPr>
          <w:rFonts w:ascii="Trebuchet MS" w:hAnsi="Trebuchet MS"/>
        </w:rPr>
      </w:pPr>
      <w:r w:rsidRPr="00D86585">
        <w:rPr>
          <w:rFonts w:ascii="Trebuchet MS" w:hAnsi="Trebuchet MS"/>
          <w:i/>
          <w:iCs/>
        </w:rPr>
        <w:t xml:space="preserve">Per il 48,6% delle imprese la pandemia ha spinto la digitalizzazione dei processi B2b, il 23,8% ha </w:t>
      </w:r>
      <w:r w:rsidR="00A2380C" w:rsidRPr="00D86585">
        <w:rPr>
          <w:rFonts w:ascii="Trebuchet MS" w:hAnsi="Trebuchet MS"/>
          <w:i/>
          <w:iCs/>
        </w:rPr>
        <w:t>sentito la necessità di investire</w:t>
      </w:r>
      <w:r w:rsidRPr="00D86585">
        <w:rPr>
          <w:rFonts w:ascii="Trebuchet MS" w:hAnsi="Trebuchet MS"/>
          <w:i/>
          <w:iCs/>
        </w:rPr>
        <w:t xml:space="preserve"> </w:t>
      </w:r>
      <w:r w:rsidR="002330DE" w:rsidRPr="00D86585">
        <w:rPr>
          <w:rFonts w:ascii="Trebuchet MS" w:hAnsi="Trebuchet MS"/>
          <w:i/>
          <w:iCs/>
        </w:rPr>
        <w:t xml:space="preserve">in </w:t>
      </w:r>
      <w:r w:rsidRPr="00D86585">
        <w:rPr>
          <w:rFonts w:ascii="Trebuchet MS" w:hAnsi="Trebuchet MS"/>
          <w:i/>
          <w:iCs/>
        </w:rPr>
        <w:t>soluzioni digitali</w:t>
      </w:r>
      <w:r w:rsidR="00497C34" w:rsidRPr="00D86585">
        <w:rPr>
          <w:rFonts w:ascii="Trebuchet MS" w:hAnsi="Trebuchet MS"/>
          <w:i/>
          <w:iCs/>
        </w:rPr>
        <w:t xml:space="preserve"> nel 2020</w:t>
      </w:r>
      <w:r w:rsidRPr="00D86585">
        <w:rPr>
          <w:rFonts w:ascii="Trebuchet MS" w:hAnsi="Trebuchet MS"/>
          <w:i/>
          <w:iCs/>
        </w:rPr>
        <w:t>, il 18,</w:t>
      </w:r>
      <w:r w:rsidR="00A2380C" w:rsidRPr="00D86585">
        <w:rPr>
          <w:rFonts w:ascii="Trebuchet MS" w:hAnsi="Trebuchet MS"/>
          <w:i/>
          <w:iCs/>
        </w:rPr>
        <w:t>4</w:t>
      </w:r>
      <w:r w:rsidRPr="00D86585">
        <w:rPr>
          <w:rFonts w:ascii="Trebuchet MS" w:hAnsi="Trebuchet MS"/>
          <w:i/>
          <w:iCs/>
        </w:rPr>
        <w:t>% ha attivato progetti. Nei prossimi due anni investimenti concentrati su automazione dei processi, blockchain, AI e monitoraggio della supply chain</w:t>
      </w:r>
    </w:p>
    <w:p w14:paraId="1E9D5663" w14:textId="4FA7ED86" w:rsidR="008A2912" w:rsidRPr="00D86585" w:rsidRDefault="008A2912" w:rsidP="004832CF">
      <w:pPr>
        <w:pStyle w:val="Corpotesto"/>
        <w:jc w:val="center"/>
        <w:rPr>
          <w:rFonts w:ascii="Trebuchet MS" w:hAnsi="Trebuchet MS"/>
          <w:i/>
          <w:iCs/>
        </w:rPr>
      </w:pPr>
      <w:r w:rsidRPr="00D86585">
        <w:rPr>
          <w:rFonts w:ascii="Trebuchet MS" w:hAnsi="Trebuchet MS"/>
          <w:i/>
          <w:iCs/>
        </w:rPr>
        <w:t>2 miliardi di fatture elettroniche nel 2020, -4% sul 2019. Le prime regioni per numero di fatture scambiate sono Lombardia e Lazio; fra i settori guidano commercio e utility, ristorazione e finanza i più in sofferenza</w:t>
      </w:r>
    </w:p>
    <w:p w14:paraId="1E61C670" w14:textId="77777777" w:rsidR="004832CF" w:rsidRPr="00D86585" w:rsidRDefault="004832CF" w:rsidP="004832CF">
      <w:pPr>
        <w:pStyle w:val="Corpotesto"/>
        <w:jc w:val="center"/>
        <w:rPr>
          <w:rFonts w:ascii="Trebuchet MS" w:hAnsi="Trebuchet MS"/>
        </w:rPr>
      </w:pPr>
    </w:p>
    <w:p w14:paraId="342951CD" w14:textId="2F85E09E" w:rsidR="005C7E8B" w:rsidRPr="00D86585" w:rsidRDefault="00C85168" w:rsidP="00E453CF">
      <w:pPr>
        <w:pStyle w:val="Corpotesto"/>
        <w:jc w:val="both"/>
        <w:rPr>
          <w:rFonts w:ascii="Trebuchet MS" w:hAnsi="Trebuchet MS"/>
          <w:bCs/>
          <w:lang w:bidi="it-IT"/>
        </w:rPr>
      </w:pPr>
      <w:r w:rsidRPr="00D86585">
        <w:rPr>
          <w:rFonts w:ascii="Trebuchet MS" w:hAnsi="Trebuchet MS"/>
          <w:bCs/>
          <w:i/>
          <w:iCs/>
          <w:lang w:bidi="it-IT"/>
        </w:rPr>
        <w:t>Milano,</w:t>
      </w:r>
      <w:r w:rsidR="00E453CF" w:rsidRPr="00D86585">
        <w:rPr>
          <w:rFonts w:ascii="Trebuchet MS" w:hAnsi="Trebuchet MS"/>
          <w:bCs/>
          <w:i/>
          <w:iCs/>
          <w:lang w:bidi="it-IT"/>
        </w:rPr>
        <w:t xml:space="preserve"> 15 giugno</w:t>
      </w:r>
      <w:r w:rsidRPr="00D86585">
        <w:rPr>
          <w:rFonts w:ascii="Trebuchet MS" w:hAnsi="Trebuchet MS"/>
          <w:bCs/>
          <w:i/>
          <w:iCs/>
          <w:lang w:bidi="it-IT"/>
        </w:rPr>
        <w:t xml:space="preserve"> 20</w:t>
      </w:r>
      <w:r w:rsidR="007C29F5" w:rsidRPr="00D86585">
        <w:rPr>
          <w:rFonts w:ascii="Trebuchet MS" w:hAnsi="Trebuchet MS"/>
          <w:bCs/>
          <w:i/>
          <w:iCs/>
          <w:lang w:bidi="it-IT"/>
        </w:rPr>
        <w:t>2</w:t>
      </w:r>
      <w:r w:rsidR="00174E82" w:rsidRPr="00D86585">
        <w:rPr>
          <w:rFonts w:ascii="Trebuchet MS" w:hAnsi="Trebuchet MS"/>
          <w:bCs/>
          <w:i/>
          <w:iCs/>
          <w:lang w:bidi="it-IT"/>
        </w:rPr>
        <w:t>1</w:t>
      </w:r>
      <w:r w:rsidR="00997E03" w:rsidRPr="00D86585">
        <w:rPr>
          <w:rFonts w:ascii="Trebuchet MS" w:hAnsi="Trebuchet MS"/>
          <w:bCs/>
          <w:lang w:bidi="it-IT"/>
        </w:rPr>
        <w:t xml:space="preserve"> –</w:t>
      </w:r>
      <w:r w:rsidR="0044455B" w:rsidRPr="00D86585">
        <w:rPr>
          <w:rFonts w:ascii="Trebuchet MS" w:hAnsi="Trebuchet MS"/>
          <w:bCs/>
          <w:lang w:bidi="it-IT"/>
        </w:rPr>
        <w:t xml:space="preserve"> </w:t>
      </w:r>
      <w:r w:rsidR="00A37E51" w:rsidRPr="00D86585">
        <w:rPr>
          <w:rFonts w:ascii="Trebuchet MS" w:hAnsi="Trebuchet MS"/>
          <w:bCs/>
          <w:lang w:bidi="it-IT"/>
        </w:rPr>
        <w:t xml:space="preserve">Gli obblighi normativi e gli effetti della pandemia hanno allargato il divario fra le aziende </w:t>
      </w:r>
      <w:r w:rsidR="00400B7C" w:rsidRPr="00D86585">
        <w:rPr>
          <w:rFonts w:ascii="Trebuchet MS" w:hAnsi="Trebuchet MS"/>
          <w:bCs/>
          <w:lang w:bidi="it-IT"/>
        </w:rPr>
        <w:t xml:space="preserve">già </w:t>
      </w:r>
      <w:r w:rsidR="00A37E51" w:rsidRPr="00D86585">
        <w:rPr>
          <w:rFonts w:ascii="Trebuchet MS" w:hAnsi="Trebuchet MS"/>
          <w:bCs/>
          <w:lang w:bidi="it-IT"/>
        </w:rPr>
        <w:t>digitali</w:t>
      </w:r>
      <w:r w:rsidR="00400B7C" w:rsidRPr="00D86585">
        <w:rPr>
          <w:rFonts w:ascii="Trebuchet MS" w:hAnsi="Trebuchet MS"/>
          <w:bCs/>
          <w:lang w:bidi="it-IT"/>
        </w:rPr>
        <w:t>zzate</w:t>
      </w:r>
      <w:r w:rsidR="00A37E51" w:rsidRPr="00D86585">
        <w:rPr>
          <w:rFonts w:ascii="Trebuchet MS" w:hAnsi="Trebuchet MS"/>
          <w:bCs/>
          <w:lang w:bidi="it-IT"/>
        </w:rPr>
        <w:t xml:space="preserve">, che nel 2020 hanno avuto un fatturato stabile o in crescita, e le imprese tradizionali, che hanno faticato a garantire continuità operativa alle proprie attività. Per quasi la metà delle imprese italiane la crisi sanitaria ha </w:t>
      </w:r>
      <w:r w:rsidR="00201996" w:rsidRPr="00D86585">
        <w:rPr>
          <w:rFonts w:ascii="Trebuchet MS" w:hAnsi="Trebuchet MS"/>
          <w:bCs/>
          <w:lang w:bidi="it-IT"/>
        </w:rPr>
        <w:t xml:space="preserve">dato un forte impulso alla digitalizzazione dei processi B2b, circa una su </w:t>
      </w:r>
      <w:r w:rsidR="00A2380C" w:rsidRPr="00D86585">
        <w:rPr>
          <w:rFonts w:ascii="Trebuchet MS" w:hAnsi="Trebuchet MS"/>
          <w:bCs/>
          <w:lang w:bidi="it-IT"/>
        </w:rPr>
        <w:t>cinque</w:t>
      </w:r>
      <w:r w:rsidR="00201996" w:rsidRPr="00D86585">
        <w:rPr>
          <w:rFonts w:ascii="Trebuchet MS" w:hAnsi="Trebuchet MS"/>
          <w:bCs/>
          <w:lang w:bidi="it-IT"/>
        </w:rPr>
        <w:t xml:space="preserve"> ha investito in soluzioni digitali e il 38,5% prevede di introdurre entro i prossimi due anni strumenti per il Digital B2b, fra cui emergono</w:t>
      </w:r>
      <w:r w:rsidR="00400B7C" w:rsidRPr="00D86585">
        <w:rPr>
          <w:rFonts w:ascii="Trebuchet MS" w:hAnsi="Trebuchet MS"/>
          <w:bCs/>
          <w:lang w:bidi="it-IT"/>
        </w:rPr>
        <w:t xml:space="preserve"> </w:t>
      </w:r>
      <w:r w:rsidR="00201996" w:rsidRPr="00D86585">
        <w:rPr>
          <w:rFonts w:ascii="Trebuchet MS" w:hAnsi="Trebuchet MS"/>
          <w:bCs/>
          <w:lang w:bidi="it-IT"/>
        </w:rPr>
        <w:t>le soluzioni per l’automazione dei processi (16%), Blockchain e Artificial Intelligence (13,8%) e strumenti per monitorare la supply chain (13,1%).</w:t>
      </w:r>
    </w:p>
    <w:p w14:paraId="2FE3881F" w14:textId="726651D6" w:rsidR="00201996" w:rsidRPr="00D86585" w:rsidRDefault="00201996" w:rsidP="00E453CF">
      <w:pPr>
        <w:pStyle w:val="Corpotesto"/>
        <w:jc w:val="both"/>
        <w:rPr>
          <w:rFonts w:ascii="Trebuchet MS" w:hAnsi="Trebuchet MS"/>
          <w:bCs/>
          <w:lang w:bidi="it-IT"/>
        </w:rPr>
      </w:pPr>
      <w:r w:rsidRPr="00D86585">
        <w:rPr>
          <w:rFonts w:ascii="Trebuchet MS" w:hAnsi="Trebuchet MS"/>
          <w:bCs/>
          <w:lang w:bidi="it-IT"/>
        </w:rPr>
        <w:t xml:space="preserve">La fatturazione elettronica ha </w:t>
      </w:r>
      <w:r w:rsidR="00AA3CDE" w:rsidRPr="00D86585">
        <w:rPr>
          <w:rFonts w:ascii="Trebuchet MS" w:hAnsi="Trebuchet MS"/>
          <w:bCs/>
          <w:lang w:bidi="it-IT"/>
        </w:rPr>
        <w:t>frenato</w:t>
      </w:r>
      <w:r w:rsidRPr="00D86585">
        <w:rPr>
          <w:rFonts w:ascii="Trebuchet MS" w:hAnsi="Trebuchet MS"/>
          <w:bCs/>
          <w:lang w:bidi="it-IT"/>
        </w:rPr>
        <w:t xml:space="preserve"> durante il primo lockdown, quando il numero delle fatture digitali è crollato del 15%, ma ha recuperato chiudendo il 2020 con 2 miliardi di fatture</w:t>
      </w:r>
      <w:r w:rsidR="003256A0" w:rsidRPr="00D86585">
        <w:rPr>
          <w:rFonts w:ascii="Trebuchet MS" w:hAnsi="Trebuchet MS"/>
          <w:bCs/>
          <w:lang w:bidi="it-IT"/>
        </w:rPr>
        <w:t xml:space="preserve">, solo il 4% in meno </w:t>
      </w:r>
      <w:r w:rsidR="00497C34" w:rsidRPr="00D86585">
        <w:rPr>
          <w:rFonts w:ascii="Trebuchet MS" w:hAnsi="Trebuchet MS"/>
          <w:bCs/>
          <w:lang w:bidi="it-IT"/>
        </w:rPr>
        <w:t xml:space="preserve">rispetto al </w:t>
      </w:r>
      <w:r w:rsidR="003256A0" w:rsidRPr="00D86585">
        <w:rPr>
          <w:rFonts w:ascii="Trebuchet MS" w:hAnsi="Trebuchet MS"/>
          <w:bCs/>
          <w:lang w:bidi="it-IT"/>
        </w:rPr>
        <w:t xml:space="preserve">2019. </w:t>
      </w:r>
      <w:r w:rsidR="00AA3CDE" w:rsidRPr="00D86585">
        <w:rPr>
          <w:rFonts w:ascii="Trebuchet MS" w:hAnsi="Trebuchet MS"/>
          <w:bCs/>
          <w:lang w:bidi="it-IT"/>
        </w:rPr>
        <w:t>In tutte le regioni è diminuito il numero delle fatture trasmesse rispetto al 2019, con Liguria (-39%), Emilia</w:t>
      </w:r>
      <w:r w:rsidR="00497C34" w:rsidRPr="00D86585">
        <w:rPr>
          <w:rFonts w:ascii="Trebuchet MS" w:hAnsi="Trebuchet MS"/>
          <w:bCs/>
          <w:lang w:bidi="it-IT"/>
        </w:rPr>
        <w:t>-</w:t>
      </w:r>
      <w:r w:rsidR="00AA3CDE" w:rsidRPr="00D86585">
        <w:rPr>
          <w:rFonts w:ascii="Trebuchet MS" w:hAnsi="Trebuchet MS"/>
          <w:bCs/>
          <w:lang w:bidi="it-IT"/>
        </w:rPr>
        <w:t>Romagna (-21%</w:t>
      </w:r>
      <w:r w:rsidR="00497C34" w:rsidRPr="00D86585">
        <w:rPr>
          <w:rFonts w:ascii="Trebuchet MS" w:hAnsi="Trebuchet MS"/>
          <w:bCs/>
          <w:lang w:bidi="it-IT"/>
        </w:rPr>
        <w:t>)</w:t>
      </w:r>
      <w:r w:rsidR="00AA3CDE" w:rsidRPr="00D86585">
        <w:rPr>
          <w:rFonts w:ascii="Trebuchet MS" w:hAnsi="Trebuchet MS"/>
          <w:bCs/>
          <w:lang w:bidi="it-IT"/>
        </w:rPr>
        <w:t xml:space="preserve"> e </w:t>
      </w:r>
      <w:r w:rsidR="00497C34" w:rsidRPr="00D86585">
        <w:rPr>
          <w:rFonts w:ascii="Trebuchet MS" w:hAnsi="Trebuchet MS"/>
          <w:bCs/>
          <w:lang w:bidi="it-IT"/>
        </w:rPr>
        <w:t>Friuli-Venezia Giulia</w:t>
      </w:r>
      <w:r w:rsidR="00AA3CDE" w:rsidRPr="00D86585">
        <w:rPr>
          <w:rFonts w:ascii="Trebuchet MS" w:hAnsi="Trebuchet MS"/>
          <w:bCs/>
          <w:lang w:bidi="it-IT"/>
        </w:rPr>
        <w:t xml:space="preserve"> (-17%) che hanno registrato il calo più significativo. Ai primi posti per numero di fatture elettroniche restano Lombardia (36%) e Lazio (21%), mentre fra i settori guidano il commercio all’ingrosso e al dettaglio (27,7%) e le utility (18,6%)</w:t>
      </w:r>
      <w:r w:rsidR="003256A0" w:rsidRPr="00D86585">
        <w:rPr>
          <w:rFonts w:ascii="Trebuchet MS" w:hAnsi="Trebuchet MS"/>
          <w:bCs/>
          <w:lang w:bidi="it-IT"/>
        </w:rPr>
        <w:t>. Costruzioni, PA e istruzione hanno aumentato del 5% le fatture trasmesse, il manifatturiero del 3%, mentre i comparti più in sofferenza sono stati</w:t>
      </w:r>
      <w:r w:rsidR="00AA3CDE" w:rsidRPr="00D86585">
        <w:rPr>
          <w:rFonts w:ascii="Trebuchet MS" w:hAnsi="Trebuchet MS"/>
          <w:bCs/>
          <w:lang w:bidi="it-IT"/>
        </w:rPr>
        <w:t xml:space="preserve"> alloggio e ristorazione (-40%), finanza e assicurazioni (-35%) e servizi di noleggio, supporto alle imprese e viaggi (-19%)</w:t>
      </w:r>
      <w:r w:rsidR="003256A0" w:rsidRPr="00D86585">
        <w:rPr>
          <w:rFonts w:ascii="Trebuchet MS" w:hAnsi="Trebuchet MS"/>
          <w:bCs/>
          <w:lang w:bidi="it-IT"/>
        </w:rPr>
        <w:t>.</w:t>
      </w:r>
    </w:p>
    <w:p w14:paraId="12883AB2" w14:textId="79D7B2D0" w:rsidR="00E453CF" w:rsidRPr="00D86585" w:rsidRDefault="000C5FE1" w:rsidP="007562B9">
      <w:pPr>
        <w:pStyle w:val="Corpotesto"/>
        <w:jc w:val="both"/>
        <w:rPr>
          <w:rFonts w:ascii="Trebuchet MS" w:hAnsi="Trebuchet MS"/>
          <w:bCs/>
          <w:lang w:bidi="it-IT"/>
        </w:rPr>
      </w:pPr>
      <w:r w:rsidRPr="00D86585">
        <w:rPr>
          <w:rFonts w:ascii="Trebuchet MS" w:hAnsi="Trebuchet MS"/>
          <w:lang w:bidi="it-IT"/>
        </w:rPr>
        <w:t>Anche l’eCommerce B2b – il valore degli ordini scambiati tramite strumenti digitali fra imprese italiane – ha retto l’urto della pandemia</w:t>
      </w:r>
      <w:r w:rsidR="00400B7C" w:rsidRPr="00D86585">
        <w:rPr>
          <w:rFonts w:ascii="Trebuchet MS" w:hAnsi="Trebuchet MS"/>
          <w:lang w:bidi="it-IT"/>
        </w:rPr>
        <w:t xml:space="preserve"> raggiungendo</w:t>
      </w:r>
      <w:r w:rsidRPr="00D86585">
        <w:rPr>
          <w:rFonts w:ascii="Trebuchet MS" w:hAnsi="Trebuchet MS"/>
          <w:lang w:bidi="it-IT"/>
        </w:rPr>
        <w:t xml:space="preserve"> un valore </w:t>
      </w:r>
      <w:r w:rsidR="00400B7C" w:rsidRPr="00D86585">
        <w:rPr>
          <w:rFonts w:ascii="Trebuchet MS" w:hAnsi="Trebuchet MS"/>
          <w:lang w:bidi="it-IT"/>
        </w:rPr>
        <w:t xml:space="preserve">di </w:t>
      </w:r>
      <w:r w:rsidRPr="00D86585">
        <w:rPr>
          <w:rFonts w:ascii="Trebuchet MS" w:hAnsi="Trebuchet MS"/>
          <w:lang w:bidi="it-IT"/>
        </w:rPr>
        <w:t>406 miliardi di euro</w:t>
      </w:r>
      <w:r w:rsidR="00400B7C" w:rsidRPr="00D86585">
        <w:rPr>
          <w:rFonts w:ascii="Trebuchet MS" w:hAnsi="Trebuchet MS"/>
          <w:lang w:bidi="it-IT"/>
        </w:rPr>
        <w:t>. In un anno in cui le transazioni B2b si sono ridotte del 6%, l’eCommerce ha segnato solo un -1% e ha aumentato dell’1% rispetto al 2019 la sua incidenza su</w:t>
      </w:r>
      <w:r w:rsidRPr="00D86585">
        <w:rPr>
          <w:rFonts w:ascii="Trebuchet MS" w:hAnsi="Trebuchet MS"/>
          <w:lang w:bidi="it-IT"/>
        </w:rPr>
        <w:t>l totale degli scambi B2b (2.500 miliardi di euro)</w:t>
      </w:r>
      <w:r w:rsidR="00400B7C" w:rsidRPr="00D86585">
        <w:rPr>
          <w:rFonts w:ascii="Trebuchet MS" w:hAnsi="Trebuchet MS"/>
          <w:lang w:bidi="it-IT"/>
        </w:rPr>
        <w:t xml:space="preserve">, che è passata dal 19% al 20%. </w:t>
      </w:r>
      <w:r w:rsidR="0039479A" w:rsidRPr="00D86585">
        <w:rPr>
          <w:rFonts w:ascii="Trebuchet MS" w:hAnsi="Trebuchet MS"/>
          <w:bCs/>
          <w:lang w:bidi="it-IT"/>
        </w:rPr>
        <w:t>Il largo consumo</w:t>
      </w:r>
      <w:r w:rsidR="00F77D50" w:rsidRPr="00D86585">
        <w:rPr>
          <w:rFonts w:ascii="Trebuchet MS" w:hAnsi="Trebuchet MS"/>
          <w:bCs/>
          <w:lang w:bidi="it-IT"/>
        </w:rPr>
        <w:t>,</w:t>
      </w:r>
      <w:r w:rsidR="0039479A" w:rsidRPr="00D86585">
        <w:rPr>
          <w:rFonts w:ascii="Trebuchet MS" w:hAnsi="Trebuchet MS"/>
          <w:bCs/>
          <w:lang w:bidi="it-IT"/>
        </w:rPr>
        <w:t xml:space="preserve"> l’automotive e </w:t>
      </w:r>
      <w:r w:rsidR="00F77D50" w:rsidRPr="00D86585">
        <w:rPr>
          <w:rFonts w:ascii="Trebuchet MS" w:hAnsi="Trebuchet MS"/>
          <w:bCs/>
          <w:lang w:bidi="it-IT"/>
        </w:rPr>
        <w:t xml:space="preserve">il </w:t>
      </w:r>
      <w:r w:rsidR="0039479A" w:rsidRPr="00D86585">
        <w:rPr>
          <w:rFonts w:ascii="Trebuchet MS" w:hAnsi="Trebuchet MS"/>
          <w:bCs/>
          <w:lang w:bidi="it-IT"/>
        </w:rPr>
        <w:t>farmaceutico sono i settori più digitalizzati. Le transazioni digitali fra aziende italiane ed estere valgono invece 127 miliardi di euro (-5%), il 29% del transato estero B2b (434 miliardi), con l’automotive come primo settore, seguito da tessile-abbigliamento e meccanica.</w:t>
      </w:r>
    </w:p>
    <w:p w14:paraId="36693319" w14:textId="77777777" w:rsidR="0039479A" w:rsidRPr="00D86585" w:rsidRDefault="00EF4E88" w:rsidP="006F3CE9">
      <w:pPr>
        <w:pStyle w:val="Corpotesto"/>
        <w:jc w:val="both"/>
        <w:rPr>
          <w:rFonts w:ascii="Trebuchet MS" w:hAnsi="Trebuchet MS"/>
          <w:i/>
          <w:iCs/>
          <w:lang w:bidi="it-IT"/>
        </w:rPr>
      </w:pPr>
      <w:r w:rsidRPr="00D86585">
        <w:rPr>
          <w:rFonts w:ascii="Trebuchet MS" w:hAnsi="Trebuchet MS"/>
          <w:bCs/>
          <w:lang w:bidi="it-IT"/>
        </w:rPr>
        <w:t xml:space="preserve">Sono i risultati della ricerca </w:t>
      </w:r>
      <w:r w:rsidRPr="00D86585">
        <w:rPr>
          <w:rFonts w:ascii="Trebuchet MS" w:hAnsi="Trebuchet MS"/>
          <w:b/>
          <w:lang w:bidi="it-IT"/>
        </w:rPr>
        <w:t xml:space="preserve">dell'Osservatorio </w:t>
      </w:r>
      <w:r w:rsidR="00E453CF" w:rsidRPr="00D86585">
        <w:rPr>
          <w:rFonts w:ascii="Trebuchet MS" w:hAnsi="Trebuchet MS"/>
          <w:b/>
          <w:lang w:bidi="it-IT"/>
        </w:rPr>
        <w:t>Digital B2b</w:t>
      </w:r>
      <w:r w:rsidRPr="00D86585">
        <w:rPr>
          <w:rFonts w:ascii="Trebuchet MS" w:hAnsi="Trebuchet MS"/>
          <w:b/>
          <w:lang w:bidi="it-IT"/>
        </w:rPr>
        <w:t xml:space="preserve"> della School of Management del Politecnico di Milano</w:t>
      </w:r>
      <w:r w:rsidRPr="00D86585">
        <w:rPr>
          <w:rFonts w:ascii="Trebuchet MS" w:hAnsi="Trebuchet MS"/>
          <w:bCs/>
          <w:lang w:bidi="it-IT"/>
        </w:rPr>
        <w:t>*, presentata oggi durante il convegno online “</w:t>
      </w:r>
      <w:r w:rsidR="00E453CF" w:rsidRPr="00D86585">
        <w:rPr>
          <w:rFonts w:ascii="Trebuchet MS" w:hAnsi="Trebuchet MS"/>
          <w:i/>
          <w:iCs/>
          <w:lang w:bidi="it-IT"/>
        </w:rPr>
        <w:t>B2b: fisicamente lontani, digitalmente vicini”.</w:t>
      </w:r>
    </w:p>
    <w:p w14:paraId="2FA69F1C" w14:textId="5A5E6432" w:rsidR="0039479A" w:rsidRPr="00D86585" w:rsidRDefault="0039479A" w:rsidP="006F3CE9">
      <w:pPr>
        <w:pStyle w:val="Corpotesto"/>
        <w:jc w:val="both"/>
        <w:rPr>
          <w:rFonts w:ascii="Trebuchet MS" w:hAnsi="Trebuchet MS"/>
          <w:lang w:bidi="it-IT"/>
        </w:rPr>
      </w:pPr>
      <w:r w:rsidRPr="00D86585">
        <w:rPr>
          <w:rFonts w:ascii="Trebuchet MS" w:hAnsi="Trebuchet MS"/>
          <w:lang w:bidi="it-IT"/>
        </w:rPr>
        <w:t xml:space="preserve">“Le imprese che avevano vissuto gli adempimenti normativi come opportunità per digitalizzare i propri processi hanno saputo fronteggiare meglio la situazione di emergenza che, anche in ambito B2b, ha avuto impatti importanti – afferma </w:t>
      </w:r>
      <w:r w:rsidRPr="00D86585">
        <w:rPr>
          <w:rFonts w:ascii="Trebuchet MS" w:hAnsi="Trebuchet MS"/>
          <w:b/>
          <w:bCs/>
          <w:lang w:bidi="it-IT"/>
        </w:rPr>
        <w:t>Riccardo Mangiaracina</w:t>
      </w:r>
      <w:r w:rsidRPr="00D86585">
        <w:rPr>
          <w:rFonts w:ascii="Trebuchet MS" w:hAnsi="Trebuchet MS"/>
          <w:lang w:bidi="it-IT"/>
        </w:rPr>
        <w:t xml:space="preserve">, Responsabile </w:t>
      </w:r>
      <w:r w:rsidR="00497C34" w:rsidRPr="00D86585">
        <w:rPr>
          <w:rFonts w:ascii="Trebuchet MS" w:hAnsi="Trebuchet MS"/>
          <w:lang w:bidi="it-IT"/>
        </w:rPr>
        <w:t>S</w:t>
      </w:r>
      <w:r w:rsidRPr="00D86585">
        <w:rPr>
          <w:rFonts w:ascii="Trebuchet MS" w:hAnsi="Trebuchet MS"/>
          <w:lang w:bidi="it-IT"/>
        </w:rPr>
        <w:t>cientifico dell’Osservatorio Digital B2b -. Ha innanzitutto accelerato il processo di avvicinamento delle aziende ai propri clienti riducendo la distanza tra livelli successivi della supply chain, ha promosso un miglior utilizzo dei dati e una maggiore automazione dei processi e ha amplificato la necessità di sviluppare processi maggiormente collaborativi. Questa evoluzione non si è tradotta in una crescita dell’eCommerce B2b</w:t>
      </w:r>
      <w:r w:rsidR="00F06F3C" w:rsidRPr="00D86585">
        <w:rPr>
          <w:rFonts w:ascii="Trebuchet MS" w:hAnsi="Trebuchet MS"/>
          <w:lang w:bidi="it-IT"/>
        </w:rPr>
        <w:t xml:space="preserve"> nel 2020</w:t>
      </w:r>
      <w:r w:rsidRPr="00D86585">
        <w:rPr>
          <w:rFonts w:ascii="Trebuchet MS" w:hAnsi="Trebuchet MS"/>
          <w:lang w:bidi="it-IT"/>
        </w:rPr>
        <w:t>, ma</w:t>
      </w:r>
      <w:r w:rsidR="00F06F3C" w:rsidRPr="00D86585">
        <w:rPr>
          <w:rFonts w:ascii="Trebuchet MS" w:hAnsi="Trebuchet MS"/>
          <w:lang w:bidi="it-IT"/>
        </w:rPr>
        <w:t xml:space="preserve"> </w:t>
      </w:r>
      <w:r w:rsidRPr="00D86585">
        <w:rPr>
          <w:rFonts w:ascii="Trebuchet MS" w:hAnsi="Trebuchet MS"/>
          <w:lang w:bidi="it-IT"/>
        </w:rPr>
        <w:t>è cambiata la percezione di persone e imprese verso l’innovazione e molto probabilmente nei prossimi anni assisteremo a una forte crescita della pervasività degli strumenti digitali nei processi aziendali”.</w:t>
      </w:r>
    </w:p>
    <w:p w14:paraId="2F07A3F1" w14:textId="4896B606" w:rsidR="0039479A" w:rsidRPr="00D86585" w:rsidRDefault="00F06F3C" w:rsidP="00F06F3C">
      <w:pPr>
        <w:pStyle w:val="Corpotesto"/>
        <w:jc w:val="both"/>
        <w:rPr>
          <w:rFonts w:ascii="Trebuchet MS" w:hAnsi="Trebuchet MS"/>
          <w:bCs/>
          <w:lang w:bidi="it-IT"/>
        </w:rPr>
      </w:pPr>
      <w:r w:rsidRPr="00D86585">
        <w:rPr>
          <w:rFonts w:ascii="Trebuchet MS" w:hAnsi="Trebuchet MS"/>
          <w:lang w:bidi="it-IT"/>
        </w:rPr>
        <w:t xml:space="preserve">“L’emergenza sanitaria ha evidenziato l’importanza del digitale per garantire continuità di business e restare competitivi sul mercato – afferma </w:t>
      </w:r>
      <w:r w:rsidRPr="00D86585">
        <w:rPr>
          <w:rFonts w:ascii="Trebuchet MS" w:hAnsi="Trebuchet MS"/>
          <w:b/>
          <w:bCs/>
          <w:lang w:bidi="it-IT"/>
        </w:rPr>
        <w:t>Paola Olivares</w:t>
      </w:r>
      <w:r w:rsidRPr="00D86585">
        <w:rPr>
          <w:rFonts w:ascii="Trebuchet MS" w:hAnsi="Trebuchet MS"/>
          <w:lang w:bidi="it-IT"/>
        </w:rPr>
        <w:t xml:space="preserve">, Direttore dell’Osservatorio Digital B2b -. Ma ha sottolineato anche che le iniziative avviate solo in risposta all’emergenza o solo per singole attività o processi non hanno impatti sulle performance economiche di breve periodo. </w:t>
      </w:r>
      <w:r w:rsidR="0039479A" w:rsidRPr="00D86585">
        <w:rPr>
          <w:rFonts w:ascii="Trebuchet MS" w:hAnsi="Trebuchet MS"/>
          <w:bCs/>
          <w:lang w:bidi="it-IT"/>
        </w:rPr>
        <w:t>Una piena trasformazione digitale richiede infatti tempo e una profonda revisione dei processi</w:t>
      </w:r>
      <w:r w:rsidRPr="00D86585">
        <w:rPr>
          <w:rFonts w:ascii="Trebuchet MS" w:hAnsi="Trebuchet MS"/>
          <w:bCs/>
          <w:lang w:bidi="it-IT"/>
        </w:rPr>
        <w:t>”</w:t>
      </w:r>
      <w:r w:rsidR="0039479A" w:rsidRPr="00D86585">
        <w:rPr>
          <w:rFonts w:ascii="Trebuchet MS" w:hAnsi="Trebuchet MS"/>
          <w:bCs/>
          <w:lang w:bidi="it-IT"/>
        </w:rPr>
        <w:t>.</w:t>
      </w:r>
    </w:p>
    <w:p w14:paraId="58D1E2AA" w14:textId="0E54E646" w:rsidR="00F06F3C" w:rsidRPr="00D86585" w:rsidRDefault="00F06F3C" w:rsidP="00F06F3C">
      <w:pPr>
        <w:pStyle w:val="Corpotesto"/>
        <w:jc w:val="both"/>
        <w:rPr>
          <w:rFonts w:ascii="Trebuchet MS" w:hAnsi="Trebuchet MS"/>
          <w:bCs/>
          <w:lang w:bidi="it-IT"/>
        </w:rPr>
      </w:pPr>
    </w:p>
    <w:p w14:paraId="6A02F0BF" w14:textId="29DEF917" w:rsidR="0039479A" w:rsidRPr="00D86585" w:rsidRDefault="00F06F3C" w:rsidP="00637535">
      <w:pPr>
        <w:pStyle w:val="Corpotesto"/>
        <w:jc w:val="both"/>
        <w:rPr>
          <w:rFonts w:ascii="Trebuchet MS" w:hAnsi="Trebuchet MS"/>
          <w:bCs/>
          <w:lang w:bidi="it-IT"/>
        </w:rPr>
      </w:pPr>
      <w:r w:rsidRPr="00D86585">
        <w:rPr>
          <w:rFonts w:ascii="Trebuchet MS" w:hAnsi="Trebuchet MS"/>
          <w:b/>
          <w:lang w:bidi="it-IT"/>
        </w:rPr>
        <w:lastRenderedPageBreak/>
        <w:t>La digitalizzazione dei processi B2b</w:t>
      </w:r>
      <w:r w:rsidRPr="00D86585">
        <w:rPr>
          <w:rFonts w:ascii="Trebuchet MS" w:hAnsi="Trebuchet MS"/>
          <w:bCs/>
          <w:lang w:bidi="it-IT"/>
        </w:rPr>
        <w:t xml:space="preserve"> – Per il 48,6% delle imprese italian</w:t>
      </w:r>
      <w:r w:rsidR="00497C34" w:rsidRPr="00D86585">
        <w:rPr>
          <w:rFonts w:ascii="Trebuchet MS" w:hAnsi="Trebuchet MS"/>
          <w:bCs/>
          <w:lang w:bidi="it-IT"/>
        </w:rPr>
        <w:t>e</w:t>
      </w:r>
      <w:r w:rsidRPr="00D86585">
        <w:rPr>
          <w:rFonts w:ascii="Trebuchet MS" w:hAnsi="Trebuchet MS"/>
          <w:bCs/>
          <w:lang w:bidi="it-IT"/>
        </w:rPr>
        <w:t xml:space="preserve"> l’emergenza ha spinto i progetti di digitalizzazione dei processi B2b. Quasi una su quattro, il 23,8%, ha </w:t>
      </w:r>
      <w:r w:rsidR="00A2380C" w:rsidRPr="00D86585">
        <w:rPr>
          <w:rFonts w:ascii="Trebuchet MS" w:hAnsi="Trebuchet MS"/>
          <w:bCs/>
          <w:lang w:bidi="it-IT"/>
        </w:rPr>
        <w:t xml:space="preserve">sentito la necessità di </w:t>
      </w:r>
      <w:r w:rsidRPr="00D86585">
        <w:rPr>
          <w:rFonts w:ascii="Trebuchet MS" w:hAnsi="Trebuchet MS"/>
          <w:bCs/>
          <w:lang w:bidi="it-IT"/>
        </w:rPr>
        <w:t>invest</w:t>
      </w:r>
      <w:r w:rsidR="00A2380C" w:rsidRPr="00D86585">
        <w:rPr>
          <w:rFonts w:ascii="Trebuchet MS" w:hAnsi="Trebuchet MS"/>
          <w:bCs/>
          <w:lang w:bidi="it-IT"/>
        </w:rPr>
        <w:t>ire</w:t>
      </w:r>
      <w:r w:rsidRPr="00D86585">
        <w:rPr>
          <w:rFonts w:ascii="Trebuchet MS" w:hAnsi="Trebuchet MS"/>
          <w:bCs/>
          <w:lang w:bidi="it-IT"/>
        </w:rPr>
        <w:t xml:space="preserve"> in soluzioni digitali, in particolare per la gestione della firma</w:t>
      </w:r>
      <w:r w:rsidR="0039479A" w:rsidRPr="00D86585">
        <w:rPr>
          <w:rFonts w:ascii="Trebuchet MS" w:hAnsi="Trebuchet MS"/>
          <w:bCs/>
          <w:lang w:bidi="it-IT"/>
        </w:rPr>
        <w:t xml:space="preserve"> (6,8%), per la digitalizzazione dei processi interni (6,2%) e per la conservazione dei documenti (5,5%). </w:t>
      </w:r>
      <w:r w:rsidRPr="00D86585">
        <w:rPr>
          <w:rFonts w:ascii="Trebuchet MS" w:hAnsi="Trebuchet MS"/>
          <w:bCs/>
          <w:lang w:bidi="it-IT"/>
        </w:rPr>
        <w:t xml:space="preserve">Il 18,4% ha attivato iniziative di digitalizzazione già nel corso del 2020, soprattutto per l’introduzione di firme digitali (7,3%), di strumenti per lo scambio di documenti elettronici (6%), di software a supporto dei processi interni (5,4%) e di tool per la conservazione digitale (3,5%). </w:t>
      </w:r>
      <w:r w:rsidR="00637535" w:rsidRPr="00D86585">
        <w:rPr>
          <w:rFonts w:ascii="Trebuchet MS" w:hAnsi="Trebuchet MS"/>
          <w:bCs/>
          <w:lang w:bidi="it-IT"/>
        </w:rPr>
        <w:t>Nei prossimi due anni il 38,5% delle imprese prevede di investire in strumenti per digitalizzare i processi B2b. Il PNRR rappresenta u</w:t>
      </w:r>
      <w:r w:rsidR="0039479A" w:rsidRPr="00D86585">
        <w:rPr>
          <w:rFonts w:ascii="Trebuchet MS" w:hAnsi="Trebuchet MS"/>
          <w:bCs/>
          <w:lang w:bidi="it-IT"/>
        </w:rPr>
        <w:t xml:space="preserve">na grande opportunità per realizzare </w:t>
      </w:r>
      <w:r w:rsidR="00637535" w:rsidRPr="00D86585">
        <w:rPr>
          <w:rFonts w:ascii="Trebuchet MS" w:hAnsi="Trebuchet MS"/>
          <w:bCs/>
          <w:lang w:bidi="it-IT"/>
        </w:rPr>
        <w:t>questi</w:t>
      </w:r>
      <w:r w:rsidR="0039479A" w:rsidRPr="00D86585">
        <w:rPr>
          <w:rFonts w:ascii="Trebuchet MS" w:hAnsi="Trebuchet MS"/>
          <w:bCs/>
          <w:lang w:bidi="it-IT"/>
        </w:rPr>
        <w:t xml:space="preserve"> investimenti</w:t>
      </w:r>
      <w:r w:rsidR="00637535" w:rsidRPr="00D86585">
        <w:rPr>
          <w:rFonts w:ascii="Trebuchet MS" w:hAnsi="Trebuchet MS"/>
          <w:bCs/>
          <w:lang w:bidi="it-IT"/>
        </w:rPr>
        <w:t>: il 21% dei 191,5 miliardi messi a disposizione dell’Italia è dedicato alla digitalizzazione della PA, delle imprese e dei comparti turismo e cultura. Le</w:t>
      </w:r>
      <w:r w:rsidR="0039479A" w:rsidRPr="00D86585">
        <w:rPr>
          <w:rFonts w:ascii="Trebuchet MS" w:hAnsi="Trebuchet MS"/>
          <w:bCs/>
          <w:lang w:bidi="it-IT"/>
        </w:rPr>
        <w:t xml:space="preserve"> imprese </w:t>
      </w:r>
      <w:r w:rsidR="00637535" w:rsidRPr="00D86585">
        <w:rPr>
          <w:rFonts w:ascii="Trebuchet MS" w:hAnsi="Trebuchet MS"/>
          <w:bCs/>
          <w:lang w:bidi="it-IT"/>
        </w:rPr>
        <w:t xml:space="preserve">beneficeranno di </w:t>
      </w:r>
      <w:r w:rsidR="0039479A" w:rsidRPr="00D86585">
        <w:rPr>
          <w:rFonts w:ascii="Trebuchet MS" w:hAnsi="Trebuchet MS"/>
          <w:bCs/>
          <w:lang w:bidi="it-IT"/>
        </w:rPr>
        <w:t xml:space="preserve">30,57 miliardi di euro che possono costituire un contributo fondamentale all’ammodernamento tecnologico del nostro tessuto industriale. La sfida dei prossimi anni </w:t>
      </w:r>
      <w:r w:rsidR="00A2380C" w:rsidRPr="00D86585">
        <w:rPr>
          <w:rFonts w:ascii="Trebuchet MS" w:hAnsi="Trebuchet MS"/>
          <w:bCs/>
          <w:lang w:bidi="it-IT"/>
        </w:rPr>
        <w:t>sarà</w:t>
      </w:r>
      <w:r w:rsidR="0039479A" w:rsidRPr="00D86585">
        <w:rPr>
          <w:rFonts w:ascii="Trebuchet MS" w:hAnsi="Trebuchet MS"/>
          <w:bCs/>
          <w:lang w:bidi="it-IT"/>
        </w:rPr>
        <w:t xml:space="preserve"> sviluppare progetti in grado di valorizzare al meglio </w:t>
      </w:r>
      <w:r w:rsidR="00637535" w:rsidRPr="00D86585">
        <w:rPr>
          <w:rFonts w:ascii="Trebuchet MS" w:hAnsi="Trebuchet MS"/>
          <w:bCs/>
          <w:lang w:bidi="it-IT"/>
        </w:rPr>
        <w:t>questo tesoretto.</w:t>
      </w:r>
    </w:p>
    <w:p w14:paraId="58D39C5E" w14:textId="7180FEB5" w:rsidR="0039479A" w:rsidRPr="00D86585" w:rsidRDefault="0039479A" w:rsidP="006F3CE9">
      <w:pPr>
        <w:pStyle w:val="Corpotesto"/>
        <w:jc w:val="both"/>
        <w:rPr>
          <w:rFonts w:ascii="Trebuchet MS" w:hAnsi="Trebuchet MS"/>
          <w:lang w:bidi="it-IT"/>
        </w:rPr>
      </w:pPr>
    </w:p>
    <w:p w14:paraId="6FA5BFF9" w14:textId="261E977E" w:rsidR="005F2627" w:rsidRPr="00D86585" w:rsidRDefault="00637535" w:rsidP="006F3CE9">
      <w:pPr>
        <w:pStyle w:val="Corpotesto"/>
        <w:jc w:val="both"/>
        <w:rPr>
          <w:rFonts w:ascii="Trebuchet MS" w:hAnsi="Trebuchet MS"/>
          <w:lang w:bidi="it-IT"/>
        </w:rPr>
      </w:pPr>
      <w:r w:rsidRPr="00D86585">
        <w:rPr>
          <w:rFonts w:ascii="Trebuchet MS" w:hAnsi="Trebuchet MS"/>
          <w:b/>
          <w:bCs/>
          <w:lang w:bidi="it-IT"/>
        </w:rPr>
        <w:t>Le tecnologie per l’eCommerce B2b</w:t>
      </w:r>
      <w:r w:rsidRPr="00D86585">
        <w:rPr>
          <w:rFonts w:ascii="Trebuchet MS" w:hAnsi="Trebuchet MS"/>
          <w:lang w:bidi="it-IT"/>
        </w:rPr>
        <w:t xml:space="preserve"> – Sono 19mila le imprese che nel 2020 hanno utilizzato l’EDI per scambiarsi i principali documenti del ciclo dell’ordine, senza variazioni significative rispetto al 2019. Crescono invece del 5% i documenti scambiati</w:t>
      </w:r>
      <w:r w:rsidR="00F95551" w:rsidRPr="00D86585">
        <w:rPr>
          <w:rFonts w:ascii="Trebuchet MS" w:hAnsi="Trebuchet MS"/>
          <w:lang w:bidi="it-IT"/>
        </w:rPr>
        <w:t xml:space="preserve"> che includono </w:t>
      </w:r>
      <w:r w:rsidR="004866CD" w:rsidRPr="00D86585">
        <w:rPr>
          <w:rFonts w:ascii="Trebuchet MS" w:hAnsi="Trebuchet MS"/>
          <w:lang w:bidi="it-IT"/>
        </w:rPr>
        <w:t>fatture, ordini, conferme d’ordine e avvisi di spedizione.</w:t>
      </w:r>
      <w:r w:rsidR="00A2380C" w:rsidRPr="00D86585">
        <w:rPr>
          <w:rFonts w:ascii="Trebuchet MS" w:hAnsi="Trebuchet MS"/>
        </w:rPr>
        <w:t xml:space="preserve"> </w:t>
      </w:r>
      <w:r w:rsidR="00A2380C" w:rsidRPr="00D86585">
        <w:rPr>
          <w:rFonts w:ascii="Trebuchet MS" w:hAnsi="Trebuchet MS"/>
          <w:lang w:bidi="it-IT"/>
        </w:rPr>
        <w:t xml:space="preserve">Cresce sempre più l’interesse verso i Marketplace B2b che, già pervasivi nel B2c, iniziano a essere molto utilizzati anche per le relazioni tra imprese. Il transato realizzato tramite queste piattaforme è infatti cresciuto del 67% tra il 2019 e il 2020. </w:t>
      </w:r>
      <w:r w:rsidR="00290F4D" w:rsidRPr="00D86585">
        <w:rPr>
          <w:rFonts w:ascii="Trebuchet MS" w:hAnsi="Trebuchet MS"/>
          <w:lang w:bidi="it-IT"/>
        </w:rPr>
        <w:t>Si prevede</w:t>
      </w:r>
      <w:r w:rsidR="00A2380C" w:rsidRPr="00D86585">
        <w:rPr>
          <w:rFonts w:ascii="Trebuchet MS" w:hAnsi="Trebuchet MS"/>
          <w:lang w:bidi="it-IT"/>
        </w:rPr>
        <w:t xml:space="preserve"> un utilizzo sempre più massiccio grazie alla facilità di utilizzo e alla possibilità di connessione diretta tra gli attori della filiera.</w:t>
      </w:r>
    </w:p>
    <w:p w14:paraId="4F33092F" w14:textId="55B72751" w:rsidR="00EF26FA" w:rsidRPr="00D86585" w:rsidRDefault="00EF26FA" w:rsidP="006F3CE9">
      <w:pPr>
        <w:pStyle w:val="Corpotesto"/>
        <w:jc w:val="both"/>
        <w:rPr>
          <w:rFonts w:ascii="Trebuchet MS" w:hAnsi="Trebuchet MS"/>
          <w:lang w:bidi="it-IT"/>
        </w:rPr>
      </w:pPr>
    </w:p>
    <w:p w14:paraId="2D39F784" w14:textId="548945D7" w:rsidR="00EF26FA" w:rsidRPr="00D86585" w:rsidRDefault="00EF26FA" w:rsidP="006F3CE9">
      <w:pPr>
        <w:pStyle w:val="Corpotesto"/>
        <w:jc w:val="both"/>
        <w:rPr>
          <w:rFonts w:ascii="Trebuchet MS" w:hAnsi="Trebuchet MS"/>
          <w:lang w:bidi="it-IT"/>
        </w:rPr>
      </w:pPr>
      <w:r w:rsidRPr="00D86585">
        <w:rPr>
          <w:rFonts w:ascii="Trebuchet MS" w:hAnsi="Trebuchet MS"/>
          <w:b/>
          <w:bCs/>
          <w:lang w:bidi="it-IT"/>
        </w:rPr>
        <w:t>Gli ordini elettronici in ambito sanitario</w:t>
      </w:r>
      <w:r w:rsidRPr="00D86585">
        <w:rPr>
          <w:rFonts w:ascii="Trebuchet MS" w:hAnsi="Trebuchet MS"/>
          <w:lang w:bidi="it-IT"/>
        </w:rPr>
        <w:t xml:space="preserve"> – </w:t>
      </w:r>
      <w:r w:rsidR="00067DCE" w:rsidRPr="00D86585">
        <w:rPr>
          <w:rFonts w:ascii="Trebuchet MS" w:hAnsi="Trebuchet MS"/>
          <w:lang w:bidi="it-IT"/>
        </w:rPr>
        <w:t xml:space="preserve">Molto positivo il bilancio degli ordini elettronici scambiati in ambito sanitario, che ad aprile 2021 hanno toccato quota 7,3 milioni, con una media di quasi 23mila documenti al giorno. Il 43% degli ordini è stato inviato utilizzando il Nodo Smistamento Ordini (NSO) come canale di trasmissione, mentre il restante 57% è stato scambiato attraverso Peppol, </w:t>
      </w:r>
      <w:r w:rsidRPr="00D86585">
        <w:rPr>
          <w:rFonts w:ascii="Trebuchet MS" w:hAnsi="Trebuchet MS"/>
          <w:lang w:bidi="it-IT"/>
        </w:rPr>
        <w:t>architettura in significativa crescita a livello internazional</w:t>
      </w:r>
      <w:r w:rsidR="00067DCE" w:rsidRPr="00D86585">
        <w:rPr>
          <w:rFonts w:ascii="Trebuchet MS" w:hAnsi="Trebuchet MS"/>
          <w:lang w:bidi="it-IT"/>
        </w:rPr>
        <w:t xml:space="preserve">e. Il 74% dei fornitori degli enti del SSN </w:t>
      </w:r>
      <w:r w:rsidR="002330DE" w:rsidRPr="00D86585">
        <w:rPr>
          <w:rFonts w:ascii="Trebuchet MS" w:hAnsi="Trebuchet MS"/>
          <w:lang w:bidi="it-IT"/>
        </w:rPr>
        <w:t xml:space="preserve">rispondenti alla survey </w:t>
      </w:r>
      <w:r w:rsidR="00067DCE" w:rsidRPr="00D86585">
        <w:rPr>
          <w:rFonts w:ascii="Trebuchet MS" w:hAnsi="Trebuchet MS"/>
          <w:lang w:bidi="it-IT"/>
        </w:rPr>
        <w:t>d</w:t>
      </w:r>
      <w:r w:rsidR="002330DE" w:rsidRPr="00D86585">
        <w:rPr>
          <w:rFonts w:ascii="Trebuchet MS" w:hAnsi="Trebuchet MS"/>
          <w:lang w:bidi="it-IT"/>
        </w:rPr>
        <w:t>e</w:t>
      </w:r>
      <w:r w:rsidR="00067DCE" w:rsidRPr="00D86585">
        <w:rPr>
          <w:rFonts w:ascii="Trebuchet MS" w:hAnsi="Trebuchet MS"/>
          <w:lang w:bidi="it-IT"/>
        </w:rPr>
        <w:t xml:space="preserve">ll’Osservatorio sta già cogliendo diversi benefici dall’utilizzo del sistema, come l’aumento della velocità di elaborazione degli ordini (45%), miglior monitoraggio e tracciabilità del processo (42%) e un significativo calo degli errori all’interno dell’azienda </w:t>
      </w:r>
      <w:r w:rsidR="005F2627" w:rsidRPr="00D86585">
        <w:rPr>
          <w:rFonts w:ascii="Trebuchet MS" w:hAnsi="Trebuchet MS"/>
          <w:lang w:bidi="it-IT"/>
        </w:rPr>
        <w:t>fornitrice (38%). Per migliorare ulteriormente il sistema, il 71% propone di estenderlo anche ai documenti di trasporto e ai SAL elettronici e il 68% vorrebbe che fosse applicato a tutta la PA.</w:t>
      </w:r>
    </w:p>
    <w:p w14:paraId="552AD495" w14:textId="77777777" w:rsidR="00EF26FA" w:rsidRPr="00D86585" w:rsidRDefault="00EF26FA" w:rsidP="006F3CE9">
      <w:pPr>
        <w:pStyle w:val="Corpotesto"/>
        <w:jc w:val="both"/>
        <w:rPr>
          <w:rFonts w:ascii="Trebuchet MS" w:hAnsi="Trebuchet MS"/>
          <w:lang w:bidi="it-IT"/>
        </w:rPr>
      </w:pPr>
    </w:p>
    <w:p w14:paraId="493C5B70" w14:textId="09A3F90F" w:rsidR="00E64661" w:rsidRPr="00D86585" w:rsidRDefault="002E725C" w:rsidP="002E725C">
      <w:pPr>
        <w:pStyle w:val="Corpotesto"/>
        <w:jc w:val="both"/>
        <w:rPr>
          <w:rFonts w:ascii="Trebuchet MS" w:hAnsi="Trebuchet MS"/>
          <w:lang w:bidi="it-IT"/>
        </w:rPr>
      </w:pPr>
      <w:r w:rsidRPr="00D86585">
        <w:rPr>
          <w:rFonts w:ascii="Trebuchet MS" w:hAnsi="Trebuchet MS"/>
          <w:b/>
          <w:bCs/>
          <w:lang w:bidi="it-IT"/>
        </w:rPr>
        <w:t>Le tecnologie per automatizzare i processi B2b</w:t>
      </w:r>
      <w:r w:rsidRPr="00D86585">
        <w:rPr>
          <w:rFonts w:ascii="Trebuchet MS" w:hAnsi="Trebuchet MS"/>
          <w:lang w:bidi="it-IT"/>
        </w:rPr>
        <w:t xml:space="preserve"> – A seguito dell’obbligo di fatturazione elettronica, molte aziende hanno iniziato a interessarsi alle tecnologie per l’automazione dei processi, ritenute la priorità di investimento entro il 2022 dal 16% delle imprese italiane. L’Osservatorio ha censito 33 applicazioni di Robot</w:t>
      </w:r>
      <w:r w:rsidR="002330DE" w:rsidRPr="00D86585">
        <w:rPr>
          <w:rFonts w:ascii="Trebuchet MS" w:hAnsi="Trebuchet MS"/>
          <w:lang w:bidi="it-IT"/>
        </w:rPr>
        <w:t>ic</w:t>
      </w:r>
      <w:r w:rsidRPr="00D86585">
        <w:rPr>
          <w:rFonts w:ascii="Trebuchet MS" w:hAnsi="Trebuchet MS"/>
          <w:lang w:bidi="it-IT"/>
        </w:rPr>
        <w:t xml:space="preserve"> Process Automation (RPA) nei processi amministrativi e di supply chain a livello internazionale. Il 67% di queste soluzioni è focalizzato sul ciclo ordine-consegna-fatturazione-pagamento e in particolare sulla fase di fatturazione, con 21 casi.</w:t>
      </w:r>
      <w:r w:rsidR="00E64661" w:rsidRPr="00D86585">
        <w:rPr>
          <w:rFonts w:ascii="Trebuchet MS" w:hAnsi="Trebuchet MS"/>
          <w:lang w:bidi="it-IT"/>
        </w:rPr>
        <w:t xml:space="preserve"> </w:t>
      </w:r>
    </w:p>
    <w:p w14:paraId="5E7FBF9A" w14:textId="2B8CA6AA" w:rsidR="002E725C" w:rsidRPr="00D86585" w:rsidRDefault="00E64661" w:rsidP="002E725C">
      <w:pPr>
        <w:pStyle w:val="Corpotesto"/>
        <w:jc w:val="both"/>
        <w:rPr>
          <w:rFonts w:ascii="Trebuchet MS" w:hAnsi="Trebuchet MS"/>
          <w:lang w:bidi="it-IT"/>
        </w:rPr>
      </w:pPr>
      <w:r w:rsidRPr="00D86585">
        <w:rPr>
          <w:rFonts w:ascii="Trebuchet MS" w:hAnsi="Trebuchet MS"/>
          <w:lang w:bidi="it-IT"/>
        </w:rPr>
        <w:t>La tecnologia che sta attirando più interesse da parte delle aziende è l’Artificial Intelligence, protagonista di 120 progetti a livello internazionale, di cui il 58% già operativo, a testimonianza di una crescente maturità delle iniziative e una maggiore consapevolezza sull’uso di questa tecnologia nelle imprese. Le soluzioni di AI trovano applicazione soprattutto nei processi di pianificazione, rifornimento e monitoraggio della supply chain (48%), poi vengono le applicazioni trasversali a più processi (45%) e come supporto al ciclo dell’ordine (7%).</w:t>
      </w:r>
    </w:p>
    <w:p w14:paraId="0691E99A" w14:textId="5D01C510" w:rsidR="00290F4D" w:rsidRPr="00B07CD5" w:rsidRDefault="00E64661" w:rsidP="00B07CD5">
      <w:pPr>
        <w:pStyle w:val="Corpotesto"/>
        <w:jc w:val="both"/>
        <w:rPr>
          <w:rFonts w:ascii="Trebuchet MS" w:hAnsi="Trebuchet MS"/>
          <w:lang w:bidi="it-IT"/>
        </w:rPr>
      </w:pPr>
      <w:r w:rsidRPr="00D86585">
        <w:rPr>
          <w:rFonts w:ascii="Trebuchet MS" w:hAnsi="Trebuchet MS"/>
          <w:lang w:bidi="it-IT"/>
        </w:rPr>
        <w:t>Meno mature, invece, le soluzioni di Blockchain applicata alla supply chain. Su 206 progetti censiti, incentrati prevalentemente sul monitoraggio della supply chain e sul supporto al ciclo dell’ordine, solo il 12% è operativo.</w:t>
      </w:r>
      <w:r w:rsidR="002E725C" w:rsidRPr="00D86585">
        <w:rPr>
          <w:rFonts w:ascii="Trebuchet MS" w:hAnsi="Trebuchet MS"/>
          <w:lang w:bidi="it-IT"/>
        </w:rPr>
        <w:t xml:space="preserve"> </w:t>
      </w:r>
      <w:r w:rsidRPr="00D86585">
        <w:rPr>
          <w:rFonts w:ascii="Trebuchet MS" w:hAnsi="Trebuchet MS"/>
          <w:lang w:bidi="it-IT"/>
        </w:rPr>
        <w:t xml:space="preserve">Ma sono in crescita i progetti che prevedono </w:t>
      </w:r>
      <w:r w:rsidR="002E725C" w:rsidRPr="00D86585">
        <w:rPr>
          <w:rFonts w:ascii="Trebuchet MS" w:hAnsi="Trebuchet MS"/>
          <w:lang w:bidi="it-IT"/>
        </w:rPr>
        <w:t>il coinvolgimento di un ecosistema esteso</w:t>
      </w:r>
      <w:r w:rsidRPr="00D86585">
        <w:rPr>
          <w:rFonts w:ascii="Trebuchet MS" w:hAnsi="Trebuchet MS"/>
          <w:lang w:bidi="it-IT"/>
        </w:rPr>
        <w:t>,</w:t>
      </w:r>
      <w:r w:rsidR="002E725C" w:rsidRPr="00D86585">
        <w:rPr>
          <w:rFonts w:ascii="Trebuchet MS" w:hAnsi="Trebuchet MS"/>
          <w:lang w:bidi="it-IT"/>
        </w:rPr>
        <w:t xml:space="preserve"> composto non solo da partner di business ma anche da enti governativi, agenzie internazionali e aziende </w:t>
      </w:r>
      <w:r w:rsidR="00F4395A" w:rsidRPr="00D86585">
        <w:rPr>
          <w:rFonts w:ascii="Trebuchet MS" w:hAnsi="Trebuchet MS"/>
          <w:lang w:bidi="it-IT"/>
        </w:rPr>
        <w:t>appartenenti</w:t>
      </w:r>
      <w:r w:rsidR="002E725C" w:rsidRPr="00D86585">
        <w:rPr>
          <w:rFonts w:ascii="Trebuchet MS" w:hAnsi="Trebuchet MS"/>
          <w:lang w:bidi="it-IT"/>
        </w:rPr>
        <w:t xml:space="preserve"> ad altri mercati sinergici.</w:t>
      </w:r>
    </w:p>
    <w:p w14:paraId="522F47C8" w14:textId="77777777" w:rsidR="00B3476E" w:rsidRDefault="00B3476E" w:rsidP="008F2B76">
      <w:pPr>
        <w:pStyle w:val="Corpotesto"/>
        <w:jc w:val="both"/>
        <w:rPr>
          <w:rFonts w:ascii="Trebuchet MS" w:hAnsi="Trebuchet MS"/>
          <w:sz w:val="16"/>
          <w:szCs w:val="16"/>
          <w:lang w:bidi="it-IT"/>
        </w:rPr>
      </w:pPr>
    </w:p>
    <w:p w14:paraId="678EEBEF" w14:textId="4A2C06F8" w:rsidR="0014511E" w:rsidRDefault="00AD06DA" w:rsidP="00D66382">
      <w:pPr>
        <w:pStyle w:val="Corpotesto"/>
        <w:jc w:val="both"/>
        <w:rPr>
          <w:rFonts w:ascii="Trebuchet MS" w:hAnsi="Trebuchet MS"/>
          <w:sz w:val="16"/>
          <w:szCs w:val="16"/>
          <w:lang w:bidi="it-IT"/>
        </w:rPr>
      </w:pPr>
      <w:r>
        <w:rPr>
          <w:rFonts w:ascii="Trebuchet MS" w:hAnsi="Trebuchet MS"/>
          <w:sz w:val="16"/>
          <w:szCs w:val="16"/>
          <w:lang w:bidi="it-IT"/>
        </w:rPr>
        <w:t>*</w:t>
      </w:r>
      <w:r w:rsidR="008F2B76" w:rsidRPr="008F2B76">
        <w:rPr>
          <w:rFonts w:ascii="Trebuchet MS" w:hAnsi="Trebuchet MS"/>
          <w:sz w:val="16"/>
          <w:szCs w:val="16"/>
          <w:lang w:bidi="it-IT"/>
        </w:rPr>
        <w:t>L'edizione 202</w:t>
      </w:r>
      <w:r w:rsidR="00B15DA8">
        <w:rPr>
          <w:rFonts w:ascii="Trebuchet MS" w:hAnsi="Trebuchet MS"/>
          <w:sz w:val="16"/>
          <w:szCs w:val="16"/>
          <w:lang w:bidi="it-IT"/>
        </w:rPr>
        <w:t>0</w:t>
      </w:r>
      <w:r w:rsidR="00B96753">
        <w:rPr>
          <w:rFonts w:ascii="Trebuchet MS" w:hAnsi="Trebuchet MS"/>
          <w:sz w:val="16"/>
          <w:szCs w:val="16"/>
          <w:lang w:bidi="it-IT"/>
        </w:rPr>
        <w:t>-2</w:t>
      </w:r>
      <w:r w:rsidR="00B15DA8">
        <w:rPr>
          <w:rFonts w:ascii="Trebuchet MS" w:hAnsi="Trebuchet MS"/>
          <w:sz w:val="16"/>
          <w:szCs w:val="16"/>
          <w:lang w:bidi="it-IT"/>
        </w:rPr>
        <w:t>1</w:t>
      </w:r>
      <w:r w:rsidR="008F2B76" w:rsidRPr="008F2B76">
        <w:rPr>
          <w:rFonts w:ascii="Trebuchet MS" w:hAnsi="Trebuchet MS"/>
          <w:sz w:val="16"/>
          <w:szCs w:val="16"/>
          <w:lang w:bidi="it-IT"/>
        </w:rPr>
        <w:t xml:space="preserve"> dell'Osservatorio </w:t>
      </w:r>
      <w:r w:rsidR="00E453CF">
        <w:rPr>
          <w:rFonts w:ascii="Trebuchet MS" w:hAnsi="Trebuchet MS"/>
          <w:sz w:val="16"/>
          <w:szCs w:val="16"/>
          <w:lang w:bidi="it-IT"/>
        </w:rPr>
        <w:t>Digital B2b</w:t>
      </w:r>
      <w:r w:rsidR="008F2B76" w:rsidRPr="008F2B76">
        <w:rPr>
          <w:rFonts w:ascii="Trebuchet MS" w:hAnsi="Trebuchet MS"/>
          <w:sz w:val="16"/>
          <w:szCs w:val="16"/>
          <w:lang w:bidi="it-IT"/>
        </w:rPr>
        <w:t xml:space="preserve"> è realizzata in collaborazione con </w:t>
      </w:r>
      <w:r w:rsidR="00B15DA8">
        <w:rPr>
          <w:rFonts w:ascii="Trebuchet MS" w:hAnsi="Trebuchet MS"/>
          <w:sz w:val="16"/>
          <w:szCs w:val="16"/>
          <w:lang w:bidi="it-IT"/>
        </w:rPr>
        <w:t>Anitec-Assinform, Assintel, AssoSoftware, DAFNE, Ediel, GS1 Italy, Metel</w:t>
      </w:r>
      <w:r w:rsidR="00B15DA8" w:rsidDel="00B15DA8">
        <w:rPr>
          <w:rFonts w:ascii="Trebuchet MS" w:hAnsi="Trebuchet MS"/>
          <w:sz w:val="16"/>
          <w:szCs w:val="16"/>
          <w:lang w:bidi="it-IT"/>
        </w:rPr>
        <w:t xml:space="preserve"> </w:t>
      </w:r>
      <w:r w:rsidR="00A13034">
        <w:rPr>
          <w:rFonts w:ascii="Trebuchet MS" w:hAnsi="Trebuchet MS"/>
          <w:sz w:val="16"/>
          <w:szCs w:val="16"/>
          <w:lang w:bidi="it-IT"/>
        </w:rPr>
        <w:t xml:space="preserve">e con il supporto di </w:t>
      </w:r>
      <w:r w:rsidR="00B15DA8">
        <w:rPr>
          <w:rFonts w:ascii="Trebuchet MS" w:hAnsi="Trebuchet MS"/>
          <w:sz w:val="16"/>
          <w:szCs w:val="16"/>
          <w:lang w:bidi="it-IT"/>
        </w:rPr>
        <w:t xml:space="preserve">DT – Digital Technologies, </w:t>
      </w:r>
      <w:r w:rsidR="00A13034">
        <w:rPr>
          <w:rFonts w:ascii="Trebuchet MS" w:hAnsi="Trebuchet MS"/>
          <w:sz w:val="16"/>
          <w:szCs w:val="16"/>
          <w:lang w:bidi="it-IT"/>
        </w:rPr>
        <w:t xml:space="preserve">Adobe, Banco BPM, Comarch, </w:t>
      </w:r>
      <w:r w:rsidR="00B15DA8">
        <w:rPr>
          <w:rFonts w:ascii="Trebuchet MS" w:hAnsi="Trebuchet MS"/>
          <w:sz w:val="16"/>
          <w:szCs w:val="16"/>
          <w:lang w:bidi="it-IT"/>
        </w:rPr>
        <w:t>D</w:t>
      </w:r>
      <w:r w:rsidR="00A13034">
        <w:rPr>
          <w:rFonts w:ascii="Trebuchet MS" w:hAnsi="Trebuchet MS"/>
          <w:sz w:val="16"/>
          <w:szCs w:val="16"/>
          <w:lang w:bidi="it-IT"/>
        </w:rPr>
        <w:t>i</w:t>
      </w:r>
      <w:r w:rsidR="00B15DA8">
        <w:rPr>
          <w:rFonts w:ascii="Trebuchet MS" w:hAnsi="Trebuchet MS"/>
          <w:sz w:val="16"/>
          <w:szCs w:val="16"/>
          <w:lang w:bidi="it-IT"/>
        </w:rPr>
        <w:t>.T</w:t>
      </w:r>
      <w:r w:rsidR="00A13034">
        <w:rPr>
          <w:rFonts w:ascii="Trebuchet MS" w:hAnsi="Trebuchet MS"/>
          <w:sz w:val="16"/>
          <w:szCs w:val="16"/>
          <w:lang w:bidi="it-IT"/>
        </w:rPr>
        <w:t xml:space="preserve">ech, </w:t>
      </w:r>
      <w:r w:rsidR="00B15DA8">
        <w:rPr>
          <w:rFonts w:ascii="Trebuchet MS" w:hAnsi="Trebuchet MS"/>
          <w:sz w:val="16"/>
          <w:szCs w:val="16"/>
          <w:lang w:bidi="it-IT"/>
        </w:rPr>
        <w:t xml:space="preserve">EOS </w:t>
      </w:r>
      <w:r w:rsidR="00A13034">
        <w:rPr>
          <w:rFonts w:ascii="Trebuchet MS" w:hAnsi="Trebuchet MS"/>
          <w:sz w:val="16"/>
          <w:szCs w:val="16"/>
          <w:lang w:bidi="it-IT"/>
        </w:rPr>
        <w:t xml:space="preserve">Reply, Intesa Sanpaolo, Namirial, Sardex.net, </w:t>
      </w:r>
      <w:r w:rsidR="006F3CE9">
        <w:rPr>
          <w:rFonts w:ascii="Trebuchet MS" w:hAnsi="Trebuchet MS"/>
          <w:sz w:val="16"/>
          <w:szCs w:val="16"/>
          <w:lang w:bidi="it-IT"/>
        </w:rPr>
        <w:t>Savino Solution, TesiSquare, TopConsult, Zucchetti, Acube, Arxivar, Credem</w:t>
      </w:r>
      <w:r w:rsidR="00B15DA8">
        <w:rPr>
          <w:rFonts w:ascii="Trebuchet MS" w:hAnsi="Trebuchet MS"/>
          <w:sz w:val="16"/>
          <w:szCs w:val="16"/>
          <w:lang w:bidi="it-IT"/>
        </w:rPr>
        <w:t>tel</w:t>
      </w:r>
      <w:r w:rsidR="006F3CE9">
        <w:rPr>
          <w:rFonts w:ascii="Trebuchet MS" w:hAnsi="Trebuchet MS"/>
          <w:sz w:val="16"/>
          <w:szCs w:val="16"/>
          <w:lang w:bidi="it-IT"/>
        </w:rPr>
        <w:t xml:space="preserve">, Doxee, Edicom, Iccrea Banca, Intesa, Siav, Tseed; e con il patrocinio di AGID, Agenzia delle Entrate, </w:t>
      </w:r>
      <w:r w:rsidR="00B15DA8">
        <w:rPr>
          <w:rFonts w:ascii="Trebuchet MS" w:hAnsi="Trebuchet MS"/>
          <w:sz w:val="16"/>
          <w:szCs w:val="16"/>
          <w:lang w:bidi="it-IT"/>
        </w:rPr>
        <w:t xml:space="preserve">Agenzia delle Dogane e dei Monopoli </w:t>
      </w:r>
      <w:r w:rsidR="006F3CE9">
        <w:rPr>
          <w:rFonts w:ascii="Trebuchet MS" w:hAnsi="Trebuchet MS"/>
          <w:sz w:val="16"/>
          <w:szCs w:val="16"/>
          <w:lang w:bidi="it-IT"/>
        </w:rPr>
        <w:t xml:space="preserve">e Farmindustria. </w:t>
      </w:r>
    </w:p>
    <w:p w14:paraId="17D6FD97" w14:textId="77777777" w:rsidR="00AD06DA"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14:paraId="5565656F" w14:textId="77777777" w:rsidTr="002B3BD6">
        <w:tc>
          <w:tcPr>
            <w:tcW w:w="4782" w:type="dxa"/>
            <w:shd w:val="clear" w:color="auto" w:fill="FFFFFF"/>
          </w:tcPr>
          <w:p w14:paraId="2DCB3936" w14:textId="15AE1A95" w:rsidR="00AD06DA" w:rsidRPr="00F57ED3" w:rsidRDefault="00AD06DA" w:rsidP="002B3BD6">
            <w:pPr>
              <w:rPr>
                <w:rFonts w:ascii="Trebuchet MS" w:hAnsi="Trebuchet MS" w:cs="Trebuchet MS"/>
                <w:b/>
                <w:color w:val="000000"/>
              </w:rPr>
            </w:pPr>
            <w:r w:rsidRPr="00F57ED3">
              <w:rPr>
                <w:rFonts w:ascii="Trebuchet MS" w:hAnsi="Trebuchet MS" w:cs="Trebuchet MS"/>
                <w:b/>
                <w:color w:val="000000"/>
              </w:rPr>
              <w:t xml:space="preserve">Ufficio stampa </w:t>
            </w:r>
            <w:r w:rsidR="006C7E9C">
              <w:rPr>
                <w:rFonts w:ascii="Trebuchet MS" w:hAnsi="Trebuchet MS" w:cs="Trebuchet MS"/>
                <w:b/>
                <w:color w:val="000000"/>
              </w:rPr>
              <w:t>Osservatori Digital Innovation del</w:t>
            </w:r>
            <w:r w:rsidRPr="00F57ED3">
              <w:rPr>
                <w:rFonts w:ascii="Trebuchet MS" w:hAnsi="Trebuchet MS" w:cs="Trebuchet MS"/>
                <w:b/>
                <w:color w:val="000000"/>
              </w:rPr>
              <w:t xml:space="preserve"> Politecnico di Milano</w:t>
            </w:r>
          </w:p>
          <w:p w14:paraId="685E9EA9" w14:textId="77777777" w:rsidR="00AD06DA" w:rsidRPr="00F57ED3" w:rsidRDefault="00AD06DA" w:rsidP="002B3BD6">
            <w:pPr>
              <w:rPr>
                <w:rFonts w:ascii="Trebuchet MS" w:hAnsi="Trebuchet MS" w:cs="Trebuchet MS"/>
                <w:b/>
                <w:color w:val="000000"/>
              </w:rPr>
            </w:pPr>
          </w:p>
          <w:p w14:paraId="10F9B5A1"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lastRenderedPageBreak/>
              <w:t>Barbara Balabio</w:t>
            </w:r>
          </w:p>
          <w:p w14:paraId="56B99B1B" w14:textId="77777777" w:rsidR="00AD06DA" w:rsidRPr="00D222E4" w:rsidRDefault="00AD06DA" w:rsidP="002B3BD6">
            <w:pPr>
              <w:widowControl/>
              <w:suppressAutoHyphens w:val="0"/>
              <w:rPr>
                <w:lang w:eastAsia="it-IT"/>
              </w:rPr>
            </w:pPr>
            <w:r w:rsidRPr="00F57ED3">
              <w:rPr>
                <w:rFonts w:ascii="Trebuchet MS" w:hAnsi="Trebuchet MS" w:cs="Trebuchet MS"/>
                <w:color w:val="000000"/>
              </w:rPr>
              <w:t xml:space="preserve">Tel.: </w:t>
            </w:r>
            <w:r w:rsidRPr="00D222E4">
              <w:rPr>
                <w:rFonts w:ascii="Trebuchet MS" w:hAnsi="Trebuchet MS" w:cs="Calibri"/>
                <w:color w:val="000000" w:themeColor="text1"/>
              </w:rPr>
              <w:t>02 2399 9545</w:t>
            </w:r>
            <w:r w:rsidRPr="00D222E4">
              <w:rPr>
                <w:rStyle w:val="apple-converted-space"/>
                <w:rFonts w:ascii="Calibri" w:hAnsi="Calibri" w:cs="Calibri"/>
                <w:color w:val="000000" w:themeColor="text1"/>
                <w:sz w:val="22"/>
                <w:szCs w:val="22"/>
              </w:rPr>
              <w:t> </w:t>
            </w:r>
          </w:p>
          <w:p w14:paraId="29804ECD" w14:textId="77777777" w:rsidR="00AD06DA" w:rsidRPr="0087452F" w:rsidRDefault="00AD06DA" w:rsidP="002B3BD6">
            <w:pPr>
              <w:rPr>
                <w:rFonts w:ascii="Trebuchet MS" w:hAnsi="Trebuchet MS" w:cs="Trebuchet MS"/>
                <w:color w:val="000000"/>
              </w:rPr>
            </w:pPr>
            <w:r w:rsidRPr="0087452F">
              <w:rPr>
                <w:rFonts w:ascii="Trebuchet MS" w:hAnsi="Trebuchet MS" w:cs="Trebuchet MS"/>
                <w:color w:val="000000"/>
              </w:rPr>
              <w:t xml:space="preserve">email </w:t>
            </w:r>
            <w:hyperlink r:id="rId11" w:history="1">
              <w:r w:rsidRPr="0087452F">
                <w:rPr>
                  <w:rStyle w:val="Collegamentoipertestuale"/>
                  <w:rFonts w:ascii="Trebuchet MS" w:eastAsia="Helvetica" w:hAnsi="Trebuchet MS" w:cs="Trebuchet MS"/>
                  <w:color w:val="000000"/>
                </w:rPr>
                <w:t>barbara.balabio@osservatori.net</w:t>
              </w:r>
            </w:hyperlink>
          </w:p>
          <w:p w14:paraId="3A5BC8D8" w14:textId="77777777" w:rsidR="00AD06DA" w:rsidRPr="00A2380C" w:rsidRDefault="000C2226" w:rsidP="002B3BD6">
            <w:pPr>
              <w:jc w:val="both"/>
              <w:rPr>
                <w:rFonts w:ascii="Trebuchet MS" w:hAnsi="Trebuchet MS"/>
              </w:rPr>
            </w:pPr>
            <w:r w:rsidRPr="00A2380C">
              <w:rPr>
                <w:rFonts w:ascii="Trebuchet MS" w:hAnsi="Trebuchet MS" w:cs="Trebuchet MS"/>
                <w:color w:val="000000"/>
              </w:rPr>
              <w:t>Skype barbara.balabio</w:t>
            </w:r>
          </w:p>
          <w:p w14:paraId="6E34CD0C" w14:textId="77777777" w:rsidR="00AD06DA" w:rsidRPr="00A2380C" w:rsidRDefault="00BF69E3" w:rsidP="002B3BD6">
            <w:pPr>
              <w:jc w:val="both"/>
              <w:rPr>
                <w:rFonts w:ascii="Trebuchet MS" w:hAnsi="Trebuchet MS" w:cs="Trebuchet MS"/>
                <w:color w:val="000000"/>
              </w:rPr>
            </w:pPr>
            <w:hyperlink r:id="rId12" w:history="1">
              <w:r w:rsidR="000C2226" w:rsidRPr="00A2380C">
                <w:rPr>
                  <w:rStyle w:val="Collegamentoipertestuale"/>
                  <w:rFonts w:ascii="Trebuchet MS" w:hAnsi="Trebuchet MS" w:cs="Trebuchet MS"/>
                  <w:color w:val="000000"/>
                </w:rPr>
                <w:t>www.osservatori.net</w:t>
              </w:r>
            </w:hyperlink>
            <w:r w:rsidR="000C2226" w:rsidRPr="00A2380C">
              <w:rPr>
                <w:rFonts w:ascii="Trebuchet MS" w:hAnsi="Trebuchet MS" w:cs="Trebuchet MS"/>
                <w:color w:val="000000"/>
              </w:rPr>
              <w:t xml:space="preserve"> </w:t>
            </w:r>
          </w:p>
          <w:p w14:paraId="7AAB499B" w14:textId="77777777" w:rsidR="00AD06DA" w:rsidRPr="00A2380C" w:rsidRDefault="00AD06DA" w:rsidP="002B3BD6">
            <w:pPr>
              <w:jc w:val="both"/>
              <w:rPr>
                <w:rFonts w:ascii="Trebuchet MS" w:hAnsi="Trebuchet MS" w:cs="Trebuchet MS"/>
                <w:color w:val="000000"/>
              </w:rPr>
            </w:pPr>
          </w:p>
        </w:tc>
        <w:tc>
          <w:tcPr>
            <w:tcW w:w="5083" w:type="dxa"/>
            <w:shd w:val="clear" w:color="auto" w:fill="FFFFFF"/>
          </w:tcPr>
          <w:p w14:paraId="1833B014" w14:textId="77777777" w:rsidR="00AD06DA" w:rsidRPr="00F57ED3" w:rsidRDefault="00AD06DA" w:rsidP="002B3BD6">
            <w:pPr>
              <w:rPr>
                <w:rFonts w:ascii="Trebuchet MS" w:hAnsi="Trebuchet MS" w:cs="Trebuchet MS"/>
                <w:color w:val="000000"/>
              </w:rPr>
            </w:pPr>
            <w:r w:rsidRPr="00F57ED3">
              <w:rPr>
                <w:rFonts w:ascii="Trebuchet MS" w:hAnsi="Trebuchet MS" w:cs="Trebuchet MS"/>
                <w:b/>
                <w:bCs/>
                <w:color w:val="FF0000"/>
              </w:rPr>
              <w:lastRenderedPageBreak/>
              <w:t>d'I</w:t>
            </w:r>
            <w:r w:rsidRPr="00F57ED3">
              <w:rPr>
                <w:rFonts w:ascii="Trebuchet MS" w:hAnsi="Trebuchet MS" w:cs="Trebuchet MS"/>
                <w:color w:val="000000"/>
              </w:rPr>
              <w:t xml:space="preserve"> </w:t>
            </w:r>
            <w:r w:rsidRPr="00F57ED3">
              <w:rPr>
                <w:rFonts w:ascii="Trebuchet MS" w:hAnsi="Trebuchet MS" w:cs="Trebuchet MS"/>
                <w:b/>
                <w:bCs/>
                <w:color w:val="000000"/>
              </w:rPr>
              <w:t>Comunicazione</w:t>
            </w:r>
            <w:r w:rsidRPr="00F57ED3">
              <w:rPr>
                <w:rFonts w:ascii="Trebuchet MS" w:hAnsi="Trebuchet MS" w:cs="Trebuchet MS"/>
                <w:color w:val="000000"/>
              </w:rPr>
              <w:t xml:space="preserve">: </w:t>
            </w:r>
          </w:p>
          <w:p w14:paraId="11F6B0FB" w14:textId="77777777" w:rsidR="00AD06DA" w:rsidRPr="00F57ED3" w:rsidRDefault="00AD06DA" w:rsidP="002B3BD6">
            <w:pPr>
              <w:rPr>
                <w:rFonts w:ascii="Trebuchet MS" w:hAnsi="Trebuchet MS" w:cs="Trebuchet MS"/>
                <w:color w:val="000000"/>
              </w:rPr>
            </w:pPr>
          </w:p>
          <w:p w14:paraId="3FF04C20"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Piero Orlando </w:t>
            </w:r>
          </w:p>
          <w:p w14:paraId="00A53149"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lastRenderedPageBreak/>
              <w:t xml:space="preserve">po@dicomunicazione.it </w:t>
            </w:r>
          </w:p>
          <w:p w14:paraId="5C605FD6"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Mob.: 335 1753472 </w:t>
            </w:r>
          </w:p>
          <w:p w14:paraId="784975EC" w14:textId="77777777" w:rsidR="00AD06DA" w:rsidRPr="00F57ED3" w:rsidRDefault="00AD06DA" w:rsidP="002B3BD6">
            <w:pPr>
              <w:rPr>
                <w:rFonts w:ascii="Trebuchet MS" w:hAnsi="Trebuchet MS" w:cs="Trebuchet MS"/>
                <w:color w:val="000000"/>
              </w:rPr>
            </w:pPr>
          </w:p>
          <w:p w14:paraId="353DDA98" w14:textId="77777777" w:rsidR="00AD06DA" w:rsidRPr="00F57ED3" w:rsidRDefault="00AD06DA" w:rsidP="002B3BD6">
            <w:pPr>
              <w:rPr>
                <w:rFonts w:ascii="Trebuchet MS" w:hAnsi="Trebuchet MS"/>
              </w:rPr>
            </w:pPr>
            <w:r w:rsidRPr="00F57ED3">
              <w:rPr>
                <w:rFonts w:ascii="Trebuchet MS" w:hAnsi="Trebuchet MS" w:cs="Trebuchet MS"/>
                <w:color w:val="000000"/>
              </w:rPr>
              <w:t>Marco Puelli</w:t>
            </w:r>
          </w:p>
          <w:p w14:paraId="20F7B670" w14:textId="77777777" w:rsidR="00AD06DA" w:rsidRPr="00F57ED3" w:rsidRDefault="00BF69E3" w:rsidP="002B3BD6">
            <w:pPr>
              <w:rPr>
                <w:rFonts w:ascii="Trebuchet MS" w:hAnsi="Trebuchet MS" w:cs="Trebuchet MS"/>
                <w:color w:val="000000"/>
              </w:rPr>
            </w:pPr>
            <w:hyperlink r:id="rId13" w:history="1">
              <w:r w:rsidR="00AD06DA" w:rsidRPr="00F57ED3">
                <w:rPr>
                  <w:rStyle w:val="Collegamentoipertestuale"/>
                  <w:rFonts w:ascii="Trebuchet MS" w:hAnsi="Trebuchet MS"/>
                </w:rPr>
                <w:t>mp</w:t>
              </w:r>
              <w:r w:rsidR="00AD06DA" w:rsidRPr="00F57ED3">
                <w:rPr>
                  <w:rStyle w:val="Collegamentoipertestuale"/>
                  <w:rFonts w:ascii="Trebuchet MS" w:hAnsi="Trebuchet MS" w:cs="Trebuchet MS"/>
                  <w:color w:val="000000"/>
                </w:rPr>
                <w:t>@dicomunicazione.it</w:t>
              </w:r>
            </w:hyperlink>
          </w:p>
          <w:p w14:paraId="5A1EA986" w14:textId="77777777" w:rsidR="00AD06DA" w:rsidRDefault="00AD06DA" w:rsidP="002B3BD6">
            <w:pPr>
              <w:rPr>
                <w:rFonts w:ascii="Trebuchet MS" w:hAnsi="Trebuchet MS" w:cs="Trebuchet MS"/>
                <w:color w:val="000000"/>
              </w:rPr>
            </w:pPr>
            <w:r w:rsidRPr="00F57ED3">
              <w:rPr>
                <w:rFonts w:ascii="Trebuchet MS" w:hAnsi="Trebuchet MS" w:cs="Trebuchet MS"/>
                <w:color w:val="000000"/>
              </w:rPr>
              <w:t>Mob.: 320 1144691</w:t>
            </w:r>
          </w:p>
          <w:p w14:paraId="655A546A" w14:textId="77777777" w:rsidR="00AD06DA" w:rsidRPr="00F57ED3" w:rsidRDefault="00AD06DA" w:rsidP="002B3BD6">
            <w:pPr>
              <w:rPr>
                <w:rFonts w:ascii="Trebuchet MS" w:hAnsi="Trebuchet MS" w:cs="Trebuchet MS"/>
                <w:color w:val="000000"/>
              </w:rPr>
            </w:pPr>
          </w:p>
        </w:tc>
      </w:tr>
    </w:tbl>
    <w:p w14:paraId="64EEAE4E" w14:textId="77777777" w:rsidR="00DA2B27" w:rsidRPr="00DA2B27" w:rsidRDefault="00DA2B27" w:rsidP="00DA2B27">
      <w:pPr>
        <w:jc w:val="both"/>
        <w:rPr>
          <w:rFonts w:ascii="Trebuchet MS" w:hAnsi="Trebuchet MS" w:cs="Calibri"/>
          <w:i/>
          <w:iCs/>
          <w:color w:val="000000"/>
          <w:sz w:val="12"/>
          <w:szCs w:val="12"/>
        </w:rPr>
      </w:pPr>
      <w:r w:rsidRPr="00DA2B27">
        <w:rPr>
          <w:rFonts w:ascii="Trebuchet MS" w:hAnsi="Trebuchet MS" w:cs="Calibri"/>
          <w:b/>
          <w:bCs/>
          <w:i/>
          <w:iCs/>
          <w:color w:val="000000"/>
          <w:sz w:val="12"/>
          <w:szCs w:val="12"/>
        </w:rPr>
        <w:lastRenderedPageBreak/>
        <w:t>La School of Management del Politecnico di Milano</w:t>
      </w:r>
      <w:r w:rsidRPr="00DA2B27">
        <w:rPr>
          <w:rFonts w:ascii="Trebuchet MS" w:hAnsi="Trebuchet MS" w:cs="Calibri"/>
          <w:i/>
          <w:iCs/>
          <w:color w:val="000000"/>
          <w:sz w:val="12"/>
          <w:szCs w:val="12"/>
        </w:rPr>
        <w:t>, costituita nel 2003, accoglie le molteplici attività di ricerca, formazione e alta consulenza, nel campo dell’economia, del management e dell’industrial engineering che il Politecnico porta avanti attraverso le sue diverse strutture interne e consortili. La Scuola ha ricevuto, nel 2007, il prestigioso accreditamento EQUIS.  Nel 2009 è entrata per la prima volta nel ranking del Financial Times delle migliori Business School europee.  Nel 2020 l’International Flex EMBA si posiziona tra i 10 migliori master al mondo nel Financial Times Online MBA Ranking. Nel 2013 ha ottenuto il prestigioso accreditamento internazionale da AMBA (Association of MBAs).  Dal 2015, la Scuola è membro di AACSB International - The Association to Advance Collegiate Schools of Business. La membership non implica l’accreditamento. La Scuola è presente inoltre nei QS World University Rankings con i programmi MBA.  Nel 2020, l’International Flex EMBA si posiziona al quinto posto nel QS Distance Online MBA Ranking. Nel 2017, la School of Management è la prima business school italiana a vedere riconosciuta la qualità dei propri corsi erogati in digital learning nei master Executive MBA attraverso la certificazione </w:t>
      </w:r>
      <w:r w:rsidRPr="00DA2B27">
        <w:rPr>
          <w:rFonts w:ascii="Trebuchet MS" w:hAnsi="Trebuchet MS" w:cs="Calibri"/>
          <w:b/>
          <w:bCs/>
          <w:i/>
          <w:iCs/>
          <w:color w:val="000000"/>
          <w:sz w:val="12"/>
          <w:szCs w:val="12"/>
        </w:rPr>
        <w:t xml:space="preserve">EOCCS </w:t>
      </w:r>
      <w:r w:rsidRPr="00DA2B27">
        <w:rPr>
          <w:rFonts w:ascii="Trebuchet MS" w:hAnsi="Trebuchet MS" w:cs="Calibri"/>
          <w:i/>
          <w:iCs/>
          <w:color w:val="000000"/>
          <w:sz w:val="12"/>
          <w:szCs w:val="12"/>
        </w:rPr>
        <w:t>(EFMD Online Course Certification System)</w:t>
      </w:r>
      <w:r w:rsidRPr="00DA2B27">
        <w:rPr>
          <w:rFonts w:ascii="Trebuchet MS" w:hAnsi="Trebuchet MS" w:cs="Calibri"/>
          <w:b/>
          <w:bCs/>
          <w:i/>
          <w:iCs/>
          <w:color w:val="000000"/>
          <w:sz w:val="12"/>
          <w:szCs w:val="12"/>
        </w:rPr>
        <w:t>.</w:t>
      </w:r>
      <w:r w:rsidRPr="00DA2B27">
        <w:rPr>
          <w:rFonts w:ascii="Trebuchet MS" w:hAnsi="Trebuchet MS" w:cs="Calibri"/>
          <w:i/>
          <w:iCs/>
          <w:color w:val="000000"/>
          <w:sz w:val="12"/>
          <w:szCs w:val="12"/>
        </w:rPr>
        <w:t> La Scuola è membro PRME (Principles for Responsible Management Education), Cladea (Consejo Latinoamericano de Escuela de Administración) e QTEM (Quantitative Techniques for Economics &amp; Management Masters Network). Fanno parte della Scuola: il Dipartimento di Ingegneria Gestionale e il MIP Graduate School of Business che, in particolare, si focalizza sulla formazione executive e sui programmi Master.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33A1DA53" w14:textId="77777777" w:rsidR="00DA2B27" w:rsidRPr="00DA2B27" w:rsidRDefault="00DA2B27" w:rsidP="00DA2B27">
      <w:pPr>
        <w:jc w:val="both"/>
        <w:rPr>
          <w:rFonts w:ascii="Trebuchet MS" w:hAnsi="Trebuchet MS" w:cs="Calibri"/>
          <w:i/>
          <w:iCs/>
          <w:color w:val="000000"/>
          <w:sz w:val="12"/>
          <w:szCs w:val="12"/>
        </w:rPr>
      </w:pPr>
      <w:r w:rsidRPr="00DA2B27">
        <w:rPr>
          <w:rFonts w:ascii="Trebuchet MS" w:hAnsi="Trebuchet MS" w:cs="Calibri"/>
          <w:i/>
          <w:iCs/>
          <w:color w:val="000000"/>
          <w:sz w:val="12"/>
          <w:szCs w:val="12"/>
        </w:rPr>
        <w:t> </w:t>
      </w:r>
    </w:p>
    <w:p w14:paraId="1C6387A2" w14:textId="74C103F8" w:rsidR="002323B2" w:rsidRPr="004B1770" w:rsidRDefault="00DA2B27" w:rsidP="004B1770">
      <w:pPr>
        <w:jc w:val="both"/>
        <w:rPr>
          <w:rFonts w:ascii="Trebuchet MS" w:hAnsi="Trebuchet MS" w:cs="Calibri"/>
          <w:i/>
          <w:iCs/>
          <w:color w:val="000000"/>
          <w:sz w:val="12"/>
          <w:szCs w:val="12"/>
        </w:rPr>
      </w:pPr>
      <w:r w:rsidRPr="00DA2B27">
        <w:rPr>
          <w:rFonts w:ascii="Trebuchet MS" w:hAnsi="Trebuchet MS" w:cs="Calibri"/>
          <w:i/>
          <w:iCs/>
          <w:color w:val="000000"/>
          <w:sz w:val="12"/>
          <w:szCs w:val="12"/>
        </w:rPr>
        <w:t xml:space="preserve"> Gli </w:t>
      </w:r>
      <w:r w:rsidRPr="00DA2B27">
        <w:rPr>
          <w:rFonts w:ascii="Trebuchet MS" w:hAnsi="Trebuchet MS" w:cs="Calibri"/>
          <w:b/>
          <w:bCs/>
          <w:i/>
          <w:iCs/>
          <w:color w:val="000000"/>
          <w:sz w:val="12"/>
          <w:szCs w:val="12"/>
        </w:rPr>
        <w:t>Osservatori Digital Innovation della School of Management del Politecnico di Milano</w:t>
      </w:r>
      <w:r w:rsidRPr="00DA2B27">
        <w:rPr>
          <w:rFonts w:ascii="Trebuchet MS" w:hAnsi="Trebuchet MS" w:cs="Calibri"/>
          <w:i/>
          <w:iCs/>
          <w:color w:val="000000"/>
          <w:sz w:val="12"/>
          <w:szCs w:val="12"/>
        </w:rPr>
        <w:t xml:space="preserve">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w:t>
      </w:r>
      <w:r w:rsidRPr="00DA2B27">
        <w:rPr>
          <w:rFonts w:ascii="Trebuchet MS" w:hAnsi="Trebuchet MS" w:cs="Trebuchet MS"/>
          <w:i/>
          <w:iCs/>
          <w:color w:val="000000"/>
          <w:sz w:val="12"/>
          <w:szCs w:val="12"/>
        </w:rPr>
        <w:t>’</w:t>
      </w:r>
      <w:r w:rsidRPr="00DA2B27">
        <w:rPr>
          <w:rFonts w:ascii="Trebuchet MS" w:hAnsi="Trebuchet MS" w:cs="Calibri"/>
          <w:i/>
          <w:iCs/>
          <w:color w:val="000000"/>
          <w:sz w:val="12"/>
          <w:szCs w:val="12"/>
        </w:rPr>
        <w:t>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pre-competitivi e duraturi nel tempo, che aggregano la domanda e l’offerta di Innovazione Digitale in Italia. Le attività sono svolte da un team di oltre 100 tra professori, ricercatori e analisti impegnati su più di 40 differenti Osservatori che affrontano i temi chiave dell'Innovazione Digitale nelle Imprese (anche PMI) e nella Pubblica Amministrazione: 5G &amp; Beyond, Agenda Digitale, Artificial Intelligence, Big Data &amp; Business Analytics, Blockchain &amp; Distributed Ledger, Business Travel, Cloud Transformation, Cloud nella PA, Connected Car &amp; Mobility, Contract Logistics “Gino Marchet”, Cybersecurity &amp; Data Protection, Design Thinking for Business, Digital B2b, Digital Content, Digital Identity, Digital Procurement, Digital Transformation Academy, Droni, eCommerce B2c, eGovernment, Export Digitale, Fintech &amp; Insurtech, Food Sustainability, HR Innovation Practice, Innovative Payments, Innovazione Digitale in Sanità, Innovazione Digitale nei Beni e Attività Culturali, Innovazione Digitale nel Retail, Innovazione Digitale nel Turismo, Innovazione Digitale nelle PMI, Internet Media, Internet of Things, Mobile B2c Strategy, Multicanalità, Omnichannel Customer Experience, Professionisti e Innovazione Digitale, Quantum Technologies, Smart AgriFood, Smart Working, Space Economy, Startup Hi-tech, Startup Intelligence, Supply Chain Finance, Sustainable &amp; Digital Beauty, Tech Company - Innovazione del Canale ICT, Transizione Industria 4.0.</w:t>
      </w:r>
    </w:p>
    <w:sectPr w:rsidR="002323B2" w:rsidRPr="004B1770"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194A6" w14:textId="77777777" w:rsidR="00BF69E3" w:rsidRDefault="00BF69E3" w:rsidP="00323DE5">
      <w:r>
        <w:separator/>
      </w:r>
    </w:p>
  </w:endnote>
  <w:endnote w:type="continuationSeparator" w:id="0">
    <w:p w14:paraId="614F6074" w14:textId="77777777" w:rsidR="00BF69E3" w:rsidRDefault="00BF69E3"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altName w:val="﷽﷽﷽﷽﷽﷽﷽﷽"/>
    <w:charset w:val="4D"/>
    <w:family w:val="roman"/>
    <w:pitch w:val="variable"/>
    <w:sig w:usb0="A00002EF" w:usb1="5000204B" w:usb2="00000000" w:usb3="00000000" w:csb0="00000097" w:csb1="00000000"/>
  </w:font>
  <w:font w:name="Trebuchet MS">
    <w:altName w:val="﷽﷽﷽﷽﷽﷽﷽﷽t MS"/>
    <w:panose1 w:val="020B0603020202020204"/>
    <w:charset w:val="00"/>
    <w:family w:val="swiss"/>
    <w:pitch w:val="variable"/>
    <w:sig w:usb0="00000687" w:usb1="00000000" w:usb2="00000000" w:usb3="00000000" w:csb0="0000009F"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FA663E" w:rsidRDefault="00FA663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FA663E" w:rsidRDefault="00FA663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FA663E" w:rsidRDefault="00FA66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4C3B7" w14:textId="77777777" w:rsidR="00BF69E3" w:rsidRDefault="00BF69E3" w:rsidP="00323DE5">
      <w:r>
        <w:separator/>
      </w:r>
    </w:p>
  </w:footnote>
  <w:footnote w:type="continuationSeparator" w:id="0">
    <w:p w14:paraId="641EFD7E" w14:textId="77777777" w:rsidR="00BF69E3" w:rsidRDefault="00BF69E3"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FA663E" w:rsidRDefault="00FA663E">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FA663E" w:rsidRDefault="00FA663E">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FA663E" w:rsidRDefault="00FA66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80F08A5"/>
    <w:multiLevelType w:val="hybridMultilevel"/>
    <w:tmpl w:val="4A8424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FD"/>
    <w:rsid w:val="00002D42"/>
    <w:rsid w:val="00004B10"/>
    <w:rsid w:val="00005845"/>
    <w:rsid w:val="00006D36"/>
    <w:rsid w:val="0001080D"/>
    <w:rsid w:val="00010F1A"/>
    <w:rsid w:val="0001163B"/>
    <w:rsid w:val="00013408"/>
    <w:rsid w:val="000154B8"/>
    <w:rsid w:val="00016352"/>
    <w:rsid w:val="00021926"/>
    <w:rsid w:val="00022555"/>
    <w:rsid w:val="000238C6"/>
    <w:rsid w:val="00024638"/>
    <w:rsid w:val="000249EF"/>
    <w:rsid w:val="0002643C"/>
    <w:rsid w:val="00027625"/>
    <w:rsid w:val="00031B62"/>
    <w:rsid w:val="0003250D"/>
    <w:rsid w:val="00034D11"/>
    <w:rsid w:val="00035C34"/>
    <w:rsid w:val="00036BB7"/>
    <w:rsid w:val="00041ACF"/>
    <w:rsid w:val="00043347"/>
    <w:rsid w:val="00043E17"/>
    <w:rsid w:val="00044262"/>
    <w:rsid w:val="00045D2F"/>
    <w:rsid w:val="0004755A"/>
    <w:rsid w:val="0005082F"/>
    <w:rsid w:val="00051F4E"/>
    <w:rsid w:val="00053B7C"/>
    <w:rsid w:val="00054096"/>
    <w:rsid w:val="00055F94"/>
    <w:rsid w:val="000573E9"/>
    <w:rsid w:val="000605AE"/>
    <w:rsid w:val="000611B7"/>
    <w:rsid w:val="00066657"/>
    <w:rsid w:val="000669D1"/>
    <w:rsid w:val="00067DCE"/>
    <w:rsid w:val="00072A1F"/>
    <w:rsid w:val="00075290"/>
    <w:rsid w:val="00077D4B"/>
    <w:rsid w:val="00084EE4"/>
    <w:rsid w:val="00091A6F"/>
    <w:rsid w:val="00091F3F"/>
    <w:rsid w:val="0009599A"/>
    <w:rsid w:val="00097DC3"/>
    <w:rsid w:val="000A31BB"/>
    <w:rsid w:val="000A32F0"/>
    <w:rsid w:val="000A5E1D"/>
    <w:rsid w:val="000A69B3"/>
    <w:rsid w:val="000B4955"/>
    <w:rsid w:val="000B698B"/>
    <w:rsid w:val="000B7A6B"/>
    <w:rsid w:val="000C0685"/>
    <w:rsid w:val="000C0CA0"/>
    <w:rsid w:val="000C2226"/>
    <w:rsid w:val="000C5FE1"/>
    <w:rsid w:val="000D0E68"/>
    <w:rsid w:val="000D68E0"/>
    <w:rsid w:val="000E20F7"/>
    <w:rsid w:val="000E387E"/>
    <w:rsid w:val="000E4048"/>
    <w:rsid w:val="000E4DB8"/>
    <w:rsid w:val="000E534C"/>
    <w:rsid w:val="000F3391"/>
    <w:rsid w:val="000F436B"/>
    <w:rsid w:val="000F45E6"/>
    <w:rsid w:val="00101788"/>
    <w:rsid w:val="00101A14"/>
    <w:rsid w:val="00101D37"/>
    <w:rsid w:val="001020D3"/>
    <w:rsid w:val="00103E0F"/>
    <w:rsid w:val="00105816"/>
    <w:rsid w:val="00106FD6"/>
    <w:rsid w:val="0010711D"/>
    <w:rsid w:val="00107C74"/>
    <w:rsid w:val="001107A3"/>
    <w:rsid w:val="00120277"/>
    <w:rsid w:val="00120631"/>
    <w:rsid w:val="00120EAE"/>
    <w:rsid w:val="00121926"/>
    <w:rsid w:val="00122BC1"/>
    <w:rsid w:val="00127B81"/>
    <w:rsid w:val="00130CA0"/>
    <w:rsid w:val="00130D4A"/>
    <w:rsid w:val="00132798"/>
    <w:rsid w:val="00135C37"/>
    <w:rsid w:val="001425DB"/>
    <w:rsid w:val="00142F60"/>
    <w:rsid w:val="0014511E"/>
    <w:rsid w:val="00150597"/>
    <w:rsid w:val="00155140"/>
    <w:rsid w:val="00156CAA"/>
    <w:rsid w:val="00157679"/>
    <w:rsid w:val="001708C5"/>
    <w:rsid w:val="00170C84"/>
    <w:rsid w:val="00171B0B"/>
    <w:rsid w:val="00174E82"/>
    <w:rsid w:val="00183B13"/>
    <w:rsid w:val="001851C0"/>
    <w:rsid w:val="00186266"/>
    <w:rsid w:val="00192ED4"/>
    <w:rsid w:val="001962A9"/>
    <w:rsid w:val="001A1623"/>
    <w:rsid w:val="001C1CED"/>
    <w:rsid w:val="001C209B"/>
    <w:rsid w:val="001D0EBF"/>
    <w:rsid w:val="001D52A7"/>
    <w:rsid w:val="001D7769"/>
    <w:rsid w:val="001E02BE"/>
    <w:rsid w:val="001E4B0D"/>
    <w:rsid w:val="001E4F21"/>
    <w:rsid w:val="001E5D22"/>
    <w:rsid w:val="001E683D"/>
    <w:rsid w:val="001F3946"/>
    <w:rsid w:val="001F3999"/>
    <w:rsid w:val="00201996"/>
    <w:rsid w:val="002034EC"/>
    <w:rsid w:val="00205FDD"/>
    <w:rsid w:val="00212C60"/>
    <w:rsid w:val="002135CA"/>
    <w:rsid w:val="002174D8"/>
    <w:rsid w:val="00221076"/>
    <w:rsid w:val="0022212E"/>
    <w:rsid w:val="002323B2"/>
    <w:rsid w:val="002330DE"/>
    <w:rsid w:val="002339DC"/>
    <w:rsid w:val="0023436A"/>
    <w:rsid w:val="002428A4"/>
    <w:rsid w:val="00253D3D"/>
    <w:rsid w:val="00255A5C"/>
    <w:rsid w:val="00256E58"/>
    <w:rsid w:val="0025768D"/>
    <w:rsid w:val="002610C8"/>
    <w:rsid w:val="00265C86"/>
    <w:rsid w:val="002711C0"/>
    <w:rsid w:val="00274A3F"/>
    <w:rsid w:val="00276D84"/>
    <w:rsid w:val="0027768E"/>
    <w:rsid w:val="002848C4"/>
    <w:rsid w:val="00285F74"/>
    <w:rsid w:val="00290F4D"/>
    <w:rsid w:val="002926D7"/>
    <w:rsid w:val="00294A54"/>
    <w:rsid w:val="0029566B"/>
    <w:rsid w:val="00295AA0"/>
    <w:rsid w:val="002A18EC"/>
    <w:rsid w:val="002A33A3"/>
    <w:rsid w:val="002A3EB2"/>
    <w:rsid w:val="002A45C5"/>
    <w:rsid w:val="002A5462"/>
    <w:rsid w:val="002A6302"/>
    <w:rsid w:val="002A6519"/>
    <w:rsid w:val="002B1881"/>
    <w:rsid w:val="002B3A57"/>
    <w:rsid w:val="002B3BD6"/>
    <w:rsid w:val="002B5299"/>
    <w:rsid w:val="002B61E6"/>
    <w:rsid w:val="002B630C"/>
    <w:rsid w:val="002B795D"/>
    <w:rsid w:val="002C6798"/>
    <w:rsid w:val="002C69BC"/>
    <w:rsid w:val="002D3451"/>
    <w:rsid w:val="002D5601"/>
    <w:rsid w:val="002D5E26"/>
    <w:rsid w:val="002E0C93"/>
    <w:rsid w:val="002E2405"/>
    <w:rsid w:val="002E2A73"/>
    <w:rsid w:val="002E3408"/>
    <w:rsid w:val="002E5692"/>
    <w:rsid w:val="002E725C"/>
    <w:rsid w:val="002E7695"/>
    <w:rsid w:val="002E7CA7"/>
    <w:rsid w:val="002F019C"/>
    <w:rsid w:val="002F1BBA"/>
    <w:rsid w:val="002F25BF"/>
    <w:rsid w:val="002F78F6"/>
    <w:rsid w:val="00301788"/>
    <w:rsid w:val="00307176"/>
    <w:rsid w:val="00312C76"/>
    <w:rsid w:val="00312E59"/>
    <w:rsid w:val="00315758"/>
    <w:rsid w:val="00323DE5"/>
    <w:rsid w:val="003256A0"/>
    <w:rsid w:val="00331522"/>
    <w:rsid w:val="00331D30"/>
    <w:rsid w:val="00334EBB"/>
    <w:rsid w:val="00335837"/>
    <w:rsid w:val="003359DF"/>
    <w:rsid w:val="00336E0B"/>
    <w:rsid w:val="0033738B"/>
    <w:rsid w:val="003373FB"/>
    <w:rsid w:val="00344AE8"/>
    <w:rsid w:val="00347F18"/>
    <w:rsid w:val="00355447"/>
    <w:rsid w:val="003555FF"/>
    <w:rsid w:val="00356A23"/>
    <w:rsid w:val="00367033"/>
    <w:rsid w:val="00371948"/>
    <w:rsid w:val="00372BAE"/>
    <w:rsid w:val="003747E3"/>
    <w:rsid w:val="003778B4"/>
    <w:rsid w:val="003829AA"/>
    <w:rsid w:val="00383ECC"/>
    <w:rsid w:val="003849D2"/>
    <w:rsid w:val="003874AE"/>
    <w:rsid w:val="003918AC"/>
    <w:rsid w:val="0039479A"/>
    <w:rsid w:val="003A1DE9"/>
    <w:rsid w:val="003A212E"/>
    <w:rsid w:val="003A2D93"/>
    <w:rsid w:val="003A3D33"/>
    <w:rsid w:val="003A5794"/>
    <w:rsid w:val="003B25AC"/>
    <w:rsid w:val="003B4CD8"/>
    <w:rsid w:val="003B7326"/>
    <w:rsid w:val="003C11FE"/>
    <w:rsid w:val="003C3173"/>
    <w:rsid w:val="003C3B42"/>
    <w:rsid w:val="003C3B55"/>
    <w:rsid w:val="003C6152"/>
    <w:rsid w:val="003C6C9A"/>
    <w:rsid w:val="003C7587"/>
    <w:rsid w:val="003C7648"/>
    <w:rsid w:val="003C78FD"/>
    <w:rsid w:val="003C7FD4"/>
    <w:rsid w:val="003D0CEC"/>
    <w:rsid w:val="003D0DC9"/>
    <w:rsid w:val="003D3641"/>
    <w:rsid w:val="003D3E83"/>
    <w:rsid w:val="003D3FEE"/>
    <w:rsid w:val="003E0088"/>
    <w:rsid w:val="003E3C5D"/>
    <w:rsid w:val="003E795E"/>
    <w:rsid w:val="003F5E2E"/>
    <w:rsid w:val="003F6FBA"/>
    <w:rsid w:val="00400B7C"/>
    <w:rsid w:val="00406483"/>
    <w:rsid w:val="004107B3"/>
    <w:rsid w:val="0042036C"/>
    <w:rsid w:val="00422DA6"/>
    <w:rsid w:val="00425FFD"/>
    <w:rsid w:val="00426B91"/>
    <w:rsid w:val="00430947"/>
    <w:rsid w:val="00431E97"/>
    <w:rsid w:val="00432413"/>
    <w:rsid w:val="00434499"/>
    <w:rsid w:val="00437168"/>
    <w:rsid w:val="00441F25"/>
    <w:rsid w:val="00442C02"/>
    <w:rsid w:val="00443DD8"/>
    <w:rsid w:val="0044455B"/>
    <w:rsid w:val="00450854"/>
    <w:rsid w:val="00450ECA"/>
    <w:rsid w:val="00452B3E"/>
    <w:rsid w:val="00452E8E"/>
    <w:rsid w:val="00460C1A"/>
    <w:rsid w:val="0047184E"/>
    <w:rsid w:val="00472A2F"/>
    <w:rsid w:val="00475ED7"/>
    <w:rsid w:val="004770B0"/>
    <w:rsid w:val="00482D9C"/>
    <w:rsid w:val="00483121"/>
    <w:rsid w:val="004832CF"/>
    <w:rsid w:val="00484204"/>
    <w:rsid w:val="004855BF"/>
    <w:rsid w:val="00485A7F"/>
    <w:rsid w:val="00485AA1"/>
    <w:rsid w:val="004866CD"/>
    <w:rsid w:val="00487181"/>
    <w:rsid w:val="00487C8A"/>
    <w:rsid w:val="00493AC4"/>
    <w:rsid w:val="00497222"/>
    <w:rsid w:val="00497C34"/>
    <w:rsid w:val="004A0068"/>
    <w:rsid w:val="004A6782"/>
    <w:rsid w:val="004A7C3E"/>
    <w:rsid w:val="004B1770"/>
    <w:rsid w:val="004B3AFC"/>
    <w:rsid w:val="004B3C07"/>
    <w:rsid w:val="004B4A71"/>
    <w:rsid w:val="004B51ED"/>
    <w:rsid w:val="004B63DB"/>
    <w:rsid w:val="004B732A"/>
    <w:rsid w:val="004B7D1E"/>
    <w:rsid w:val="004C2256"/>
    <w:rsid w:val="004C2D95"/>
    <w:rsid w:val="004C35C6"/>
    <w:rsid w:val="004C727B"/>
    <w:rsid w:val="004D169B"/>
    <w:rsid w:val="004D2F80"/>
    <w:rsid w:val="004E1F20"/>
    <w:rsid w:val="004E337E"/>
    <w:rsid w:val="004F044F"/>
    <w:rsid w:val="004F6576"/>
    <w:rsid w:val="004F6D22"/>
    <w:rsid w:val="0050440F"/>
    <w:rsid w:val="00507C38"/>
    <w:rsid w:val="005106C1"/>
    <w:rsid w:val="00511830"/>
    <w:rsid w:val="00514536"/>
    <w:rsid w:val="00516828"/>
    <w:rsid w:val="005168AA"/>
    <w:rsid w:val="0052164F"/>
    <w:rsid w:val="0052309F"/>
    <w:rsid w:val="005254D1"/>
    <w:rsid w:val="005256C8"/>
    <w:rsid w:val="00531192"/>
    <w:rsid w:val="00531F43"/>
    <w:rsid w:val="00533ACE"/>
    <w:rsid w:val="00541616"/>
    <w:rsid w:val="00543924"/>
    <w:rsid w:val="00543F52"/>
    <w:rsid w:val="00544F64"/>
    <w:rsid w:val="005468E2"/>
    <w:rsid w:val="00551478"/>
    <w:rsid w:val="005515B9"/>
    <w:rsid w:val="005523E0"/>
    <w:rsid w:val="00552B31"/>
    <w:rsid w:val="00553919"/>
    <w:rsid w:val="00557B25"/>
    <w:rsid w:val="005613FB"/>
    <w:rsid w:val="00565FD8"/>
    <w:rsid w:val="00566FFE"/>
    <w:rsid w:val="00571FF2"/>
    <w:rsid w:val="00572BB1"/>
    <w:rsid w:val="00580758"/>
    <w:rsid w:val="0058333D"/>
    <w:rsid w:val="005845E8"/>
    <w:rsid w:val="0058567A"/>
    <w:rsid w:val="005918D8"/>
    <w:rsid w:val="00592CB9"/>
    <w:rsid w:val="005942D5"/>
    <w:rsid w:val="005A655E"/>
    <w:rsid w:val="005B0EC7"/>
    <w:rsid w:val="005B16B9"/>
    <w:rsid w:val="005B2D75"/>
    <w:rsid w:val="005B6A45"/>
    <w:rsid w:val="005C1642"/>
    <w:rsid w:val="005C182D"/>
    <w:rsid w:val="005C2C05"/>
    <w:rsid w:val="005C36A6"/>
    <w:rsid w:val="005C7CD7"/>
    <w:rsid w:val="005C7E8B"/>
    <w:rsid w:val="005D1B19"/>
    <w:rsid w:val="005D734D"/>
    <w:rsid w:val="005E123E"/>
    <w:rsid w:val="005E23D6"/>
    <w:rsid w:val="005E6923"/>
    <w:rsid w:val="005F07B7"/>
    <w:rsid w:val="005F0D55"/>
    <w:rsid w:val="005F17D9"/>
    <w:rsid w:val="005F2627"/>
    <w:rsid w:val="005F3637"/>
    <w:rsid w:val="005F5487"/>
    <w:rsid w:val="00601074"/>
    <w:rsid w:val="006014E4"/>
    <w:rsid w:val="006025D6"/>
    <w:rsid w:val="006038AC"/>
    <w:rsid w:val="00605B48"/>
    <w:rsid w:val="006076E5"/>
    <w:rsid w:val="0061170E"/>
    <w:rsid w:val="006140BC"/>
    <w:rsid w:val="006217C1"/>
    <w:rsid w:val="00624474"/>
    <w:rsid w:val="00625620"/>
    <w:rsid w:val="0062697A"/>
    <w:rsid w:val="0063003F"/>
    <w:rsid w:val="0063013D"/>
    <w:rsid w:val="00630C3F"/>
    <w:rsid w:val="00637535"/>
    <w:rsid w:val="00637BAA"/>
    <w:rsid w:val="0064099C"/>
    <w:rsid w:val="00641BD5"/>
    <w:rsid w:val="00643AC9"/>
    <w:rsid w:val="00643FC6"/>
    <w:rsid w:val="00646B8C"/>
    <w:rsid w:val="006515DE"/>
    <w:rsid w:val="00653128"/>
    <w:rsid w:val="00663B02"/>
    <w:rsid w:val="006640C7"/>
    <w:rsid w:val="0066666B"/>
    <w:rsid w:val="006747C0"/>
    <w:rsid w:val="00676B38"/>
    <w:rsid w:val="006834C1"/>
    <w:rsid w:val="00683522"/>
    <w:rsid w:val="006861C6"/>
    <w:rsid w:val="00687868"/>
    <w:rsid w:val="00687F59"/>
    <w:rsid w:val="006A18A9"/>
    <w:rsid w:val="006A2834"/>
    <w:rsid w:val="006A4AC3"/>
    <w:rsid w:val="006A4CE2"/>
    <w:rsid w:val="006B36E9"/>
    <w:rsid w:val="006B7978"/>
    <w:rsid w:val="006B7B59"/>
    <w:rsid w:val="006C7E9C"/>
    <w:rsid w:val="006D1345"/>
    <w:rsid w:val="006D20DC"/>
    <w:rsid w:val="006D6FB0"/>
    <w:rsid w:val="006E4929"/>
    <w:rsid w:val="006E5C0F"/>
    <w:rsid w:val="006E7F4A"/>
    <w:rsid w:val="006F1483"/>
    <w:rsid w:val="006F22B4"/>
    <w:rsid w:val="006F34BE"/>
    <w:rsid w:val="006F3CE9"/>
    <w:rsid w:val="006F5820"/>
    <w:rsid w:val="00700D33"/>
    <w:rsid w:val="00704FCC"/>
    <w:rsid w:val="00712D06"/>
    <w:rsid w:val="00712E3E"/>
    <w:rsid w:val="0071339F"/>
    <w:rsid w:val="00714892"/>
    <w:rsid w:val="00717545"/>
    <w:rsid w:val="00720291"/>
    <w:rsid w:val="00725505"/>
    <w:rsid w:val="007259EA"/>
    <w:rsid w:val="00727A70"/>
    <w:rsid w:val="00730B46"/>
    <w:rsid w:val="00730EA6"/>
    <w:rsid w:val="0073485D"/>
    <w:rsid w:val="00734C54"/>
    <w:rsid w:val="007367C0"/>
    <w:rsid w:val="00740A71"/>
    <w:rsid w:val="0074243E"/>
    <w:rsid w:val="00742898"/>
    <w:rsid w:val="0075177B"/>
    <w:rsid w:val="00752A98"/>
    <w:rsid w:val="00755067"/>
    <w:rsid w:val="007562B9"/>
    <w:rsid w:val="007570E1"/>
    <w:rsid w:val="00760EDB"/>
    <w:rsid w:val="00763005"/>
    <w:rsid w:val="00763226"/>
    <w:rsid w:val="00763AB3"/>
    <w:rsid w:val="007717BE"/>
    <w:rsid w:val="00771857"/>
    <w:rsid w:val="00774DD0"/>
    <w:rsid w:val="007854A5"/>
    <w:rsid w:val="00786885"/>
    <w:rsid w:val="00790CD0"/>
    <w:rsid w:val="007934E3"/>
    <w:rsid w:val="007950F0"/>
    <w:rsid w:val="00797346"/>
    <w:rsid w:val="007A5C8E"/>
    <w:rsid w:val="007B0E88"/>
    <w:rsid w:val="007B2154"/>
    <w:rsid w:val="007C0A62"/>
    <w:rsid w:val="007C20BE"/>
    <w:rsid w:val="007C29F5"/>
    <w:rsid w:val="007C4CF3"/>
    <w:rsid w:val="007C590E"/>
    <w:rsid w:val="007C62A9"/>
    <w:rsid w:val="007D315D"/>
    <w:rsid w:val="007D44AF"/>
    <w:rsid w:val="007D72C5"/>
    <w:rsid w:val="007E3873"/>
    <w:rsid w:val="007E56BE"/>
    <w:rsid w:val="007E56C2"/>
    <w:rsid w:val="007E6788"/>
    <w:rsid w:val="007E7324"/>
    <w:rsid w:val="007E738C"/>
    <w:rsid w:val="007F18BA"/>
    <w:rsid w:val="007F2916"/>
    <w:rsid w:val="007F2967"/>
    <w:rsid w:val="007F3582"/>
    <w:rsid w:val="007F7212"/>
    <w:rsid w:val="008058F8"/>
    <w:rsid w:val="0081053C"/>
    <w:rsid w:val="0081092D"/>
    <w:rsid w:val="00814645"/>
    <w:rsid w:val="00814BAA"/>
    <w:rsid w:val="00816E17"/>
    <w:rsid w:val="00820A0F"/>
    <w:rsid w:val="0082649F"/>
    <w:rsid w:val="00830249"/>
    <w:rsid w:val="00830B60"/>
    <w:rsid w:val="0083235A"/>
    <w:rsid w:val="0083252C"/>
    <w:rsid w:val="00833D08"/>
    <w:rsid w:val="008342FA"/>
    <w:rsid w:val="00834550"/>
    <w:rsid w:val="0083541F"/>
    <w:rsid w:val="00842490"/>
    <w:rsid w:val="00853790"/>
    <w:rsid w:val="00857402"/>
    <w:rsid w:val="00861B18"/>
    <w:rsid w:val="008650EB"/>
    <w:rsid w:val="008657CD"/>
    <w:rsid w:val="00865D1D"/>
    <w:rsid w:val="00865EAE"/>
    <w:rsid w:val="008707FE"/>
    <w:rsid w:val="00871D77"/>
    <w:rsid w:val="0087452F"/>
    <w:rsid w:val="00875981"/>
    <w:rsid w:val="00875FDF"/>
    <w:rsid w:val="00877592"/>
    <w:rsid w:val="0088152B"/>
    <w:rsid w:val="0088621A"/>
    <w:rsid w:val="00886E03"/>
    <w:rsid w:val="00886F6B"/>
    <w:rsid w:val="008A144D"/>
    <w:rsid w:val="008A2912"/>
    <w:rsid w:val="008A3890"/>
    <w:rsid w:val="008B44F0"/>
    <w:rsid w:val="008B59CE"/>
    <w:rsid w:val="008C0E36"/>
    <w:rsid w:val="008C3E3E"/>
    <w:rsid w:val="008C44EF"/>
    <w:rsid w:val="008C7901"/>
    <w:rsid w:val="008D3CF6"/>
    <w:rsid w:val="008D402F"/>
    <w:rsid w:val="008E2574"/>
    <w:rsid w:val="008E60B2"/>
    <w:rsid w:val="008E656A"/>
    <w:rsid w:val="008E70D8"/>
    <w:rsid w:val="008E7DAA"/>
    <w:rsid w:val="008F0193"/>
    <w:rsid w:val="008F094A"/>
    <w:rsid w:val="008F2B76"/>
    <w:rsid w:val="008F4DB6"/>
    <w:rsid w:val="008F6F18"/>
    <w:rsid w:val="0090003D"/>
    <w:rsid w:val="009033F9"/>
    <w:rsid w:val="00903D43"/>
    <w:rsid w:val="009042D4"/>
    <w:rsid w:val="00905943"/>
    <w:rsid w:val="00906E09"/>
    <w:rsid w:val="009077AA"/>
    <w:rsid w:val="00907D2A"/>
    <w:rsid w:val="00912768"/>
    <w:rsid w:val="00920639"/>
    <w:rsid w:val="00921085"/>
    <w:rsid w:val="009243CF"/>
    <w:rsid w:val="00930BDF"/>
    <w:rsid w:val="0093278B"/>
    <w:rsid w:val="00936822"/>
    <w:rsid w:val="00946E5F"/>
    <w:rsid w:val="00950429"/>
    <w:rsid w:val="00951EAC"/>
    <w:rsid w:val="0095308F"/>
    <w:rsid w:val="00953FAB"/>
    <w:rsid w:val="0095441A"/>
    <w:rsid w:val="009545EB"/>
    <w:rsid w:val="00955C79"/>
    <w:rsid w:val="00955E45"/>
    <w:rsid w:val="00965763"/>
    <w:rsid w:val="00966A03"/>
    <w:rsid w:val="00970BB6"/>
    <w:rsid w:val="00970F0B"/>
    <w:rsid w:val="00974082"/>
    <w:rsid w:val="00974E9A"/>
    <w:rsid w:val="00975C33"/>
    <w:rsid w:val="00980AD3"/>
    <w:rsid w:val="009833BF"/>
    <w:rsid w:val="00983A81"/>
    <w:rsid w:val="00985FF6"/>
    <w:rsid w:val="00986B7F"/>
    <w:rsid w:val="00996068"/>
    <w:rsid w:val="0099626E"/>
    <w:rsid w:val="00997E03"/>
    <w:rsid w:val="009A19D2"/>
    <w:rsid w:val="009A21BB"/>
    <w:rsid w:val="009A730B"/>
    <w:rsid w:val="009B09A7"/>
    <w:rsid w:val="009B4D0E"/>
    <w:rsid w:val="009B5351"/>
    <w:rsid w:val="009B6D5E"/>
    <w:rsid w:val="009C06A6"/>
    <w:rsid w:val="009C3A9C"/>
    <w:rsid w:val="009C4D2F"/>
    <w:rsid w:val="009C7900"/>
    <w:rsid w:val="009D20F8"/>
    <w:rsid w:val="009D306F"/>
    <w:rsid w:val="009D3A9F"/>
    <w:rsid w:val="009E1419"/>
    <w:rsid w:val="009E5D94"/>
    <w:rsid w:val="009F1D2A"/>
    <w:rsid w:val="009F2E17"/>
    <w:rsid w:val="009F38E2"/>
    <w:rsid w:val="009F53FC"/>
    <w:rsid w:val="009F75BC"/>
    <w:rsid w:val="00A00B41"/>
    <w:rsid w:val="00A0386A"/>
    <w:rsid w:val="00A07DDB"/>
    <w:rsid w:val="00A111CE"/>
    <w:rsid w:val="00A12B07"/>
    <w:rsid w:val="00A13034"/>
    <w:rsid w:val="00A16107"/>
    <w:rsid w:val="00A173F8"/>
    <w:rsid w:val="00A17ED4"/>
    <w:rsid w:val="00A23563"/>
    <w:rsid w:val="00A2380C"/>
    <w:rsid w:val="00A3045C"/>
    <w:rsid w:val="00A32342"/>
    <w:rsid w:val="00A37E51"/>
    <w:rsid w:val="00A42A40"/>
    <w:rsid w:val="00A44061"/>
    <w:rsid w:val="00A452AD"/>
    <w:rsid w:val="00A479AF"/>
    <w:rsid w:val="00A5023A"/>
    <w:rsid w:val="00A528E8"/>
    <w:rsid w:val="00A54008"/>
    <w:rsid w:val="00A56A97"/>
    <w:rsid w:val="00A606F2"/>
    <w:rsid w:val="00A63E4F"/>
    <w:rsid w:val="00A63FC5"/>
    <w:rsid w:val="00A77BB6"/>
    <w:rsid w:val="00A77DBE"/>
    <w:rsid w:val="00A974EF"/>
    <w:rsid w:val="00AA3CDE"/>
    <w:rsid w:val="00AA4F6C"/>
    <w:rsid w:val="00AB23CA"/>
    <w:rsid w:val="00AB30F0"/>
    <w:rsid w:val="00AB441E"/>
    <w:rsid w:val="00AB4EAC"/>
    <w:rsid w:val="00AB7428"/>
    <w:rsid w:val="00AC123A"/>
    <w:rsid w:val="00AC1F74"/>
    <w:rsid w:val="00AC52B4"/>
    <w:rsid w:val="00AC71BC"/>
    <w:rsid w:val="00AC7E89"/>
    <w:rsid w:val="00AD06DA"/>
    <w:rsid w:val="00AD665A"/>
    <w:rsid w:val="00AD673A"/>
    <w:rsid w:val="00AE3D1D"/>
    <w:rsid w:val="00AE509B"/>
    <w:rsid w:val="00AE5859"/>
    <w:rsid w:val="00AE77DA"/>
    <w:rsid w:val="00AE7858"/>
    <w:rsid w:val="00AF0D42"/>
    <w:rsid w:val="00AF4BB9"/>
    <w:rsid w:val="00AF5565"/>
    <w:rsid w:val="00AF5BDB"/>
    <w:rsid w:val="00AF7F08"/>
    <w:rsid w:val="00B02C95"/>
    <w:rsid w:val="00B04D8C"/>
    <w:rsid w:val="00B05A9A"/>
    <w:rsid w:val="00B05C0B"/>
    <w:rsid w:val="00B05EBE"/>
    <w:rsid w:val="00B07CD5"/>
    <w:rsid w:val="00B15DA8"/>
    <w:rsid w:val="00B202F1"/>
    <w:rsid w:val="00B21E76"/>
    <w:rsid w:val="00B221BE"/>
    <w:rsid w:val="00B31DD0"/>
    <w:rsid w:val="00B3476E"/>
    <w:rsid w:val="00B35C89"/>
    <w:rsid w:val="00B40411"/>
    <w:rsid w:val="00B41181"/>
    <w:rsid w:val="00B4145F"/>
    <w:rsid w:val="00B42860"/>
    <w:rsid w:val="00B45748"/>
    <w:rsid w:val="00B46B5A"/>
    <w:rsid w:val="00B47556"/>
    <w:rsid w:val="00B501A5"/>
    <w:rsid w:val="00B51CF1"/>
    <w:rsid w:val="00B56878"/>
    <w:rsid w:val="00B5707B"/>
    <w:rsid w:val="00B57253"/>
    <w:rsid w:val="00B57625"/>
    <w:rsid w:val="00B6009D"/>
    <w:rsid w:val="00B61D68"/>
    <w:rsid w:val="00B66501"/>
    <w:rsid w:val="00B70589"/>
    <w:rsid w:val="00B776C0"/>
    <w:rsid w:val="00B80BC5"/>
    <w:rsid w:val="00B823D0"/>
    <w:rsid w:val="00B9011D"/>
    <w:rsid w:val="00B935F7"/>
    <w:rsid w:val="00B96753"/>
    <w:rsid w:val="00BA0A9C"/>
    <w:rsid w:val="00BA14DF"/>
    <w:rsid w:val="00BA2D40"/>
    <w:rsid w:val="00BA2F3B"/>
    <w:rsid w:val="00BA5BFB"/>
    <w:rsid w:val="00BA62B8"/>
    <w:rsid w:val="00BA7D2A"/>
    <w:rsid w:val="00BB2535"/>
    <w:rsid w:val="00BB533F"/>
    <w:rsid w:val="00BB7273"/>
    <w:rsid w:val="00BC6059"/>
    <w:rsid w:val="00BD0133"/>
    <w:rsid w:val="00BD4972"/>
    <w:rsid w:val="00BD6CCC"/>
    <w:rsid w:val="00BE6761"/>
    <w:rsid w:val="00BE7E4A"/>
    <w:rsid w:val="00BF349D"/>
    <w:rsid w:val="00BF573D"/>
    <w:rsid w:val="00BF686D"/>
    <w:rsid w:val="00BF69E3"/>
    <w:rsid w:val="00BF6E9D"/>
    <w:rsid w:val="00C03EC7"/>
    <w:rsid w:val="00C04571"/>
    <w:rsid w:val="00C13300"/>
    <w:rsid w:val="00C200A3"/>
    <w:rsid w:val="00C20427"/>
    <w:rsid w:val="00C25297"/>
    <w:rsid w:val="00C267DB"/>
    <w:rsid w:val="00C27068"/>
    <w:rsid w:val="00C35C3B"/>
    <w:rsid w:val="00C37FCF"/>
    <w:rsid w:val="00C409E7"/>
    <w:rsid w:val="00C47FBD"/>
    <w:rsid w:val="00C5165E"/>
    <w:rsid w:val="00C53AFA"/>
    <w:rsid w:val="00C560F1"/>
    <w:rsid w:val="00C57324"/>
    <w:rsid w:val="00C6465C"/>
    <w:rsid w:val="00C65529"/>
    <w:rsid w:val="00C659F4"/>
    <w:rsid w:val="00C72B53"/>
    <w:rsid w:val="00C75B58"/>
    <w:rsid w:val="00C76E2D"/>
    <w:rsid w:val="00C85168"/>
    <w:rsid w:val="00CA099A"/>
    <w:rsid w:val="00CA0D92"/>
    <w:rsid w:val="00CA185C"/>
    <w:rsid w:val="00CA2F94"/>
    <w:rsid w:val="00CA31B9"/>
    <w:rsid w:val="00CA34A1"/>
    <w:rsid w:val="00CA66E6"/>
    <w:rsid w:val="00CA7B2A"/>
    <w:rsid w:val="00CB02C6"/>
    <w:rsid w:val="00CB058F"/>
    <w:rsid w:val="00CB08AB"/>
    <w:rsid w:val="00CB2957"/>
    <w:rsid w:val="00CC0751"/>
    <w:rsid w:val="00CC32FA"/>
    <w:rsid w:val="00CC7296"/>
    <w:rsid w:val="00CD42CE"/>
    <w:rsid w:val="00CD65D3"/>
    <w:rsid w:val="00CD7812"/>
    <w:rsid w:val="00CE3779"/>
    <w:rsid w:val="00CE3AF1"/>
    <w:rsid w:val="00CE414F"/>
    <w:rsid w:val="00CE4622"/>
    <w:rsid w:val="00CE6360"/>
    <w:rsid w:val="00CE6E1F"/>
    <w:rsid w:val="00CF3049"/>
    <w:rsid w:val="00D01F01"/>
    <w:rsid w:val="00D064AD"/>
    <w:rsid w:val="00D07BDF"/>
    <w:rsid w:val="00D15851"/>
    <w:rsid w:val="00D15BE4"/>
    <w:rsid w:val="00D21310"/>
    <w:rsid w:val="00D222E4"/>
    <w:rsid w:val="00D25ADE"/>
    <w:rsid w:val="00D2720D"/>
    <w:rsid w:val="00D30F30"/>
    <w:rsid w:val="00D30FD5"/>
    <w:rsid w:val="00D3691F"/>
    <w:rsid w:val="00D4424D"/>
    <w:rsid w:val="00D44D5F"/>
    <w:rsid w:val="00D44E71"/>
    <w:rsid w:val="00D45288"/>
    <w:rsid w:val="00D473EA"/>
    <w:rsid w:val="00D51F4B"/>
    <w:rsid w:val="00D558CA"/>
    <w:rsid w:val="00D576BD"/>
    <w:rsid w:val="00D63242"/>
    <w:rsid w:val="00D66382"/>
    <w:rsid w:val="00D72B21"/>
    <w:rsid w:val="00D72D8B"/>
    <w:rsid w:val="00D762EE"/>
    <w:rsid w:val="00D80BC3"/>
    <w:rsid w:val="00D824B5"/>
    <w:rsid w:val="00D8414B"/>
    <w:rsid w:val="00D86585"/>
    <w:rsid w:val="00D86697"/>
    <w:rsid w:val="00D952D4"/>
    <w:rsid w:val="00DA2B27"/>
    <w:rsid w:val="00DA2E50"/>
    <w:rsid w:val="00DA4327"/>
    <w:rsid w:val="00DA6807"/>
    <w:rsid w:val="00DB2157"/>
    <w:rsid w:val="00DB2DE9"/>
    <w:rsid w:val="00DB3335"/>
    <w:rsid w:val="00DB5141"/>
    <w:rsid w:val="00DB7B00"/>
    <w:rsid w:val="00DC04F8"/>
    <w:rsid w:val="00DC626E"/>
    <w:rsid w:val="00DD2D68"/>
    <w:rsid w:val="00DD2F05"/>
    <w:rsid w:val="00DD7F67"/>
    <w:rsid w:val="00DE08FE"/>
    <w:rsid w:val="00DE367F"/>
    <w:rsid w:val="00DE3A11"/>
    <w:rsid w:val="00DE7788"/>
    <w:rsid w:val="00DF1C9A"/>
    <w:rsid w:val="00DF310F"/>
    <w:rsid w:val="00DF37B0"/>
    <w:rsid w:val="00DF4CE5"/>
    <w:rsid w:val="00E027D9"/>
    <w:rsid w:val="00E0532D"/>
    <w:rsid w:val="00E0607C"/>
    <w:rsid w:val="00E06BA7"/>
    <w:rsid w:val="00E114D5"/>
    <w:rsid w:val="00E14D97"/>
    <w:rsid w:val="00E15F29"/>
    <w:rsid w:val="00E1652B"/>
    <w:rsid w:val="00E202F0"/>
    <w:rsid w:val="00E23052"/>
    <w:rsid w:val="00E23B6D"/>
    <w:rsid w:val="00E302BB"/>
    <w:rsid w:val="00E3035A"/>
    <w:rsid w:val="00E30A2A"/>
    <w:rsid w:val="00E415F4"/>
    <w:rsid w:val="00E4202B"/>
    <w:rsid w:val="00E4392B"/>
    <w:rsid w:val="00E453CF"/>
    <w:rsid w:val="00E52FC7"/>
    <w:rsid w:val="00E530E9"/>
    <w:rsid w:val="00E55FB3"/>
    <w:rsid w:val="00E61A55"/>
    <w:rsid w:val="00E64661"/>
    <w:rsid w:val="00E657A6"/>
    <w:rsid w:val="00E705BF"/>
    <w:rsid w:val="00E720F4"/>
    <w:rsid w:val="00E73CC9"/>
    <w:rsid w:val="00E74A1F"/>
    <w:rsid w:val="00E77B97"/>
    <w:rsid w:val="00E8200C"/>
    <w:rsid w:val="00E831E1"/>
    <w:rsid w:val="00E839D0"/>
    <w:rsid w:val="00E83B2D"/>
    <w:rsid w:val="00EA1A72"/>
    <w:rsid w:val="00EA3016"/>
    <w:rsid w:val="00EA485A"/>
    <w:rsid w:val="00EA4DE0"/>
    <w:rsid w:val="00EA5A90"/>
    <w:rsid w:val="00EA5AD5"/>
    <w:rsid w:val="00EA7248"/>
    <w:rsid w:val="00EB293F"/>
    <w:rsid w:val="00EB3B18"/>
    <w:rsid w:val="00EB48E2"/>
    <w:rsid w:val="00EC3790"/>
    <w:rsid w:val="00EC4D9F"/>
    <w:rsid w:val="00EC4F3E"/>
    <w:rsid w:val="00EC6D3E"/>
    <w:rsid w:val="00ED0078"/>
    <w:rsid w:val="00ED0E8B"/>
    <w:rsid w:val="00ED56E4"/>
    <w:rsid w:val="00EF26FA"/>
    <w:rsid w:val="00EF36CB"/>
    <w:rsid w:val="00EF37E6"/>
    <w:rsid w:val="00EF4E88"/>
    <w:rsid w:val="00EF7077"/>
    <w:rsid w:val="00EF74ED"/>
    <w:rsid w:val="00F0595C"/>
    <w:rsid w:val="00F062E0"/>
    <w:rsid w:val="00F06F3C"/>
    <w:rsid w:val="00F0718B"/>
    <w:rsid w:val="00F07904"/>
    <w:rsid w:val="00F14779"/>
    <w:rsid w:val="00F27182"/>
    <w:rsid w:val="00F322AF"/>
    <w:rsid w:val="00F433E0"/>
    <w:rsid w:val="00F43933"/>
    <w:rsid w:val="00F4395A"/>
    <w:rsid w:val="00F451F8"/>
    <w:rsid w:val="00F51C66"/>
    <w:rsid w:val="00F51FF4"/>
    <w:rsid w:val="00F52659"/>
    <w:rsid w:val="00F54C83"/>
    <w:rsid w:val="00F562C8"/>
    <w:rsid w:val="00F57ED3"/>
    <w:rsid w:val="00F61B2F"/>
    <w:rsid w:val="00F6397C"/>
    <w:rsid w:val="00F6567B"/>
    <w:rsid w:val="00F66434"/>
    <w:rsid w:val="00F66AB6"/>
    <w:rsid w:val="00F723C3"/>
    <w:rsid w:val="00F73B4E"/>
    <w:rsid w:val="00F741DF"/>
    <w:rsid w:val="00F75106"/>
    <w:rsid w:val="00F766B2"/>
    <w:rsid w:val="00F76C2A"/>
    <w:rsid w:val="00F77A40"/>
    <w:rsid w:val="00F77D50"/>
    <w:rsid w:val="00F82B59"/>
    <w:rsid w:val="00F84F3F"/>
    <w:rsid w:val="00F914D7"/>
    <w:rsid w:val="00F95551"/>
    <w:rsid w:val="00F965AC"/>
    <w:rsid w:val="00FA663E"/>
    <w:rsid w:val="00FA69CC"/>
    <w:rsid w:val="00FB2BE0"/>
    <w:rsid w:val="00FB5F55"/>
    <w:rsid w:val="00FB7DC2"/>
    <w:rsid w:val="00FC3E2A"/>
    <w:rsid w:val="00FC4DF7"/>
    <w:rsid w:val="00FD158E"/>
    <w:rsid w:val="00FD1652"/>
    <w:rsid w:val="00FD6D6E"/>
    <w:rsid w:val="00FE3DFD"/>
    <w:rsid w:val="00FF05BE"/>
    <w:rsid w:val="00FF0929"/>
    <w:rsid w:val="00FF12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uiPriority w:val="20"/>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
    <w:name w:val="Comment Subject"/>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unhideWhenUsed/>
    <w:qFormat/>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basedOn w:val="Normale"/>
    <w:uiPriority w:val="34"/>
    <w:qFormat/>
    <w:rsid w:val="00974082"/>
    <w:pPr>
      <w:ind w:left="720"/>
      <w:contextualSpacing/>
    </w:pPr>
  </w:style>
  <w:style w:type="character" w:styleId="Menzionenonrisolta">
    <w:name w:val="Unresolved Mention"/>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1369">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91907">
      <w:bodyDiv w:val="1"/>
      <w:marLeft w:val="0"/>
      <w:marRight w:val="0"/>
      <w:marTop w:val="0"/>
      <w:marBottom w:val="0"/>
      <w:divBdr>
        <w:top w:val="none" w:sz="0" w:space="0" w:color="auto"/>
        <w:left w:val="none" w:sz="0" w:space="0" w:color="auto"/>
        <w:bottom w:val="none" w:sz="0" w:space="0" w:color="auto"/>
        <w:right w:val="none" w:sz="0" w:space="0" w:color="auto"/>
      </w:divBdr>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68650">
      <w:bodyDiv w:val="1"/>
      <w:marLeft w:val="0"/>
      <w:marRight w:val="0"/>
      <w:marTop w:val="0"/>
      <w:marBottom w:val="0"/>
      <w:divBdr>
        <w:top w:val="none" w:sz="0" w:space="0" w:color="auto"/>
        <w:left w:val="none" w:sz="0" w:space="0" w:color="auto"/>
        <w:bottom w:val="none" w:sz="0" w:space="0" w:color="auto"/>
        <w:right w:val="none" w:sz="0" w:space="0" w:color="auto"/>
      </w:divBdr>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162889">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010008">
      <w:bodyDiv w:val="1"/>
      <w:marLeft w:val="0"/>
      <w:marRight w:val="0"/>
      <w:marTop w:val="0"/>
      <w:marBottom w:val="0"/>
      <w:divBdr>
        <w:top w:val="none" w:sz="0" w:space="0" w:color="auto"/>
        <w:left w:val="none" w:sz="0" w:space="0" w:color="auto"/>
        <w:bottom w:val="none" w:sz="0" w:space="0" w:color="auto"/>
        <w:right w:val="none" w:sz="0" w:space="0" w:color="auto"/>
      </w:divBdr>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5251">
      <w:bodyDiv w:val="1"/>
      <w:marLeft w:val="0"/>
      <w:marRight w:val="0"/>
      <w:marTop w:val="0"/>
      <w:marBottom w:val="0"/>
      <w:divBdr>
        <w:top w:val="none" w:sz="0" w:space="0" w:color="auto"/>
        <w:left w:val="none" w:sz="0" w:space="0" w:color="auto"/>
        <w:bottom w:val="none" w:sz="0" w:space="0" w:color="auto"/>
        <w:right w:val="none" w:sz="0" w:space="0" w:color="auto"/>
      </w:divBdr>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1337247">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4624">
      <w:bodyDiv w:val="1"/>
      <w:marLeft w:val="0"/>
      <w:marRight w:val="0"/>
      <w:marTop w:val="0"/>
      <w:marBottom w:val="0"/>
      <w:divBdr>
        <w:top w:val="none" w:sz="0" w:space="0" w:color="auto"/>
        <w:left w:val="none" w:sz="0" w:space="0" w:color="auto"/>
        <w:bottom w:val="none" w:sz="0" w:space="0" w:color="auto"/>
        <w:right w:val="none" w:sz="0" w:space="0" w:color="auto"/>
      </w:divBdr>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BD4D8-3F2D-4252-B85E-252B0924671A}">
  <ds:schemaRefs>
    <ds:schemaRef ds:uri="http://schemas.microsoft.com/sharepoint/v3/contenttype/forms"/>
  </ds:schemaRefs>
</ds:datastoreItem>
</file>

<file path=customXml/itemProps2.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06BB4-FD11-49A7-9420-F7258FF0C7E2}">
  <ds:schemaRefs>
    <ds:schemaRef ds:uri="http://schemas.openxmlformats.org/officeDocument/2006/bibliography"/>
  </ds:schemaRefs>
</ds:datastoreItem>
</file>

<file path=customXml/itemProps4.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2183</Words>
  <Characters>12445</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School of Management – Politecnico di Milano</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4</cp:revision>
  <cp:lastPrinted>2018-09-26T10:18:00Z</cp:lastPrinted>
  <dcterms:created xsi:type="dcterms:W3CDTF">2021-06-08T16:23:00Z</dcterms:created>
  <dcterms:modified xsi:type="dcterms:W3CDTF">2021-06-11T08:30:00Z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