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93" w:rsidRPr="00780B79" w:rsidRDefault="00EB716B" w:rsidP="009F3693">
      <w:pPr>
        <w:spacing w:after="0" w:line="240" w:lineRule="auto"/>
        <w:jc w:val="center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 w:rsidRPr="00780B79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Tè freddo in bottiglia: </w:t>
      </w:r>
      <w:r w:rsidR="00047AB8" w:rsidRPr="00780B79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cosa cambia davvero</w:t>
      </w:r>
      <w:r w:rsidRPr="00780B79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 xml:space="preserve">? </w:t>
      </w:r>
    </w:p>
    <w:p w:rsidR="00FA0CC5" w:rsidRPr="00780B79" w:rsidRDefault="009F3693" w:rsidP="009F3693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 w:rsidRPr="00780B79">
        <w:rPr>
          <w:rFonts w:eastAsia="Times New Roman" w:cstheme="minorHAnsi"/>
          <w:i/>
          <w:szCs w:val="24"/>
          <w:lang w:eastAsia="it-IT"/>
        </w:rPr>
        <w:t>L</w:t>
      </w:r>
      <w:r w:rsidR="00993C84" w:rsidRPr="00780B79">
        <w:rPr>
          <w:rFonts w:eastAsia="Times New Roman" w:cstheme="minorHAnsi"/>
          <w:i/>
          <w:szCs w:val="24"/>
          <w:lang w:eastAsia="it-IT"/>
        </w:rPr>
        <w:t>’Osservatorio Consumi</w:t>
      </w:r>
      <w:r w:rsidR="00FF1921" w:rsidRPr="00780B79">
        <w:rPr>
          <w:rFonts w:eastAsia="Times New Roman" w:cstheme="minorHAnsi"/>
          <w:i/>
          <w:szCs w:val="24"/>
          <w:lang w:eastAsia="it-IT"/>
        </w:rPr>
        <w:t xml:space="preserve"> di QualeScegliere.it </w:t>
      </w:r>
      <w:r w:rsidR="00F744B0" w:rsidRPr="00780B79">
        <w:rPr>
          <w:rFonts w:eastAsia="Times New Roman" w:cstheme="minorHAnsi"/>
          <w:i/>
          <w:szCs w:val="24"/>
          <w:lang w:eastAsia="it-IT"/>
        </w:rPr>
        <w:t xml:space="preserve">ha </w:t>
      </w:r>
      <w:r w:rsidR="00FF1921" w:rsidRPr="00780B79">
        <w:rPr>
          <w:rFonts w:eastAsia="Times New Roman" w:cstheme="minorHAnsi"/>
          <w:i/>
          <w:szCs w:val="24"/>
          <w:lang w:eastAsia="it-IT"/>
        </w:rPr>
        <w:t>analizza</w:t>
      </w:r>
      <w:r w:rsidR="00F744B0" w:rsidRPr="00780B79">
        <w:rPr>
          <w:rFonts w:eastAsia="Times New Roman" w:cstheme="minorHAnsi"/>
          <w:i/>
          <w:szCs w:val="24"/>
          <w:lang w:eastAsia="it-IT"/>
        </w:rPr>
        <w:t>to</w:t>
      </w:r>
      <w:r w:rsidRPr="00780B79">
        <w:rPr>
          <w:rFonts w:eastAsia="Times New Roman" w:cstheme="minorHAnsi"/>
          <w:i/>
          <w:szCs w:val="24"/>
          <w:lang w:eastAsia="it-IT"/>
        </w:rPr>
        <w:t xml:space="preserve"> tè classico, deteinato</w:t>
      </w:r>
      <w:r w:rsidR="00EB716B" w:rsidRPr="00780B79">
        <w:rPr>
          <w:rFonts w:eastAsia="Times New Roman" w:cstheme="minorHAnsi"/>
          <w:i/>
          <w:szCs w:val="24"/>
          <w:lang w:eastAsia="it-IT"/>
        </w:rPr>
        <w:t xml:space="preserve"> e senza zucchero al gusto di limone di tre marc</w:t>
      </w:r>
      <w:r w:rsidRPr="00780B79">
        <w:rPr>
          <w:rFonts w:eastAsia="Times New Roman" w:cstheme="minorHAnsi"/>
          <w:i/>
          <w:szCs w:val="24"/>
          <w:lang w:eastAsia="it-IT"/>
        </w:rPr>
        <w:t>h</w:t>
      </w:r>
      <w:r w:rsidR="00EB716B" w:rsidRPr="00780B79">
        <w:rPr>
          <w:rFonts w:eastAsia="Times New Roman" w:cstheme="minorHAnsi"/>
          <w:i/>
          <w:szCs w:val="24"/>
          <w:lang w:eastAsia="it-IT"/>
        </w:rPr>
        <w:t>e diverse, per vedere quali sono le differenze principali</w:t>
      </w:r>
      <w:r w:rsidRPr="00780B79">
        <w:rPr>
          <w:rFonts w:eastAsia="Times New Roman" w:cstheme="minorHAnsi"/>
          <w:i/>
          <w:szCs w:val="24"/>
          <w:lang w:eastAsia="it-IT"/>
        </w:rPr>
        <w:t xml:space="preserve"> e guidare i consumatori nella scelta</w:t>
      </w:r>
      <w:r w:rsidR="0037534C" w:rsidRPr="00780B79">
        <w:rPr>
          <w:rFonts w:eastAsia="Times New Roman" w:cstheme="minorHAnsi"/>
          <w:i/>
          <w:szCs w:val="24"/>
          <w:lang w:eastAsia="it-IT"/>
        </w:rPr>
        <w:t xml:space="preserve"> di una delle bevande più acquistate nella stagione estiva</w:t>
      </w:r>
      <w:r w:rsidR="00EB716B" w:rsidRPr="00780B79">
        <w:rPr>
          <w:rFonts w:eastAsia="Times New Roman" w:cstheme="minorHAnsi"/>
          <w:i/>
          <w:szCs w:val="24"/>
          <w:lang w:eastAsia="it-IT"/>
        </w:rPr>
        <w:t>.</w:t>
      </w:r>
    </w:p>
    <w:p w:rsidR="009F3693" w:rsidRPr="00780B79" w:rsidRDefault="009F3693" w:rsidP="00993C84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C03C3A" w:rsidRPr="00780B79" w:rsidRDefault="009F3693" w:rsidP="00993C84">
      <w:pPr>
        <w:spacing w:after="0" w:line="240" w:lineRule="auto"/>
        <w:jc w:val="both"/>
        <w:rPr>
          <w:rFonts w:ascii="Calibri Light" w:hAnsi="Calibri Light" w:cs="Calibri Light"/>
        </w:rPr>
      </w:pPr>
      <w:r w:rsidRPr="00780B79">
        <w:rPr>
          <w:rFonts w:ascii="Calibri Light" w:hAnsi="Calibri Light" w:cs="Calibri Light"/>
        </w:rPr>
        <w:t xml:space="preserve">Il tè freddo è tra le bibite più sponsorizzate </w:t>
      </w:r>
      <w:r w:rsidR="0037534C" w:rsidRPr="00780B79">
        <w:rPr>
          <w:rFonts w:ascii="Calibri Light" w:hAnsi="Calibri Light" w:cs="Calibri Light"/>
        </w:rPr>
        <w:t xml:space="preserve">e vendute </w:t>
      </w:r>
      <w:r w:rsidRPr="00780B79">
        <w:rPr>
          <w:rFonts w:ascii="Calibri Light" w:hAnsi="Calibri Light" w:cs="Calibri Light"/>
        </w:rPr>
        <w:t xml:space="preserve">durante la stagione </w:t>
      </w:r>
      <w:r w:rsidR="0037534C" w:rsidRPr="00780B79">
        <w:rPr>
          <w:rFonts w:ascii="Calibri Light" w:hAnsi="Calibri Light" w:cs="Calibri Light"/>
        </w:rPr>
        <w:t xml:space="preserve">calda, tanto che sono numerose le aziende che producono questa </w:t>
      </w:r>
      <w:r w:rsidR="00971EC1" w:rsidRPr="00780B79">
        <w:rPr>
          <w:rFonts w:ascii="Calibri Light" w:hAnsi="Calibri Light" w:cs="Calibri Light"/>
        </w:rPr>
        <w:t>bevanda in diverse declina</w:t>
      </w:r>
      <w:r w:rsidR="0037534C" w:rsidRPr="00780B79">
        <w:rPr>
          <w:rFonts w:ascii="Calibri Light" w:hAnsi="Calibri Light" w:cs="Calibri Light"/>
        </w:rPr>
        <w:t xml:space="preserve">zioni, rendendo la scelta d’acquisto molto meno </w:t>
      </w:r>
      <w:r w:rsidR="00971EC1" w:rsidRPr="00780B79">
        <w:rPr>
          <w:rFonts w:ascii="Calibri Light" w:hAnsi="Calibri Light" w:cs="Calibri Light"/>
        </w:rPr>
        <w:t>immediata di quanto si pensi</w:t>
      </w:r>
      <w:r w:rsidRPr="00780B79">
        <w:rPr>
          <w:rFonts w:ascii="Calibri Light" w:hAnsi="Calibri Light" w:cs="Calibri Light"/>
        </w:rPr>
        <w:t xml:space="preserve">. </w:t>
      </w:r>
      <w:hyperlink r:id="rId9" w:history="1">
        <w:r w:rsidR="00C03C3A" w:rsidRPr="00780B79">
          <w:rPr>
            <w:rStyle w:val="Collegamentoipertestuale"/>
            <w:rFonts w:ascii="Calibri Light" w:hAnsi="Calibri Light" w:cs="Calibri Light"/>
          </w:rPr>
          <w:t>L’</w:t>
        </w:r>
        <w:r w:rsidR="00993C84" w:rsidRPr="00780B79">
          <w:rPr>
            <w:rStyle w:val="Collegamentoipertestuale"/>
            <w:rFonts w:ascii="Calibri Light" w:hAnsi="Calibri Light" w:cs="Calibri Light"/>
            <w:i/>
          </w:rPr>
          <w:t>Osservatorio Consumi</w:t>
        </w:r>
        <w:r w:rsidR="00993C84" w:rsidRPr="00780B79">
          <w:rPr>
            <w:rStyle w:val="Collegamentoipertestuale"/>
            <w:rFonts w:ascii="Calibri Light" w:hAnsi="Calibri Light" w:cs="Calibri Light"/>
          </w:rPr>
          <w:t xml:space="preserve"> di QualeScegliere.it</w:t>
        </w:r>
      </w:hyperlink>
      <w:r w:rsidR="00993C84" w:rsidRPr="00780B79">
        <w:rPr>
          <w:rFonts w:ascii="Calibri Light" w:eastAsia="Times New Roman" w:hAnsi="Calibri Light" w:cs="Calibri Light"/>
          <w:lang w:eastAsia="it-IT"/>
        </w:rPr>
        <w:t xml:space="preserve"> - il primo sito italiano che recensisce prodotti e servizi –</w:t>
      </w:r>
      <w:r w:rsidR="00C03C3A" w:rsidRPr="00780B79">
        <w:rPr>
          <w:rFonts w:ascii="Calibri Light" w:eastAsia="Times New Roman" w:hAnsi="Calibri Light" w:cs="Calibri Light"/>
          <w:lang w:eastAsia="it-IT"/>
        </w:rPr>
        <w:t xml:space="preserve"> </w:t>
      </w:r>
      <w:r w:rsidR="00993C84" w:rsidRPr="00780B79">
        <w:rPr>
          <w:rFonts w:ascii="Calibri Light" w:eastAsia="Times New Roman" w:hAnsi="Calibri Light" w:cs="Calibri Light"/>
          <w:lang w:eastAsia="it-IT"/>
        </w:rPr>
        <w:t xml:space="preserve">ha </w:t>
      </w:r>
      <w:r w:rsidR="0037534C" w:rsidRPr="00780B79">
        <w:rPr>
          <w:rFonts w:ascii="Calibri Light" w:eastAsia="Times New Roman" w:hAnsi="Calibri Light" w:cs="Calibri Light"/>
          <w:lang w:eastAsia="it-IT"/>
        </w:rPr>
        <w:t xml:space="preserve">realizzato </w:t>
      </w:r>
      <w:hyperlink r:id="rId10" w:history="1">
        <w:r w:rsidR="0037534C" w:rsidRPr="00306AC0">
          <w:rPr>
            <w:rStyle w:val="Collegamentoipertestuale"/>
            <w:rFonts w:ascii="Calibri Light" w:eastAsia="Times New Roman" w:hAnsi="Calibri Light" w:cs="Calibri Light"/>
            <w:b/>
            <w:lang w:eastAsia="it-IT"/>
          </w:rPr>
          <w:t>un’analisi comparativa</w:t>
        </w:r>
      </w:hyperlink>
      <w:r w:rsidR="00993C84" w:rsidRPr="00780B79">
        <w:rPr>
          <w:rFonts w:ascii="Calibri Light" w:eastAsia="Times New Roman" w:hAnsi="Calibri Light" w:cs="Calibri Light"/>
          <w:lang w:eastAsia="it-IT"/>
        </w:rPr>
        <w:t xml:space="preserve"> </w:t>
      </w:r>
      <w:r w:rsidR="00C03C3A" w:rsidRPr="00780B79">
        <w:rPr>
          <w:rFonts w:ascii="Calibri Light" w:eastAsia="Times New Roman" w:hAnsi="Calibri Light" w:cs="Calibri Light"/>
          <w:lang w:eastAsia="it-IT"/>
        </w:rPr>
        <w:t>per aiutare</w:t>
      </w:r>
      <w:r w:rsidR="00A05959" w:rsidRPr="00780B79">
        <w:rPr>
          <w:rFonts w:ascii="Calibri Light" w:eastAsia="Times New Roman" w:hAnsi="Calibri Light" w:cs="Calibri Light"/>
          <w:lang w:eastAsia="it-IT"/>
        </w:rPr>
        <w:t xml:space="preserve"> i consumatori a</w:t>
      </w:r>
      <w:r w:rsidR="00971EC1" w:rsidRPr="00780B79">
        <w:rPr>
          <w:rFonts w:ascii="Calibri Light" w:eastAsia="Times New Roman" w:hAnsi="Calibri Light" w:cs="Calibri Light"/>
          <w:lang w:eastAsia="it-IT"/>
        </w:rPr>
        <w:t xml:space="preserve"> individuare </w:t>
      </w:r>
      <w:r w:rsidRPr="00780B79">
        <w:rPr>
          <w:rFonts w:ascii="Calibri Light" w:eastAsia="Times New Roman" w:hAnsi="Calibri Light" w:cs="Calibri Light"/>
          <w:lang w:eastAsia="it-IT"/>
        </w:rPr>
        <w:t>le reali differenze esistenti tra i vari prodotti</w:t>
      </w:r>
      <w:r w:rsidR="00C03C3A" w:rsidRPr="00780B79">
        <w:rPr>
          <w:rFonts w:ascii="Calibri Light" w:eastAsia="Times New Roman" w:hAnsi="Calibri Light" w:cs="Calibri Light"/>
          <w:lang w:eastAsia="it-IT"/>
        </w:rPr>
        <w:t xml:space="preserve">. </w:t>
      </w:r>
      <w:r w:rsidR="00C03C3A" w:rsidRPr="00780B79">
        <w:rPr>
          <w:rFonts w:ascii="Calibri Light" w:hAnsi="Calibri Light" w:cs="Calibri Light"/>
        </w:rPr>
        <w:t>L'analisi è stata fatta tenendo conto di parametri oggettivi, quali gli ingredienti e i valori nutrizionali</w:t>
      </w:r>
      <w:r w:rsidRPr="00780B79">
        <w:rPr>
          <w:rFonts w:ascii="Calibri Light" w:hAnsi="Calibri Light" w:cs="Calibri Light"/>
        </w:rPr>
        <w:t xml:space="preserve">. Sono state analizzate tre tipologie di tè al limone, </w:t>
      </w:r>
      <w:proofErr w:type="gramStart"/>
      <w:r w:rsidRPr="00780B79">
        <w:rPr>
          <w:rFonts w:ascii="Calibri Light" w:hAnsi="Calibri Light" w:cs="Calibri Light"/>
        </w:rPr>
        <w:t>ovvero</w:t>
      </w:r>
      <w:proofErr w:type="gramEnd"/>
      <w:r w:rsidRPr="00780B79">
        <w:rPr>
          <w:rFonts w:ascii="Calibri Light" w:hAnsi="Calibri Light" w:cs="Calibri Light"/>
        </w:rPr>
        <w:t xml:space="preserve"> la versione classica, quella senza zuccheri </w:t>
      </w:r>
      <w:r w:rsidR="00971EC1" w:rsidRPr="00780B79">
        <w:rPr>
          <w:rFonts w:ascii="Calibri Light" w:hAnsi="Calibri Light" w:cs="Calibri Light"/>
        </w:rPr>
        <w:t xml:space="preserve">e quella priva di teina, indicata </w:t>
      </w:r>
      <w:r w:rsidRPr="00780B79">
        <w:rPr>
          <w:rFonts w:ascii="Calibri Light" w:hAnsi="Calibri Light" w:cs="Calibri Light"/>
        </w:rPr>
        <w:t xml:space="preserve">come opzione ideale per i più piccoli. </w:t>
      </w:r>
    </w:p>
    <w:p w:rsidR="003F6EF4" w:rsidRPr="00780B79" w:rsidRDefault="00993C84" w:rsidP="003F6EF4">
      <w:pPr>
        <w:spacing w:after="0" w:line="240" w:lineRule="auto"/>
        <w:jc w:val="both"/>
        <w:rPr>
          <w:rFonts w:eastAsiaTheme="majorEastAsia" w:cstheme="minorHAnsi"/>
          <w:b/>
          <w:iCs/>
          <w:sz w:val="24"/>
        </w:rPr>
      </w:pPr>
      <w:r w:rsidRPr="00780B79">
        <w:rPr>
          <w:rFonts w:ascii="Calibri Light" w:eastAsia="Times New Roman" w:hAnsi="Calibri Light" w:cs="Calibri Light"/>
          <w:lang w:eastAsia="it-IT"/>
        </w:rPr>
        <w:t xml:space="preserve"> </w:t>
      </w:r>
    </w:p>
    <w:p w:rsidR="009F3693" w:rsidRPr="00780B79" w:rsidRDefault="00EB716B" w:rsidP="00FF1921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780B7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Il tè al limone classico </w:t>
      </w:r>
    </w:p>
    <w:p w:rsidR="00453656" w:rsidRPr="00780B79" w:rsidRDefault="0001517D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Tra i vari </w:t>
      </w:r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tè classici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gli esperti hanno analizzato quelli gusto limo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ne prodotti da due aziende note e molto pubblicizzate, </w:t>
      </w:r>
      <w:proofErr w:type="gramStart"/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ovvero</w:t>
      </w:r>
      <w:proofErr w:type="gramEnd"/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9F3693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Estathé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</w:t>
      </w:r>
      <w:r w:rsidR="009F3693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San Benedetto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, e quello prodotto da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9F3693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Selex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, un’azienda ampiamente diffusa che si occupa di pr</w:t>
      </w:r>
      <w:r w:rsidR="00780B79">
        <w:rPr>
          <w:rFonts w:ascii="Calibri Light" w:eastAsia="Times New Roman" w:hAnsi="Calibri Light" w:cs="Calibri Light"/>
          <w:color w:val="000000" w:themeColor="text1"/>
          <w:lang w:eastAsia="it-IT"/>
        </w:rPr>
        <w:t>odotti a marchio supermercato.</w:t>
      </w:r>
    </w:p>
    <w:p w:rsidR="00044D1B" w:rsidRPr="00780B79" w:rsidRDefault="009F3693" w:rsidP="009F3693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Valori</w:t>
      </w:r>
      <w:r w:rsid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 nutrizionali:</w:t>
      </w:r>
      <w:r w:rsid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analizzando la quantità di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 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calorie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 e 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zuccheri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il tè San Benedetto è migliore degli altri due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per entrambi i valori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Infatti, 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mentre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100 ml di tè 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Selex</w:t>
      </w: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 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contengono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 </w:t>
      </w:r>
      <w:proofErr w:type="gramStart"/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43</w:t>
      </w:r>
      <w:proofErr w:type="gramEnd"/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calorie</w:t>
      </w:r>
      <w:r w:rsidR="00044D1B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e 10,5 g di zucchero</w:t>
      </w:r>
      <w:r w:rsidR="000E4DB1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,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 e 100 ml di 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Estathé 40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calori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e</w:t>
      </w:r>
      <w:r w:rsidR="00044D1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 9,9 g di zucchero, il San Benedetto ha 28 calorie e 6,8 g di zucchero per 100 ml; </w:t>
      </w:r>
    </w:p>
    <w:p w:rsidR="009F3693" w:rsidRPr="00780B79" w:rsidRDefault="009F3693" w:rsidP="00044D1B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Ingredienti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: 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nessuno dei tre prodotti contiene glutine, conservanti o coloranti, mentre un elemento che contraddistingue queste bevande è la tipologia </w:t>
      </w:r>
      <w:proofErr w:type="gramStart"/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</w:t>
      </w:r>
      <w:proofErr w:type="gramEnd"/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infusione. Mentre l’Estathé viene ad esempio preparato </w:t>
      </w:r>
      <w:proofErr w:type="gramStart"/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 partire d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</w:t>
      </w:r>
      <w:proofErr w:type="gramEnd"/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un'</w:t>
      </w:r>
      <w:r w:rsidR="0001517D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infusione di tè in acqua calda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, gli altri due utilizzano un estratto di foglie di tè.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 seguire, gli aromi utilizzati, che sono naturali nel caso del tè Selex e invece non specificati negli altri due prodotti analizzati. 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Un'ultima riflessione riguarda la </w:t>
      </w:r>
      <w:r w:rsidR="0001517D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chiarezza dell'etichetta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misurata in base alla percentuale </w:t>
      </w:r>
      <w:proofErr w:type="gramStart"/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</w:t>
      </w:r>
      <w:proofErr w:type="gramEnd"/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ingredienti dichiarati con le relative quantità. Sotto questo punto di vista il tè San Benedetto è il migliore, con una percentuale </w:t>
      </w:r>
      <w:proofErr w:type="gramStart"/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</w:t>
      </w:r>
      <w:proofErr w:type="gramEnd"/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ingredi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enti dichiarati pari all'80,7%; </w:t>
      </w:r>
    </w:p>
    <w:p w:rsidR="006D67AD" w:rsidRPr="00780B79" w:rsidRDefault="006D67AD" w:rsidP="009F3693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Prezz</w:t>
      </w:r>
      <w:r w:rsidR="00655DDC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o</w:t>
      </w:r>
      <w:r w:rsidR="00AF576C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 xml:space="preserve"> e </w:t>
      </w:r>
      <w:r w:rsidR="00655DDC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stabilimento di produzione</w:t>
      </w: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: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la bibita più economica è quella Selex (0,8 €/l), che c</w:t>
      </w:r>
      <w:r w:rsidR="00971EC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osta solo </w:t>
      </w:r>
      <w:proofErr w:type="gramStart"/>
      <w:r w:rsidR="00971EC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2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proofErr w:type="gramEnd"/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centesimi in meno rispetto a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San Benedetto</w:t>
      </w:r>
      <w:r w:rsidR="00971EC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(1 €/l) e meno della meta di 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Estathè (2,08 €/l) che, tuttavia, </w:t>
      </w:r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è l'unico ad essere fatto con una vera infusione. I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nfine</w:t>
      </w:r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San Benedetto </w:t>
      </w:r>
      <w:r w:rsidR="00AF576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ed </w:t>
      </w:r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Estathé sono prodotti presso lo stabilimento di Scorzè (VE) </w:t>
      </w:r>
      <w:proofErr w:type="gramStart"/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della</w:t>
      </w:r>
      <w:proofErr w:type="gramEnd"/>
      <w:r w:rsidR="009F3693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San Benedetto, mentre Selex delega la propria produzione ad uno stabilimento di Sarno (SA) del gruppo La Doria. </w:t>
      </w:r>
    </w:p>
    <w:p w:rsidR="00453656" w:rsidRPr="00780B79" w:rsidRDefault="00453656" w:rsidP="00FF192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</w:p>
    <w:p w:rsidR="00EB716B" w:rsidRPr="00780B79" w:rsidRDefault="00EB716B" w:rsidP="00EB716B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780B7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La versione senza zuccheri </w:t>
      </w:r>
    </w:p>
    <w:p w:rsidR="0001517D" w:rsidRPr="00780B79" w:rsidRDefault="00AF576C" w:rsidP="00EB716B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Un’altra tendenza sempre più diffusa è quella di scegliere le bevande definite “zero”, 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ovvero</w:t>
      </w:r>
      <w:proofErr w:type="gram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prive di zucchero e fatte a base di aspartame, </w:t>
      </w:r>
      <w:proofErr w:type="spell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stevia</w:t>
      </w:r>
      <w:proofErr w:type="spell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o altre sostanze in grado di dolcificare. Questa parte dell’analisi si è 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focalizzata</w:t>
      </w:r>
      <w:proofErr w:type="gram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solo</w:t>
      </w:r>
      <w:proofErr w:type="gram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sui marchi Estathé e San Benedetto, poiché la Selex non produce</w:t>
      </w:r>
      <w:r w:rsidR="00971EC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questa bevanda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</w:t>
      </w:r>
    </w:p>
    <w:p w:rsidR="00655DDC" w:rsidRPr="00780B79" w:rsidRDefault="00EB716B" w:rsidP="00EB716B">
      <w:pPr>
        <w:pStyle w:val="Normale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780B79">
        <w:rPr>
          <w:rFonts w:ascii="Calibri Light" w:hAnsi="Calibri Light" w:cs="Calibri Light"/>
          <w:b/>
          <w:color w:val="000000" w:themeColor="text1"/>
          <w:sz w:val="22"/>
          <w:szCs w:val="22"/>
        </w:rPr>
        <w:t>Ingredienti: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nche in questo caso, nell'Estathé 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il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tè </w:t>
      </w:r>
      <w:proofErr w:type="gramStart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viene</w:t>
      </w:r>
      <w:proofErr w:type="gramEnd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infuso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in acqua calda, m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entre per quello San Benedetto troviamo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un estratto di foglie di tè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aggiunt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all’acqua minerale. Le etichette segnalano in entrambi i </w:t>
      </w:r>
      <w:proofErr w:type="gramStart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casi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la</w:t>
      </w:r>
      <w:proofErr w:type="gramEnd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dicitura “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aromi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”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senza specificar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ne la tipol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>o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gia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Per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evitare l’uso dello zucchero, entrambi i </w:t>
      </w:r>
      <w:r w:rsidR="00802726" w:rsidRPr="00780B79">
        <w:rPr>
          <w:rFonts w:ascii="Calibri Light" w:hAnsi="Calibri Light" w:cs="Calibri Light"/>
          <w:color w:val="000000" w:themeColor="text1"/>
          <w:sz w:val="22"/>
          <w:szCs w:val="22"/>
        </w:rPr>
        <w:t>tè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contengono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edulcoranti di natura diversa. Nell'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Estathé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troviamo 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sucralosio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 glicosidi 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steviolici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: il primo è un dolcificante artificiale dichiarato non dannoso per la salute, mentre il secondo è un estratto della 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stevia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, una piant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a che ha un potere dolcificante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Il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tè San Benedetto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conti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ene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il 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ciclamato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di sodio, l'</w:t>
      </w:r>
      <w:proofErr w:type="spellStart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acesulfame</w:t>
      </w:r>
      <w:proofErr w:type="spellEnd"/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 (E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950) e il </w:t>
      </w:r>
      <w:proofErr w:type="spellStart"/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sucralosio</w:t>
      </w:r>
      <w:proofErr w:type="spellEnd"/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(E952). Questi ultimi due sarebbero ingredienti da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evitare: secondo alcuni studi 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il primo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sarebbe cancerogeno, tant'è ch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 negli Stati Uniti è vietato, mentre l'assunzione di </w:t>
      </w:r>
      <w:proofErr w:type="spellStart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acesulfame</w:t>
      </w:r>
      <w:proofErr w:type="spellEnd"/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(che, tra l’altro, è contenuto in molti alimenti) non dovrebbe </w:t>
      </w:r>
      <w:r w:rsidR="0001517D" w:rsidRPr="00780B79">
        <w:rPr>
          <w:rFonts w:ascii="Calibri Light" w:hAnsi="Calibri Light" w:cs="Calibri Light"/>
          <w:color w:val="000000" w:themeColor="text1"/>
          <w:sz w:val="22"/>
          <w:szCs w:val="22"/>
        </w:rPr>
        <w:t>superare la dose giornaliera consigliata</w:t>
      </w:r>
      <w:r w:rsidR="00AF576C" w:rsidRPr="00780B79">
        <w:rPr>
          <w:rFonts w:ascii="Calibri Light" w:hAnsi="Calibri Light" w:cs="Calibri Light"/>
          <w:color w:val="000000" w:themeColor="text1"/>
          <w:sz w:val="22"/>
          <w:szCs w:val="22"/>
        </w:rPr>
        <w:t>;</w:t>
      </w:r>
    </w:p>
    <w:p w:rsidR="00EB716B" w:rsidRPr="00780B79" w:rsidRDefault="0001517D" w:rsidP="00EB716B">
      <w:pPr>
        <w:pStyle w:val="Normale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</w:rPr>
      </w:pPr>
      <w:r w:rsidRPr="00780B79">
        <w:rPr>
          <w:rFonts w:ascii="Calibri Light" w:hAnsi="Calibri Light" w:cs="Calibri Light"/>
          <w:b/>
          <w:color w:val="000000" w:themeColor="text1"/>
          <w:sz w:val="22"/>
          <w:szCs w:val="22"/>
        </w:rPr>
        <w:t>Valori nutrizionali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: </w:t>
      </w:r>
      <w:r w:rsidR="00655DDC" w:rsidRPr="00780B79">
        <w:rPr>
          <w:rFonts w:ascii="Calibri Light" w:hAnsi="Calibri Light" w:cs="Calibri Light"/>
          <w:color w:val="000000" w:themeColor="text1"/>
          <w:sz w:val="22"/>
          <w:szCs w:val="22"/>
        </w:rPr>
        <w:t>le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calorie sono </w:t>
      </w:r>
      <w:r w:rsidR="00655DD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ovviamente molto basse sia nell’Estathé (2 calorie su 100 ml) che nella bevanda San Benedetto (solo </w:t>
      </w:r>
      <w:proofErr w:type="gramStart"/>
      <w:r w:rsidR="00655DDC" w:rsidRPr="00780B79">
        <w:rPr>
          <w:rFonts w:ascii="Calibri Light" w:hAnsi="Calibri Light" w:cs="Calibri Light"/>
          <w:color w:val="000000" w:themeColor="text1"/>
          <w:sz w:val="22"/>
          <w:szCs w:val="22"/>
        </w:rPr>
        <w:t>1</w:t>
      </w:r>
      <w:proofErr w:type="gramEnd"/>
      <w:r w:rsidR="00655DDC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caloria per 100 ml)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>. Nell’etichetta si troverà anche la percentuale di zuccheri contenuta (0,1 g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>/100 ml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per San Benedetto e 0,3 g</w:t>
      </w:r>
      <w:r w:rsidR="000E4DB1" w:rsidRPr="00780B79">
        <w:rPr>
          <w:rFonts w:ascii="Calibri Light" w:hAnsi="Calibri Light" w:cs="Calibri Light"/>
          <w:color w:val="000000" w:themeColor="text1"/>
          <w:sz w:val="22"/>
          <w:szCs w:val="22"/>
        </w:rPr>
        <w:t>/100 ml</w:t>
      </w:r>
      <w:r w:rsidR="00971EC1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per Estathé), un dato non deve stupire, poiché per legge si può considerare "senza zucchero" una bevanda che contiene fino a 0,5 g di zuccheri per 100 ml;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:rsidR="00EB716B" w:rsidRPr="00780B79" w:rsidRDefault="00EB716B" w:rsidP="00655DDC">
      <w:pPr>
        <w:pStyle w:val="Paragrafoelenco"/>
        <w:numPr>
          <w:ilvl w:val="0"/>
          <w:numId w:val="19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lastRenderedPageBreak/>
        <w:t>Prezz</w:t>
      </w:r>
      <w:r w:rsidR="00655DDC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o e stabilimento di produzione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: 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l'Estathé costa più del doppio del tè San Benedetto</w:t>
      </w:r>
      <w:r w:rsidR="00687F2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(2,30€ al litro del primo contro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</w:t>
      </w:r>
      <w:r w:rsidR="00687F2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proofErr w:type="gramStart"/>
      <w:r w:rsidR="00687F2B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96</w:t>
      </w:r>
      <w:proofErr w:type="gramEnd"/>
      <w:r w:rsidR="00A37470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centesimi al litro del secondo) probabilmente per </w:t>
      </w:r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la scelta degli edulcoranti utilizzati e l’infus</w:t>
      </w:r>
      <w:r w:rsidR="00A37470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ione in acqua calda</w:t>
      </w:r>
      <w:r w:rsidR="000E4DB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.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Il tè San Benedetto </w:t>
      </w:r>
      <w:proofErr w:type="gramStart"/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viene</w:t>
      </w:r>
      <w:proofErr w:type="gramEnd"/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prodotto 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presso</w:t>
      </w:r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gli 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stabilimenti</w:t>
      </w:r>
      <w:r w:rsidR="00655DDC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di Popoli (PE) e Scorzè (VE), mentre E</w:t>
      </w:r>
      <w:r w:rsidR="0001517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stathé viene prodotto presso quest'ultimo stabilimento della San Benedetto e presso uno della Spumador S.p.a. di Sulmona (AQ).</w:t>
      </w:r>
    </w:p>
    <w:p w:rsidR="0001517D" w:rsidRPr="00780B79" w:rsidRDefault="0001517D" w:rsidP="0001517D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01517D" w:rsidRPr="00780B79" w:rsidRDefault="0001517D" w:rsidP="0001517D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780B79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Deteinato: andrà bene per i bambini? </w:t>
      </w:r>
    </w:p>
    <w:p w:rsidR="0001517D" w:rsidRPr="00780B79" w:rsidRDefault="00802726" w:rsidP="0001517D">
      <w:pPr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La versione del tè freddo al limone senza 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teina è destinata soprattutto a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 pubblico di bambini, come suggeriscono anche le confezioni 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ideate</w:t>
      </w:r>
      <w:proofErr w:type="gram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per essere accattivanti per i più piccoli. Vediamo come si sono rivelate le tre bevande analizzate d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agli esperti di </w:t>
      </w:r>
      <w:proofErr w:type="spellStart"/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QualeScegliere</w:t>
      </w:r>
      <w:proofErr w:type="spellEnd"/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:</w:t>
      </w:r>
    </w:p>
    <w:p w:rsidR="00145FB6" w:rsidRPr="00780B79" w:rsidRDefault="0001517D" w:rsidP="009F050D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80B79">
        <w:rPr>
          <w:rFonts w:ascii="Calibri Light" w:hAnsi="Calibri Light" w:cs="Calibri Light"/>
          <w:b/>
          <w:color w:val="000000" w:themeColor="text1"/>
          <w:sz w:val="22"/>
          <w:szCs w:val="22"/>
        </w:rPr>
        <w:t>Ingredienti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: 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>l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'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Estathé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>presenta la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lis</w:t>
      </w:r>
      <w:r w:rsidR="00A37470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ta degli ingredienti più corta 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(solo 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infuso di tè, zucchero e aromi naturali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. Nel tè 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San Benedetto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il secondo e il terzo ingrediente sono rispettivamente 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fruttosio e zucchero di canna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Tra gli ingredienti del tè Selex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invece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troviamo lo zucchero al secondo posto e subito dopo il fruttosio, che va ad aggiungersi agli 8,4 g di zucchero per 100 ml segnalati nella tabella nutrizionale.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Selex contiene inoltre un infuso di tè deteinato come l’Est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athé, ma a differenza di questo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non è il primo ingrediente dell’etichetta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bensì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appare come </w:t>
      </w:r>
      <w:proofErr w:type="gramStart"/>
      <w:r w:rsidR="00145FB6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quarto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dopo acqua, saccarosio e fruttosio</w:t>
      </w:r>
      <w:proofErr w:type="gramEnd"/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Un aspetto che non convince della bevanda Selex è l’utilizzo del 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colorante E150b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una 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s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ostanza artificiale (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>anche detta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caramello solfito-caustico)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che non 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apporta alcun vantaggio per il consumatore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ma ch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e, anzi, spesso </w:t>
      </w:r>
      <w:proofErr w:type="gramStart"/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viene</w:t>
      </w:r>
      <w:proofErr w:type="gramEnd"/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utilizzata</w:t>
      </w:r>
      <w:r w:rsidR="00145FB6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per “mascherare” dei d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ifetti di qualità del prodotto;</w:t>
      </w:r>
    </w:p>
    <w:p w:rsidR="0001517D" w:rsidRPr="00780B79" w:rsidRDefault="0001517D" w:rsidP="00145FB6">
      <w:pPr>
        <w:pStyle w:val="Normale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80B79">
        <w:rPr>
          <w:rFonts w:ascii="Calibri Light" w:hAnsi="Calibri Light" w:cs="Calibri Light"/>
          <w:b/>
          <w:color w:val="000000" w:themeColor="text1"/>
          <w:sz w:val="22"/>
          <w:szCs w:val="22"/>
        </w:rPr>
        <w:t>Valori nutrizionali: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2F3B0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non emergono differenze sostanziali </w:t>
      </w:r>
      <w:proofErr w:type="gramStart"/>
      <w:r w:rsidR="002F3B0D" w:rsidRPr="00780B79">
        <w:rPr>
          <w:rFonts w:ascii="Calibri Light" w:hAnsi="Calibri Light" w:cs="Calibri Light"/>
          <w:color w:val="000000" w:themeColor="text1"/>
          <w:sz w:val="22"/>
          <w:szCs w:val="22"/>
        </w:rPr>
        <w:t>dal punto di vista nutrizionale</w:t>
      </w:r>
      <w:proofErr w:type="gramEnd"/>
      <w:r w:rsidR="002F3B0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dei tre prodotti analizzati. 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Estathé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e 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San Benedetto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hanno </w:t>
      </w:r>
      <w:proofErr w:type="gramStart"/>
      <w:r w:rsidR="002F3B0D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33</w:t>
      </w:r>
      <w:proofErr w:type="gramEnd"/>
      <w:r w:rsidR="002F3B0D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calorie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e rispettivamente 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8</w:t>
      </w:r>
      <w:r w:rsidR="00145FB6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e 8,1 g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di zucchero 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ogni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 100 ml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, mentre quello 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Selex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="00EA48AD" w:rsidRPr="00780B79">
        <w:rPr>
          <w:rFonts w:ascii="Calibri Light" w:hAnsi="Calibri Light" w:cs="Calibri Light"/>
          <w:color w:val="000000" w:themeColor="text1"/>
          <w:sz w:val="22"/>
          <w:szCs w:val="22"/>
        </w:rPr>
        <w:t>contiene</w:t>
      </w:r>
      <w:r w:rsidR="002F3B0D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145FB6"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34 calorie e 8,4 g </w:t>
      </w:r>
      <w:r w:rsidRPr="00780B79">
        <w:rPr>
          <w:rFonts w:ascii="Calibri Light" w:hAnsi="Calibri Light" w:cs="Calibri Light"/>
          <w:bCs/>
          <w:color w:val="000000" w:themeColor="text1"/>
          <w:sz w:val="22"/>
          <w:szCs w:val="22"/>
        </w:rPr>
        <w:t>di zucchero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Andando a cercare le differenze nei dettagli, </w:t>
      </w:r>
      <w:r w:rsidR="002F3B0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si nota che quest’ultimo ha </w:t>
      </w:r>
      <w:r w:rsidRPr="00780B79">
        <w:rPr>
          <w:rFonts w:ascii="Calibri Light" w:hAnsi="Calibri Light" w:cs="Calibri Light"/>
          <w:color w:val="000000" w:themeColor="text1"/>
          <w:sz w:val="22"/>
          <w:szCs w:val="22"/>
        </w:rPr>
        <w:t>0,1 grammi di sale ogni 100 ml di bevanda</w:t>
      </w:r>
      <w:r w:rsidR="002F3B0D" w:rsidRPr="00780B79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mentre gli altri ne sono privi; </w:t>
      </w:r>
    </w:p>
    <w:p w:rsidR="0001517D" w:rsidRPr="00780B79" w:rsidRDefault="0001517D" w:rsidP="0042067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Prezz</w:t>
      </w:r>
      <w:r w:rsidR="00802726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o e stabil</w:t>
      </w:r>
      <w:r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i</w:t>
      </w:r>
      <w:r w:rsidR="00802726" w:rsidRPr="00780B79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mento di produzione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: anche in questo caso l'</w:t>
      </w:r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Estathé 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è 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risultato</w:t>
      </w:r>
      <w:proofErr w:type="gramEnd"/>
      <w:r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 il più costoso</w:t>
      </w:r>
      <w:r w:rsidR="00802726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(2,67 €/l)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seguito da San Benedetto </w:t>
      </w:r>
      <w:r w:rsidR="00802726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(2,20 €/l)</w:t>
      </w:r>
      <w:r w:rsidR="00EA48AD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 xml:space="preserve">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e poi da Selex</w:t>
      </w:r>
      <w:r w:rsidR="0080272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802726" w:rsidRPr="00780B79">
        <w:rPr>
          <w:rFonts w:ascii="Calibri Light" w:eastAsia="Times New Roman" w:hAnsi="Calibri Light" w:cs="Calibri Light"/>
          <w:bCs/>
          <w:color w:val="000000" w:themeColor="text1"/>
          <w:lang w:eastAsia="it-IT"/>
        </w:rPr>
        <w:t>(1,17 €/l)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</w:t>
      </w:r>
      <w:r w:rsidR="0080272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Ancora una volta, la tecnica dell’infusione in acqua sembrerebbe fare la differenza sul prezzo finale, insieme anche al fatto che l’Estathè è l’unico </w:t>
      </w:r>
      <w:proofErr w:type="gramStart"/>
      <w:r w:rsidR="0080272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ad</w:t>
      </w:r>
      <w:proofErr w:type="gramEnd"/>
      <w:r w:rsidR="0080272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utilizzare solo aromi naturali. </w:t>
      </w:r>
      <w:r w:rsidR="00C167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Infine, lo stabilimento di produzione di Angri (SA) del gruppo La Doria è quello dove </w:t>
      </w:r>
      <w:proofErr w:type="gramStart"/>
      <w:r w:rsidR="00C167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viene</w:t>
      </w:r>
      <w:proofErr w:type="gramEnd"/>
      <w:r w:rsidR="00C167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realizzato il tè Selex, la San Benedetto produce presso il suo stabilimento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di Scorzè (VE), mentre l'Estathé produce i tè deteinati nello stabilimento di Alba (CN) della Fer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rero, azienda proprietaria di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Estathé.</w:t>
      </w:r>
    </w:p>
    <w:p w:rsidR="0001517D" w:rsidRPr="00780B79" w:rsidRDefault="0001517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0B3C91" w:rsidRPr="00780B79" w:rsidRDefault="00FF1921" w:rsidP="00671BE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  <w:r w:rsidRPr="00780B7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Conclusioni </w:t>
      </w:r>
    </w:p>
    <w:p w:rsidR="009F3693" w:rsidRPr="00780B79" w:rsidRDefault="0001517D" w:rsidP="00145FB6">
      <w:pPr>
        <w:shd w:val="clear" w:color="auto" w:fill="FFFFFF"/>
        <w:spacing w:after="15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Andando a tirare le somme, Estathé è sicuramente la marca più costosa per tutte e tre le tipologie di tè analizz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ate. Questo può essere dovuto a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una maggiore qualità delle materie prime, all'utilizzo di vero infuso di tè e al fatto che l'azienda si affidi per la produzione della maggior parte dei propri prodotti a stabilimenti esterni.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br/>
      </w:r>
      <w:r w:rsidR="00035E9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Secondo gli esperti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,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tra i tè classici </w:t>
      </w:r>
      <w:proofErr w:type="gramStart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quello</w:t>
      </w:r>
      <w:proofErr w:type="gramEnd"/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 San Benedetto ci sembra la migliore scelta. Per </w:t>
      </w:r>
      <w:r w:rsidR="00145F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il tè deteinato</w:t>
      </w:r>
      <w:r w:rsidR="00035E9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, in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vece, la preferenza ricade su </w:t>
      </w:r>
      <w:r w:rsidR="00145F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Estathé e San Benedetto ma, in generale, gli esperti non consiglierebbero queste bevande per</w:t>
      </w:r>
      <w:r w:rsidR="00EA48AD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</w:t>
      </w:r>
      <w:r w:rsidR="00145F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bambini </w:t>
      </w:r>
      <w:proofErr w:type="gramStart"/>
      <w:r w:rsidR="00145F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visto che</w:t>
      </w:r>
      <w:proofErr w:type="gramEnd"/>
      <w:r w:rsidR="00145FB6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pur essendo prive di teina, sono ricche di zuccheri. Infine, 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per i tè senza zucchero Estathé è senza dubbio la scelta migliore per la genuinità dei suoi ingredienti.</w:t>
      </w:r>
    </w:p>
    <w:p w:rsidR="009F050D" w:rsidRPr="00780B79" w:rsidRDefault="00F32053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Lo studio</w:t>
      </w:r>
      <w:r w:rsidR="00D74207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complet</w:t>
      </w:r>
      <w:r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o</w:t>
      </w:r>
      <w:r w:rsidR="006C27BA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390C2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è </w:t>
      </w:r>
      <w:r w:rsidR="00D74207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>consultabile</w:t>
      </w:r>
      <w:r w:rsidR="00390C21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934428" w:rsidRPr="00780B7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all’indirizzo: </w:t>
      </w:r>
      <w:hyperlink r:id="rId11" w:history="1">
        <w:r w:rsidR="00306AC0">
          <w:rPr>
            <w:rStyle w:val="Collegamentoipertestuale"/>
          </w:rPr>
          <w:t>https://www.qualescegliere.it/te-freddo/</w:t>
        </w:r>
      </w:hyperlink>
      <w:r w:rsidR="00306AC0">
        <w:t xml:space="preserve"> </w:t>
      </w:r>
    </w:p>
    <w:p w:rsidR="009F050D" w:rsidRPr="00780B79" w:rsidRDefault="009F050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9F050D" w:rsidRPr="00780B79" w:rsidRDefault="009F050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9F050D" w:rsidRPr="00780B79" w:rsidRDefault="009F050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9F050D" w:rsidRPr="00780B79" w:rsidRDefault="009F050D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993C84" w:rsidRPr="00780B79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proofErr w:type="gramStart"/>
      <w:r w:rsidRPr="00780B79">
        <w:rPr>
          <w:rFonts w:eastAsia="Times New Roman" w:cstheme="minorHAnsi"/>
          <w:b/>
          <w:color w:val="000000" w:themeColor="text1"/>
          <w:sz w:val="18"/>
          <w:lang w:eastAsia="it-IT"/>
        </w:rPr>
        <w:t>QualeScegliere.it</w:t>
      </w:r>
      <w:proofErr w:type="gramEnd"/>
    </w:p>
    <w:p w:rsidR="00993C84" w:rsidRPr="00780B79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780B79">
        <w:rPr>
          <w:rFonts w:eastAsia="Times New Roman" w:cstheme="minorHAnsi"/>
          <w:sz w:val="18"/>
        </w:rPr>
        <w:t xml:space="preserve">QualeScegliere.it è il primo sito di recensioni in Italia: online dal 2015, ha sede a Berlino, ma il team è tutto italiano e composto </w:t>
      </w:r>
      <w:proofErr w:type="gramStart"/>
      <w:r w:rsidRPr="00780B79">
        <w:rPr>
          <w:rFonts w:eastAsia="Times New Roman" w:cstheme="minorHAnsi"/>
          <w:sz w:val="18"/>
        </w:rPr>
        <w:t>da</w:t>
      </w:r>
      <w:proofErr w:type="gramEnd"/>
      <w:r w:rsidRPr="00780B79">
        <w:rPr>
          <w:rFonts w:eastAsia="Times New Roman" w:cstheme="minorHAnsi"/>
          <w:sz w:val="18"/>
        </w:rPr>
        <w:t xml:space="preserve"> 15 esperti per diverse categorie. Lo scopo è </w:t>
      </w:r>
      <w:proofErr w:type="gramStart"/>
      <w:r w:rsidRPr="00780B79">
        <w:rPr>
          <w:rFonts w:eastAsia="Times New Roman" w:cstheme="minorHAnsi"/>
          <w:sz w:val="18"/>
        </w:rPr>
        <w:t>quello di</w:t>
      </w:r>
      <w:proofErr w:type="gramEnd"/>
      <w:r w:rsidRPr="00780B79">
        <w:rPr>
          <w:rFonts w:eastAsia="Times New Roman" w:cstheme="minorHAnsi"/>
          <w:sz w:val="18"/>
        </w:rPr>
        <w:t xml:space="preserve"> offrire un servizio efficace e rapido, connotato da un approccio strutturato e obiettivo, che consenta di cambiare il modo di approcciarsi allo shopping perché diventi un’esperienza più consapevole, corretta e alla portata di tutti. </w:t>
      </w:r>
      <w:bookmarkStart w:id="0" w:name="_GoBack"/>
      <w:bookmarkEnd w:id="0"/>
    </w:p>
    <w:p w:rsidR="00993C84" w:rsidRPr="00780B79" w:rsidRDefault="00993C84" w:rsidP="00993C8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780B79">
        <w:rPr>
          <w:rFonts w:eastAsia="Times New Roman" w:cstheme="minorHAnsi"/>
          <w:b/>
          <w:color w:val="000000" w:themeColor="text1"/>
          <w:sz w:val="18"/>
          <w:lang w:eastAsia="it-IT"/>
        </w:rPr>
        <w:t xml:space="preserve">Ufficio Stampa – QualeScegliere.it </w:t>
      </w:r>
    </w:p>
    <w:p w:rsidR="00993C84" w:rsidRPr="00780B79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8"/>
          <w:lang w:eastAsia="it-IT"/>
        </w:rPr>
      </w:pPr>
      <w:r w:rsidRPr="00780B79">
        <w:rPr>
          <w:rFonts w:eastAsia="Times New Roman" w:cstheme="minorHAnsi"/>
          <w:color w:val="000000" w:themeColor="text1"/>
          <w:sz w:val="18"/>
          <w:lang w:eastAsia="it-IT"/>
        </w:rPr>
        <w:t xml:space="preserve">Email: </w:t>
      </w:r>
      <w:hyperlink r:id="rId12" w:history="1">
        <w:r w:rsidRPr="00780B79">
          <w:rPr>
            <w:rStyle w:val="Collegamentoipertestuale"/>
            <w:rFonts w:eastAsia="Times New Roman" w:cstheme="minorHAnsi"/>
            <w:sz w:val="18"/>
            <w:lang w:eastAsia="it-IT"/>
          </w:rPr>
          <w:t>luisa.esposito@mocaviventrures.com</w:t>
        </w:r>
      </w:hyperlink>
      <w:r w:rsidRPr="00780B79">
        <w:rPr>
          <w:rFonts w:eastAsia="Times New Roman" w:cstheme="minorHAnsi"/>
          <w:sz w:val="18"/>
          <w:lang w:eastAsia="it-IT"/>
        </w:rPr>
        <w:t xml:space="preserve"> </w:t>
      </w:r>
      <w:r w:rsidRPr="00780B79">
        <w:rPr>
          <w:rFonts w:eastAsia="Times New Roman" w:cstheme="minorHAnsi"/>
          <w:color w:val="FF6600"/>
          <w:sz w:val="18"/>
          <w:lang w:eastAsia="it-IT"/>
        </w:rPr>
        <w:t xml:space="preserve">   </w:t>
      </w:r>
    </w:p>
    <w:p w:rsidR="00993C84" w:rsidRPr="00306AC0" w:rsidRDefault="00993C84" w:rsidP="00993C84">
      <w:pPr>
        <w:spacing w:after="0" w:line="240" w:lineRule="auto"/>
        <w:rPr>
          <w:rFonts w:eastAsia="Times New Roman" w:cstheme="minorHAnsi"/>
          <w:color w:val="000000" w:themeColor="text1"/>
          <w:sz w:val="18"/>
          <w:lang w:val="en-US" w:eastAsia="it-IT"/>
        </w:rPr>
      </w:pPr>
      <w:r w:rsidRPr="00306AC0">
        <w:rPr>
          <w:rFonts w:eastAsia="Times New Roman" w:cstheme="minorHAnsi"/>
          <w:color w:val="000000" w:themeColor="text1"/>
          <w:sz w:val="18"/>
          <w:lang w:val="en-US" w:eastAsia="it-IT"/>
        </w:rPr>
        <w:t>Tel. +</w:t>
      </w:r>
      <w:proofErr w:type="gramStart"/>
      <w:r w:rsidRPr="00306AC0">
        <w:rPr>
          <w:rFonts w:eastAsia="Times New Roman" w:cstheme="minorHAnsi"/>
          <w:color w:val="000000" w:themeColor="text1"/>
          <w:sz w:val="18"/>
          <w:lang w:val="en-US" w:eastAsia="it-IT"/>
        </w:rPr>
        <w:t>49  30</w:t>
      </w:r>
      <w:proofErr w:type="gramEnd"/>
      <w:r w:rsidRPr="00306AC0">
        <w:rPr>
          <w:rFonts w:eastAsia="Times New Roman" w:cstheme="minorHAnsi"/>
          <w:color w:val="000000" w:themeColor="text1"/>
          <w:sz w:val="18"/>
          <w:lang w:val="en-US" w:eastAsia="it-IT"/>
        </w:rPr>
        <w:t xml:space="preserve"> 689 08 334</w:t>
      </w:r>
    </w:p>
    <w:p w:rsidR="00993C84" w:rsidRPr="00306AC0" w:rsidRDefault="00D266EC" w:rsidP="00993C84">
      <w:pPr>
        <w:spacing w:after="0" w:line="240" w:lineRule="auto"/>
        <w:rPr>
          <w:rFonts w:cstheme="minorHAnsi"/>
          <w:sz w:val="18"/>
          <w:lang w:val="en-US"/>
        </w:rPr>
      </w:pPr>
      <w:hyperlink r:id="rId13" w:history="1">
        <w:proofErr w:type="spellStart"/>
        <w:r w:rsidR="00993C84" w:rsidRPr="00306AC0">
          <w:rPr>
            <w:rStyle w:val="Collegamentoipertestuale"/>
            <w:rFonts w:cstheme="minorHAnsi"/>
            <w:sz w:val="18"/>
            <w:lang w:val="en-US"/>
          </w:rPr>
          <w:t>Sito</w:t>
        </w:r>
        <w:proofErr w:type="spellEnd"/>
        <w:r w:rsidR="00993C84" w:rsidRPr="00306AC0">
          <w:rPr>
            <w:rStyle w:val="Collegamentoipertestuale"/>
            <w:rFonts w:cstheme="minorHAnsi"/>
            <w:sz w:val="18"/>
            <w:lang w:val="en-US"/>
          </w:rPr>
          <w:t xml:space="preserve"> Web</w:t>
        </w:r>
      </w:hyperlink>
      <w:r w:rsidR="00306AC0">
        <w:rPr>
          <w:rFonts w:cstheme="minorHAnsi"/>
          <w:sz w:val="18"/>
          <w:lang w:val="en-US"/>
        </w:rPr>
        <w:t xml:space="preserve"> </w:t>
      </w:r>
    </w:p>
    <w:p w:rsidR="00AE681A" w:rsidRPr="00306AC0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US" w:eastAsia="it-IT"/>
        </w:rPr>
      </w:pPr>
    </w:p>
    <w:sectPr w:rsidR="00AE681A" w:rsidRPr="00306AC0" w:rsidSect="006D67AD">
      <w:headerReference w:type="default" r:id="rId14"/>
      <w:pgSz w:w="11906" w:h="16838"/>
      <w:pgMar w:top="851" w:right="991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EC" w:rsidRDefault="00D266EC" w:rsidP="00010F79">
      <w:pPr>
        <w:spacing w:after="0" w:line="240" w:lineRule="auto"/>
      </w:pPr>
      <w:r>
        <w:separator/>
      </w:r>
    </w:p>
  </w:endnote>
  <w:endnote w:type="continuationSeparator" w:id="0">
    <w:p w:rsidR="00D266EC" w:rsidRDefault="00D266EC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EC" w:rsidRDefault="00D266EC" w:rsidP="00010F79">
      <w:pPr>
        <w:spacing w:after="0" w:line="240" w:lineRule="auto"/>
      </w:pPr>
      <w:r>
        <w:separator/>
      </w:r>
    </w:p>
  </w:footnote>
  <w:footnote w:type="continuationSeparator" w:id="0">
    <w:p w:rsidR="00D266EC" w:rsidRDefault="00D266EC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9563410" wp14:editId="6B180C92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311C8"/>
    <w:multiLevelType w:val="hybridMultilevel"/>
    <w:tmpl w:val="C31A4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9B7FA6"/>
    <w:multiLevelType w:val="hybridMultilevel"/>
    <w:tmpl w:val="C95A1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C5FDB"/>
    <w:multiLevelType w:val="hybridMultilevel"/>
    <w:tmpl w:val="C4E05F32"/>
    <w:lvl w:ilvl="0" w:tplc="4A2A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246D3"/>
    <w:multiLevelType w:val="hybridMultilevel"/>
    <w:tmpl w:val="95A8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121D8"/>
    <w:multiLevelType w:val="multilevel"/>
    <w:tmpl w:val="30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53452"/>
    <w:multiLevelType w:val="hybridMultilevel"/>
    <w:tmpl w:val="69B23E6C"/>
    <w:lvl w:ilvl="0" w:tplc="CA0CB6F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E36C0A" w:themeColor="accent6" w:themeShade="BF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9"/>
  </w:num>
  <w:num w:numId="5">
    <w:abstractNumId w:val="4"/>
  </w:num>
  <w:num w:numId="6">
    <w:abstractNumId w:val="17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15"/>
  </w:num>
  <w:num w:numId="13">
    <w:abstractNumId w:val="12"/>
  </w:num>
  <w:num w:numId="14">
    <w:abstractNumId w:val="5"/>
  </w:num>
  <w:num w:numId="15">
    <w:abstractNumId w:val="16"/>
  </w:num>
  <w:num w:numId="16">
    <w:abstractNumId w:val="20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TI0MTK1MDcxNTBX0lEKTi0uzszPAykwNKgFAMKnVZ0tAAAA"/>
  </w:docVars>
  <w:rsids>
    <w:rsidRoot w:val="005A5C2A"/>
    <w:rsid w:val="00010F79"/>
    <w:rsid w:val="00011853"/>
    <w:rsid w:val="0001517D"/>
    <w:rsid w:val="000218C2"/>
    <w:rsid w:val="00021FE9"/>
    <w:rsid w:val="000346B1"/>
    <w:rsid w:val="00035E91"/>
    <w:rsid w:val="000376D1"/>
    <w:rsid w:val="00044D1B"/>
    <w:rsid w:val="00047AB8"/>
    <w:rsid w:val="00051827"/>
    <w:rsid w:val="00052053"/>
    <w:rsid w:val="000635BC"/>
    <w:rsid w:val="00067C25"/>
    <w:rsid w:val="00071E84"/>
    <w:rsid w:val="000778F4"/>
    <w:rsid w:val="00090B21"/>
    <w:rsid w:val="00092A53"/>
    <w:rsid w:val="000A10E2"/>
    <w:rsid w:val="000A12B9"/>
    <w:rsid w:val="000A480F"/>
    <w:rsid w:val="000B3AEB"/>
    <w:rsid w:val="000B3C91"/>
    <w:rsid w:val="000C13F2"/>
    <w:rsid w:val="000E4DB1"/>
    <w:rsid w:val="0010075E"/>
    <w:rsid w:val="00101A86"/>
    <w:rsid w:val="001076D5"/>
    <w:rsid w:val="0011697C"/>
    <w:rsid w:val="001237A6"/>
    <w:rsid w:val="00141A70"/>
    <w:rsid w:val="00145FB6"/>
    <w:rsid w:val="00151AD9"/>
    <w:rsid w:val="00155BE9"/>
    <w:rsid w:val="00190B28"/>
    <w:rsid w:val="00197F88"/>
    <w:rsid w:val="001B1B2A"/>
    <w:rsid w:val="001B1D2D"/>
    <w:rsid w:val="001C1843"/>
    <w:rsid w:val="001C51C1"/>
    <w:rsid w:val="001E283D"/>
    <w:rsid w:val="001F3037"/>
    <w:rsid w:val="001F3F0F"/>
    <w:rsid w:val="002247FA"/>
    <w:rsid w:val="00227532"/>
    <w:rsid w:val="002277CC"/>
    <w:rsid w:val="002277EE"/>
    <w:rsid w:val="00234485"/>
    <w:rsid w:val="002466C2"/>
    <w:rsid w:val="00247F84"/>
    <w:rsid w:val="0026357F"/>
    <w:rsid w:val="0027211D"/>
    <w:rsid w:val="00273571"/>
    <w:rsid w:val="00275FD2"/>
    <w:rsid w:val="002760E3"/>
    <w:rsid w:val="0027711D"/>
    <w:rsid w:val="00294E0C"/>
    <w:rsid w:val="002A3930"/>
    <w:rsid w:val="002A54FB"/>
    <w:rsid w:val="002B31E0"/>
    <w:rsid w:val="002C12F2"/>
    <w:rsid w:val="002D2DAF"/>
    <w:rsid w:val="002D7032"/>
    <w:rsid w:val="002D7584"/>
    <w:rsid w:val="002E2FE7"/>
    <w:rsid w:val="002F2AE5"/>
    <w:rsid w:val="002F3B0D"/>
    <w:rsid w:val="003049B5"/>
    <w:rsid w:val="00306AC0"/>
    <w:rsid w:val="003108F4"/>
    <w:rsid w:val="00323822"/>
    <w:rsid w:val="00323A11"/>
    <w:rsid w:val="003404FF"/>
    <w:rsid w:val="00350DE6"/>
    <w:rsid w:val="00352552"/>
    <w:rsid w:val="00354CAD"/>
    <w:rsid w:val="003553F0"/>
    <w:rsid w:val="00355FCD"/>
    <w:rsid w:val="00366BAC"/>
    <w:rsid w:val="0037534C"/>
    <w:rsid w:val="00376D5C"/>
    <w:rsid w:val="00390C21"/>
    <w:rsid w:val="003B23E4"/>
    <w:rsid w:val="003B459E"/>
    <w:rsid w:val="003B5A7C"/>
    <w:rsid w:val="003C62BA"/>
    <w:rsid w:val="003C6456"/>
    <w:rsid w:val="003F6EF4"/>
    <w:rsid w:val="004012B3"/>
    <w:rsid w:val="004014B2"/>
    <w:rsid w:val="004017FB"/>
    <w:rsid w:val="00405D95"/>
    <w:rsid w:val="00410989"/>
    <w:rsid w:val="004163CE"/>
    <w:rsid w:val="00420675"/>
    <w:rsid w:val="0043260E"/>
    <w:rsid w:val="00437A1C"/>
    <w:rsid w:val="004400AF"/>
    <w:rsid w:val="00453656"/>
    <w:rsid w:val="004571AA"/>
    <w:rsid w:val="00484295"/>
    <w:rsid w:val="00491D77"/>
    <w:rsid w:val="00497800"/>
    <w:rsid w:val="004A79FA"/>
    <w:rsid w:val="004C42CE"/>
    <w:rsid w:val="004E1111"/>
    <w:rsid w:val="00514281"/>
    <w:rsid w:val="00524A2A"/>
    <w:rsid w:val="00532806"/>
    <w:rsid w:val="00542C47"/>
    <w:rsid w:val="00543C25"/>
    <w:rsid w:val="00545255"/>
    <w:rsid w:val="00566D69"/>
    <w:rsid w:val="00576561"/>
    <w:rsid w:val="0059269A"/>
    <w:rsid w:val="005A0640"/>
    <w:rsid w:val="005A11B0"/>
    <w:rsid w:val="005A40C2"/>
    <w:rsid w:val="005A5C2A"/>
    <w:rsid w:val="005B03BB"/>
    <w:rsid w:val="005B1C57"/>
    <w:rsid w:val="005C6FD4"/>
    <w:rsid w:val="005D411B"/>
    <w:rsid w:val="005E1EF2"/>
    <w:rsid w:val="005E26F9"/>
    <w:rsid w:val="005E667F"/>
    <w:rsid w:val="005F75D8"/>
    <w:rsid w:val="006027CA"/>
    <w:rsid w:val="00615F9C"/>
    <w:rsid w:val="00616422"/>
    <w:rsid w:val="006218C2"/>
    <w:rsid w:val="00622A9D"/>
    <w:rsid w:val="00625511"/>
    <w:rsid w:val="006363D6"/>
    <w:rsid w:val="00651062"/>
    <w:rsid w:val="00655DDC"/>
    <w:rsid w:val="00671BEF"/>
    <w:rsid w:val="00672CF5"/>
    <w:rsid w:val="00674143"/>
    <w:rsid w:val="00674640"/>
    <w:rsid w:val="006819BA"/>
    <w:rsid w:val="006864C4"/>
    <w:rsid w:val="00687F2B"/>
    <w:rsid w:val="00695307"/>
    <w:rsid w:val="006B3BE7"/>
    <w:rsid w:val="006C27BA"/>
    <w:rsid w:val="006C350B"/>
    <w:rsid w:val="006D3E7F"/>
    <w:rsid w:val="006D48E4"/>
    <w:rsid w:val="006D67AD"/>
    <w:rsid w:val="006F34AF"/>
    <w:rsid w:val="006F6B05"/>
    <w:rsid w:val="00701F37"/>
    <w:rsid w:val="007021B5"/>
    <w:rsid w:val="00713633"/>
    <w:rsid w:val="00715AE1"/>
    <w:rsid w:val="00732648"/>
    <w:rsid w:val="0073379E"/>
    <w:rsid w:val="00736EC2"/>
    <w:rsid w:val="007636CB"/>
    <w:rsid w:val="007747C2"/>
    <w:rsid w:val="00780B79"/>
    <w:rsid w:val="00783F3C"/>
    <w:rsid w:val="00786EF0"/>
    <w:rsid w:val="00794084"/>
    <w:rsid w:val="007974A8"/>
    <w:rsid w:val="007B28EF"/>
    <w:rsid w:val="007C0B9F"/>
    <w:rsid w:val="007D626D"/>
    <w:rsid w:val="007E020A"/>
    <w:rsid w:val="007E1F6E"/>
    <w:rsid w:val="007E6AB1"/>
    <w:rsid w:val="007E6CE6"/>
    <w:rsid w:val="007F30B7"/>
    <w:rsid w:val="007F6215"/>
    <w:rsid w:val="00801C86"/>
    <w:rsid w:val="008023AE"/>
    <w:rsid w:val="00802726"/>
    <w:rsid w:val="0080551E"/>
    <w:rsid w:val="0080766A"/>
    <w:rsid w:val="0081451D"/>
    <w:rsid w:val="00815784"/>
    <w:rsid w:val="00823407"/>
    <w:rsid w:val="008313A4"/>
    <w:rsid w:val="0083338F"/>
    <w:rsid w:val="008408E2"/>
    <w:rsid w:val="00844BE9"/>
    <w:rsid w:val="008557FE"/>
    <w:rsid w:val="008620E4"/>
    <w:rsid w:val="00862A04"/>
    <w:rsid w:val="008655B3"/>
    <w:rsid w:val="00872F32"/>
    <w:rsid w:val="00893C23"/>
    <w:rsid w:val="00895CD8"/>
    <w:rsid w:val="008B7E4E"/>
    <w:rsid w:val="008C042C"/>
    <w:rsid w:val="008C4949"/>
    <w:rsid w:val="008C7B2E"/>
    <w:rsid w:val="009037AB"/>
    <w:rsid w:val="00904A25"/>
    <w:rsid w:val="00906378"/>
    <w:rsid w:val="0090778C"/>
    <w:rsid w:val="00907AF7"/>
    <w:rsid w:val="00927DE0"/>
    <w:rsid w:val="00934428"/>
    <w:rsid w:val="009474ED"/>
    <w:rsid w:val="009479E8"/>
    <w:rsid w:val="009623CA"/>
    <w:rsid w:val="009702E4"/>
    <w:rsid w:val="00971EC1"/>
    <w:rsid w:val="009766C5"/>
    <w:rsid w:val="009819F7"/>
    <w:rsid w:val="009833B3"/>
    <w:rsid w:val="00984ADC"/>
    <w:rsid w:val="00993C84"/>
    <w:rsid w:val="009963CA"/>
    <w:rsid w:val="00997866"/>
    <w:rsid w:val="009A01FF"/>
    <w:rsid w:val="009A4C45"/>
    <w:rsid w:val="009B6BF7"/>
    <w:rsid w:val="009D301A"/>
    <w:rsid w:val="009D3EAE"/>
    <w:rsid w:val="009E1530"/>
    <w:rsid w:val="009E16C5"/>
    <w:rsid w:val="009E225B"/>
    <w:rsid w:val="009E6E9A"/>
    <w:rsid w:val="009F050D"/>
    <w:rsid w:val="009F3693"/>
    <w:rsid w:val="00A05959"/>
    <w:rsid w:val="00A06CEB"/>
    <w:rsid w:val="00A13A42"/>
    <w:rsid w:val="00A21F66"/>
    <w:rsid w:val="00A36416"/>
    <w:rsid w:val="00A37470"/>
    <w:rsid w:val="00A40B47"/>
    <w:rsid w:val="00A51746"/>
    <w:rsid w:val="00A91C29"/>
    <w:rsid w:val="00AA7A7C"/>
    <w:rsid w:val="00AB3579"/>
    <w:rsid w:val="00AC7374"/>
    <w:rsid w:val="00AD2FA6"/>
    <w:rsid w:val="00AD574F"/>
    <w:rsid w:val="00AE0760"/>
    <w:rsid w:val="00AE4B8A"/>
    <w:rsid w:val="00AE681A"/>
    <w:rsid w:val="00AF3BF1"/>
    <w:rsid w:val="00AF576C"/>
    <w:rsid w:val="00AF722A"/>
    <w:rsid w:val="00B069CD"/>
    <w:rsid w:val="00B06E32"/>
    <w:rsid w:val="00B14B0B"/>
    <w:rsid w:val="00B242BE"/>
    <w:rsid w:val="00B314F0"/>
    <w:rsid w:val="00B45480"/>
    <w:rsid w:val="00B45941"/>
    <w:rsid w:val="00B45B13"/>
    <w:rsid w:val="00B45FCA"/>
    <w:rsid w:val="00B46496"/>
    <w:rsid w:val="00B64BCA"/>
    <w:rsid w:val="00B71F02"/>
    <w:rsid w:val="00B95A57"/>
    <w:rsid w:val="00B97F9F"/>
    <w:rsid w:val="00BB66F9"/>
    <w:rsid w:val="00BC29B2"/>
    <w:rsid w:val="00BD1298"/>
    <w:rsid w:val="00BD49CB"/>
    <w:rsid w:val="00BE0E99"/>
    <w:rsid w:val="00BE2B58"/>
    <w:rsid w:val="00BE6D8E"/>
    <w:rsid w:val="00BF0DBB"/>
    <w:rsid w:val="00C03C3A"/>
    <w:rsid w:val="00C167B6"/>
    <w:rsid w:val="00C21341"/>
    <w:rsid w:val="00C24C49"/>
    <w:rsid w:val="00C32055"/>
    <w:rsid w:val="00C42352"/>
    <w:rsid w:val="00C440D0"/>
    <w:rsid w:val="00C57A70"/>
    <w:rsid w:val="00C70DE6"/>
    <w:rsid w:val="00C83562"/>
    <w:rsid w:val="00C90A17"/>
    <w:rsid w:val="00C9101D"/>
    <w:rsid w:val="00C91571"/>
    <w:rsid w:val="00C926FE"/>
    <w:rsid w:val="00C93256"/>
    <w:rsid w:val="00C97D50"/>
    <w:rsid w:val="00CA0DD0"/>
    <w:rsid w:val="00CA22FF"/>
    <w:rsid w:val="00CA5228"/>
    <w:rsid w:val="00CC28AF"/>
    <w:rsid w:val="00CD0329"/>
    <w:rsid w:val="00CE586D"/>
    <w:rsid w:val="00CF4DDA"/>
    <w:rsid w:val="00D11300"/>
    <w:rsid w:val="00D11AF7"/>
    <w:rsid w:val="00D201B9"/>
    <w:rsid w:val="00D22EA1"/>
    <w:rsid w:val="00D24281"/>
    <w:rsid w:val="00D266EC"/>
    <w:rsid w:val="00D317E5"/>
    <w:rsid w:val="00D439C8"/>
    <w:rsid w:val="00D43C4A"/>
    <w:rsid w:val="00D54301"/>
    <w:rsid w:val="00D6068B"/>
    <w:rsid w:val="00D63BA7"/>
    <w:rsid w:val="00D63E79"/>
    <w:rsid w:val="00D71F2E"/>
    <w:rsid w:val="00D73B3C"/>
    <w:rsid w:val="00D74207"/>
    <w:rsid w:val="00D748EF"/>
    <w:rsid w:val="00D95F0E"/>
    <w:rsid w:val="00DB1867"/>
    <w:rsid w:val="00DB3A81"/>
    <w:rsid w:val="00DB57C0"/>
    <w:rsid w:val="00DE141B"/>
    <w:rsid w:val="00DE59C7"/>
    <w:rsid w:val="00DE7E62"/>
    <w:rsid w:val="00DF141D"/>
    <w:rsid w:val="00DF642D"/>
    <w:rsid w:val="00E03A26"/>
    <w:rsid w:val="00E15B2C"/>
    <w:rsid w:val="00E21EC7"/>
    <w:rsid w:val="00E25431"/>
    <w:rsid w:val="00E505EF"/>
    <w:rsid w:val="00E6327C"/>
    <w:rsid w:val="00E761D2"/>
    <w:rsid w:val="00E83139"/>
    <w:rsid w:val="00E8668D"/>
    <w:rsid w:val="00E9387C"/>
    <w:rsid w:val="00EA1179"/>
    <w:rsid w:val="00EA48AD"/>
    <w:rsid w:val="00EA5529"/>
    <w:rsid w:val="00EB0EF3"/>
    <w:rsid w:val="00EB55C1"/>
    <w:rsid w:val="00EB716B"/>
    <w:rsid w:val="00EB7EC4"/>
    <w:rsid w:val="00EC1C43"/>
    <w:rsid w:val="00EC7AF8"/>
    <w:rsid w:val="00ED52FD"/>
    <w:rsid w:val="00ED63D7"/>
    <w:rsid w:val="00EE2BAA"/>
    <w:rsid w:val="00EF7273"/>
    <w:rsid w:val="00EF7ACC"/>
    <w:rsid w:val="00F22A42"/>
    <w:rsid w:val="00F27870"/>
    <w:rsid w:val="00F32053"/>
    <w:rsid w:val="00F472B6"/>
    <w:rsid w:val="00F53921"/>
    <w:rsid w:val="00F6608C"/>
    <w:rsid w:val="00F7124B"/>
    <w:rsid w:val="00F725C0"/>
    <w:rsid w:val="00F73C15"/>
    <w:rsid w:val="00F744B0"/>
    <w:rsid w:val="00F84075"/>
    <w:rsid w:val="00F844BE"/>
    <w:rsid w:val="00F85074"/>
    <w:rsid w:val="00FA0CC5"/>
    <w:rsid w:val="00FA2A88"/>
    <w:rsid w:val="00FA4AAA"/>
    <w:rsid w:val="00FA6A27"/>
    <w:rsid w:val="00FC38A8"/>
    <w:rsid w:val="00FC66BA"/>
    <w:rsid w:val="00FD45F9"/>
    <w:rsid w:val="00FE3932"/>
    <w:rsid w:val="00FF052A"/>
    <w:rsid w:val="00FF192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5A5C2A"/>
  </w:style>
  <w:style w:type="character" w:customStyle="1" w:styleId="sep">
    <w:name w:val="sep"/>
    <w:basedOn w:val="Carpredefinitoparagrafo"/>
    <w:rsid w:val="005A5C2A"/>
  </w:style>
  <w:style w:type="character" w:styleId="Enfasigrassetto">
    <w:name w:val="Strong"/>
    <w:basedOn w:val="Carpredefinitoparagrafo"/>
    <w:uiPriority w:val="22"/>
    <w:qFormat/>
    <w:rsid w:val="005A5C2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5C2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5C2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79"/>
  </w:style>
  <w:style w:type="paragraph" w:styleId="Pidipagina">
    <w:name w:val="footer"/>
    <w:basedOn w:val="Normale"/>
    <w:link w:val="PidipaginaCarattere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7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03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03B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C38A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te-fredd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qualescegliere.it/te-fred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EC6D-08D5-4639-A8FA-B4192330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1362</Words>
  <Characters>7764</Characters>
  <Application>Microsoft Office Word</Application>
  <DocSecurity>0</DocSecurity>
  <Lines>64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3</cp:revision>
  <dcterms:created xsi:type="dcterms:W3CDTF">2019-08-06T09:41:00Z</dcterms:created>
  <dcterms:modified xsi:type="dcterms:W3CDTF">2019-08-06T10:28:00Z</dcterms:modified>
</cp:coreProperties>
</file>