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5462" w:rsidRDefault="001214C2">
      <w:pPr>
        <w:pStyle w:val="normal"/>
        <w:tabs>
          <w:tab w:val="left" w:pos="4320"/>
        </w:tabs>
        <w:spacing w:line="300" w:lineRule="auto"/>
        <w:jc w:val="center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Osservatori </w:t>
      </w:r>
      <w:proofErr w:type="spellStart"/>
      <w:r>
        <w:rPr>
          <w:rFonts w:ascii="Trebuchet MS" w:eastAsia="Trebuchet MS" w:hAnsi="Trebuchet MS" w:cs="Trebuchet MS"/>
          <w:b/>
          <w:sz w:val="22"/>
          <w:szCs w:val="22"/>
        </w:rPr>
        <w:t>Digital</w:t>
      </w:r>
      <w:proofErr w:type="spellEnd"/>
      <w:r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2"/>
          <w:szCs w:val="22"/>
        </w:rPr>
        <w:t>Innovation</w:t>
      </w:r>
      <w:proofErr w:type="spellEnd"/>
      <w:r>
        <w:rPr>
          <w:rFonts w:ascii="Trebuchet MS" w:eastAsia="Trebuchet MS" w:hAnsi="Trebuchet MS" w:cs="Trebuchet MS"/>
          <w:b/>
          <w:sz w:val="22"/>
          <w:szCs w:val="22"/>
        </w:rPr>
        <w:t xml:space="preserve"> del Politecnico di Milano</w:t>
      </w:r>
    </w:p>
    <w:p w:rsidR="00AC5462" w:rsidRDefault="001214C2">
      <w:pPr>
        <w:pStyle w:val="normal"/>
        <w:spacing w:line="300" w:lineRule="auto"/>
        <w:jc w:val="center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www.osservatori.net</w:t>
      </w:r>
    </w:p>
    <w:p w:rsidR="00AC5462" w:rsidRDefault="00AC5462">
      <w:pPr>
        <w:pStyle w:val="normal"/>
        <w:spacing w:line="300" w:lineRule="auto"/>
        <w:jc w:val="center"/>
        <w:rPr>
          <w:rFonts w:ascii="Trebuchet MS" w:eastAsia="Trebuchet MS" w:hAnsi="Trebuchet MS" w:cs="Trebuchet MS"/>
          <w:b/>
        </w:rPr>
      </w:pPr>
    </w:p>
    <w:p w:rsidR="00AC5462" w:rsidRDefault="001214C2">
      <w:pPr>
        <w:pStyle w:val="normal"/>
        <w:spacing w:line="300" w:lineRule="auto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  <w:u w:val="single"/>
        </w:rPr>
        <w:t>COMUNICATO STAMPA</w:t>
      </w:r>
    </w:p>
    <w:p w:rsidR="00AC5462" w:rsidRDefault="001214C2">
      <w:pPr>
        <w:pStyle w:val="normal"/>
        <w:spacing w:line="300" w:lineRule="auto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Osservatorio Mobile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Payment</w:t>
      </w:r>
      <w:proofErr w:type="spellEnd"/>
      <w:r>
        <w:rPr>
          <w:rFonts w:ascii="Trebuchet MS" w:eastAsia="Trebuchet MS" w:hAnsi="Trebuchet MS" w:cs="Trebuchet MS"/>
          <w:sz w:val="22"/>
          <w:szCs w:val="22"/>
        </w:rPr>
        <w:t xml:space="preserve"> &amp;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Commerce</w:t>
      </w:r>
      <w:proofErr w:type="spellEnd"/>
    </w:p>
    <w:p w:rsidR="00AC5462" w:rsidRDefault="00AC5462">
      <w:pPr>
        <w:pStyle w:val="normal"/>
        <w:spacing w:line="280" w:lineRule="auto"/>
        <w:rPr>
          <w:rFonts w:ascii="Trebuchet MS" w:eastAsia="Trebuchet MS" w:hAnsi="Trebuchet MS" w:cs="Trebuchet MS"/>
          <w:i/>
          <w:sz w:val="22"/>
          <w:szCs w:val="22"/>
        </w:rPr>
      </w:pPr>
    </w:p>
    <w:p w:rsidR="00AC5462" w:rsidRDefault="001214C2" w:rsidP="00027D24">
      <w:pPr>
        <w:pStyle w:val="normal"/>
        <w:widowControl/>
        <w:spacing w:line="280" w:lineRule="exact"/>
        <w:jc w:val="center"/>
        <w:rPr>
          <w:rFonts w:ascii="Trebuchet MS" w:eastAsia="Trebuchet MS" w:hAnsi="Trebuchet MS" w:cs="Trebuchet MS"/>
          <w:i/>
          <w:sz w:val="22"/>
          <w:szCs w:val="22"/>
        </w:rPr>
      </w:pPr>
      <w:r>
        <w:rPr>
          <w:rFonts w:ascii="Trebuchet MS" w:eastAsia="Trebuchet MS" w:hAnsi="Trebuchet MS" w:cs="Trebuchet MS"/>
          <w:i/>
          <w:sz w:val="22"/>
          <w:szCs w:val="22"/>
        </w:rPr>
        <w:t>I pagamenti digitali con carta in Italia crescono del 9% e raggiungono i 190 miliardi di €, pari al 24% dei consumi degli italiani.</w:t>
      </w:r>
    </w:p>
    <w:p w:rsidR="00AC5462" w:rsidRDefault="001214C2" w:rsidP="00027D24">
      <w:pPr>
        <w:pStyle w:val="normal"/>
        <w:widowControl/>
        <w:spacing w:line="280" w:lineRule="exact"/>
        <w:jc w:val="center"/>
        <w:rPr>
          <w:rFonts w:ascii="Trebuchet MS" w:eastAsia="Trebuchet MS" w:hAnsi="Trebuchet MS" w:cs="Trebuchet MS"/>
          <w:i/>
          <w:sz w:val="22"/>
          <w:szCs w:val="22"/>
        </w:rPr>
      </w:pPr>
      <w:r>
        <w:rPr>
          <w:rFonts w:ascii="Trebuchet MS" w:eastAsia="Trebuchet MS" w:hAnsi="Trebuchet MS" w:cs="Trebuchet MS"/>
          <w:i/>
          <w:sz w:val="22"/>
          <w:szCs w:val="22"/>
        </w:rPr>
        <w:t xml:space="preserve">Cresce l’infrastruttura </w:t>
      </w:r>
      <w:proofErr w:type="spellStart"/>
      <w:r>
        <w:rPr>
          <w:rFonts w:ascii="Trebuchet MS" w:eastAsia="Trebuchet MS" w:hAnsi="Trebuchet MS" w:cs="Trebuchet MS"/>
          <w:i/>
          <w:sz w:val="22"/>
          <w:szCs w:val="22"/>
        </w:rPr>
        <w:t>contactless</w:t>
      </w:r>
      <w:proofErr w:type="spellEnd"/>
      <w:r>
        <w:rPr>
          <w:rFonts w:ascii="Trebuchet MS" w:eastAsia="Trebuchet MS" w:hAnsi="Trebuchet MS" w:cs="Trebuchet MS"/>
          <w:i/>
          <w:sz w:val="22"/>
          <w:szCs w:val="22"/>
        </w:rPr>
        <w:t>: oggi 40 milioni di carte (2 carte su 5) e 1 milione di POS (1 POS su 2) sono abilitati,</w:t>
      </w:r>
      <w:r>
        <w:rPr>
          <w:rFonts w:ascii="Trebuchet MS" w:eastAsia="Trebuchet MS" w:hAnsi="Trebuchet MS" w:cs="Trebuchet MS"/>
          <w:i/>
          <w:sz w:val="22"/>
          <w:szCs w:val="22"/>
        </w:rPr>
        <w:t xml:space="preserve"> nel 2019 potranno </w:t>
      </w:r>
      <w:proofErr w:type="spellStart"/>
      <w:r>
        <w:rPr>
          <w:rFonts w:ascii="Trebuchet MS" w:eastAsia="Trebuchet MS" w:hAnsi="Trebuchet MS" w:cs="Trebuchet MS"/>
          <w:i/>
          <w:sz w:val="22"/>
          <w:szCs w:val="22"/>
        </w:rPr>
        <w:t>transare</w:t>
      </w:r>
      <w:proofErr w:type="spellEnd"/>
      <w:r>
        <w:rPr>
          <w:rFonts w:ascii="Trebuchet MS" w:eastAsia="Trebuchet MS" w:hAnsi="Trebuchet MS" w:cs="Trebuchet MS"/>
          <w:i/>
          <w:sz w:val="22"/>
          <w:szCs w:val="22"/>
        </w:rPr>
        <w:t xml:space="preserve"> tra i 50 e i 70 miliardi di euro.</w:t>
      </w:r>
    </w:p>
    <w:p w:rsidR="00AC5462" w:rsidRDefault="001214C2" w:rsidP="00027D24">
      <w:pPr>
        <w:pStyle w:val="normal"/>
        <w:widowControl/>
        <w:spacing w:line="280" w:lineRule="exact"/>
        <w:jc w:val="center"/>
        <w:rPr>
          <w:rFonts w:ascii="Trebuchet MS" w:eastAsia="Trebuchet MS" w:hAnsi="Trebuchet MS" w:cs="Trebuchet MS"/>
          <w:i/>
          <w:sz w:val="22"/>
          <w:szCs w:val="22"/>
        </w:rPr>
      </w:pPr>
      <w:r>
        <w:rPr>
          <w:rFonts w:ascii="Trebuchet MS" w:eastAsia="Trebuchet MS" w:hAnsi="Trebuchet MS" w:cs="Trebuchet MS"/>
          <w:i/>
          <w:sz w:val="22"/>
          <w:szCs w:val="22"/>
        </w:rPr>
        <w:t>Gli italiani scoprono, così, la comodità di pagare semplicemente appoggiando la carta al POS.</w:t>
      </w:r>
    </w:p>
    <w:p w:rsidR="00AC5462" w:rsidRDefault="00AC5462">
      <w:pPr>
        <w:pStyle w:val="normal"/>
        <w:widowControl/>
        <w:spacing w:line="280" w:lineRule="auto"/>
        <w:jc w:val="center"/>
        <w:rPr>
          <w:rFonts w:ascii="Trebuchet MS" w:eastAsia="Trebuchet MS" w:hAnsi="Trebuchet MS" w:cs="Trebuchet MS"/>
          <w:i/>
          <w:sz w:val="22"/>
          <w:szCs w:val="22"/>
        </w:rPr>
      </w:pPr>
    </w:p>
    <w:p w:rsidR="00027D24" w:rsidRDefault="001214C2" w:rsidP="00027D24">
      <w:pPr>
        <w:pStyle w:val="normal"/>
        <w:spacing w:line="360" w:lineRule="exact"/>
        <w:jc w:val="center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I pagamenti innovativi superano i 30 miliardi di €</w:t>
      </w:r>
      <w:r w:rsidR="00027D24">
        <w:rPr>
          <w:rFonts w:ascii="Trebuchet MS" w:eastAsia="Trebuchet MS" w:hAnsi="Trebuchet MS" w:cs="Trebuchet MS"/>
          <w:b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sz w:val="28"/>
          <w:szCs w:val="28"/>
        </w:rPr>
        <w:t xml:space="preserve">spinti dai </w:t>
      </w:r>
    </w:p>
    <w:p w:rsidR="00027D24" w:rsidRDefault="001214C2" w:rsidP="00027D24">
      <w:pPr>
        <w:pStyle w:val="normal"/>
        <w:spacing w:line="360" w:lineRule="exact"/>
        <w:jc w:val="center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 xml:space="preserve">pagamenti </w:t>
      </w:r>
      <w:proofErr w:type="spellStart"/>
      <w:r>
        <w:rPr>
          <w:rFonts w:ascii="Trebuchet MS" w:eastAsia="Trebuchet MS" w:hAnsi="Trebuchet MS" w:cs="Trebuchet MS"/>
          <w:b/>
          <w:sz w:val="28"/>
          <w:szCs w:val="28"/>
        </w:rPr>
        <w:t>contactless</w:t>
      </w:r>
      <w:proofErr w:type="spellEnd"/>
      <w:r>
        <w:rPr>
          <w:rFonts w:ascii="Trebuchet MS" w:eastAsia="Trebuchet MS" w:hAnsi="Trebuchet MS" w:cs="Trebuchet MS"/>
          <w:b/>
          <w:sz w:val="28"/>
          <w:szCs w:val="28"/>
        </w:rPr>
        <w:t xml:space="preserve"> (7 miliardi di </w:t>
      </w:r>
      <w:r>
        <w:rPr>
          <w:rFonts w:ascii="Trebuchet MS" w:eastAsia="Trebuchet MS" w:hAnsi="Trebuchet MS" w:cs="Trebuchet MS"/>
          <w:b/>
          <w:sz w:val="28"/>
          <w:szCs w:val="28"/>
        </w:rPr>
        <w:t xml:space="preserve">€, + 700%) </w:t>
      </w:r>
    </w:p>
    <w:p w:rsidR="00AC5462" w:rsidRDefault="001214C2" w:rsidP="00027D24">
      <w:pPr>
        <w:pStyle w:val="normal"/>
        <w:spacing w:line="360" w:lineRule="exact"/>
        <w:jc w:val="center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e M</w:t>
      </w:r>
      <w:r w:rsidR="00027D24">
        <w:rPr>
          <w:rFonts w:ascii="Trebuchet MS" w:eastAsia="Trebuchet MS" w:hAnsi="Trebuchet MS" w:cs="Trebuchet MS"/>
          <w:b/>
          <w:sz w:val="28"/>
          <w:szCs w:val="28"/>
        </w:rPr>
        <w:t>obile (3,9 miliardi di €, +63%)</w:t>
      </w:r>
    </w:p>
    <w:p w:rsidR="00AC5462" w:rsidRDefault="00AC5462">
      <w:pPr>
        <w:pStyle w:val="normal"/>
        <w:spacing w:line="280" w:lineRule="auto"/>
        <w:jc w:val="both"/>
        <w:rPr>
          <w:rFonts w:ascii="Trebuchet MS" w:eastAsia="Trebuchet MS" w:hAnsi="Trebuchet MS" w:cs="Trebuchet MS"/>
          <w:sz w:val="22"/>
          <w:szCs w:val="22"/>
          <w:shd w:val="clear" w:color="auto" w:fill="F4CCCC"/>
        </w:rPr>
      </w:pPr>
    </w:p>
    <w:p w:rsidR="00AC5462" w:rsidRDefault="001214C2" w:rsidP="00027D24">
      <w:pPr>
        <w:pStyle w:val="normal"/>
        <w:widowControl/>
        <w:spacing w:line="280" w:lineRule="exact"/>
        <w:jc w:val="center"/>
        <w:rPr>
          <w:rFonts w:ascii="Trebuchet MS" w:eastAsia="Trebuchet MS" w:hAnsi="Trebuchet MS" w:cs="Trebuchet MS"/>
          <w:sz w:val="22"/>
          <w:szCs w:val="22"/>
          <w:shd w:val="clear" w:color="auto" w:fill="F4CCCC"/>
        </w:rPr>
      </w:pPr>
      <w:bookmarkStart w:id="0" w:name="_gjdgxs" w:colFirst="0" w:colLast="0"/>
      <w:bookmarkEnd w:id="0"/>
      <w:r>
        <w:rPr>
          <w:rFonts w:ascii="Trebuchet MS" w:eastAsia="Trebuchet MS" w:hAnsi="Trebuchet MS" w:cs="Trebuchet MS"/>
          <w:i/>
          <w:sz w:val="22"/>
          <w:szCs w:val="22"/>
        </w:rPr>
        <w:t xml:space="preserve">L'impennata dei pagamenti </w:t>
      </w:r>
      <w:proofErr w:type="spellStart"/>
      <w:r>
        <w:rPr>
          <w:rFonts w:ascii="Trebuchet MS" w:eastAsia="Trebuchet MS" w:hAnsi="Trebuchet MS" w:cs="Trebuchet MS"/>
          <w:i/>
          <w:sz w:val="22"/>
          <w:szCs w:val="22"/>
        </w:rPr>
        <w:t>contactless</w:t>
      </w:r>
      <w:proofErr w:type="spellEnd"/>
      <w:r>
        <w:rPr>
          <w:rFonts w:ascii="Trebuchet MS" w:eastAsia="Trebuchet MS" w:hAnsi="Trebuchet MS" w:cs="Trebuchet MS"/>
          <w:i/>
          <w:sz w:val="22"/>
          <w:szCs w:val="22"/>
        </w:rPr>
        <w:t xml:space="preserve"> traina i “New </w:t>
      </w:r>
      <w:proofErr w:type="spellStart"/>
      <w:r>
        <w:rPr>
          <w:rFonts w:ascii="Trebuchet MS" w:eastAsia="Trebuchet MS" w:hAnsi="Trebuchet MS" w:cs="Trebuchet MS"/>
          <w:i/>
          <w:sz w:val="22"/>
          <w:szCs w:val="22"/>
        </w:rPr>
        <w:t>Digital</w:t>
      </w:r>
      <w:proofErr w:type="spellEnd"/>
      <w:r>
        <w:rPr>
          <w:rFonts w:ascii="Trebuchet MS" w:eastAsia="Trebuchet MS" w:hAnsi="Trebuchet MS" w:cs="Trebuchet MS"/>
          <w:i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sz w:val="22"/>
          <w:szCs w:val="22"/>
        </w:rPr>
        <w:t>Payment</w:t>
      </w:r>
      <w:proofErr w:type="spellEnd"/>
      <w:r>
        <w:rPr>
          <w:rFonts w:ascii="Trebuchet MS" w:eastAsia="Trebuchet MS" w:hAnsi="Trebuchet MS" w:cs="Trebuchet MS"/>
          <w:i/>
          <w:sz w:val="22"/>
          <w:szCs w:val="22"/>
        </w:rPr>
        <w:t>” (</w:t>
      </w:r>
      <w:proofErr w:type="spellStart"/>
      <w:r>
        <w:rPr>
          <w:rFonts w:ascii="Trebuchet MS" w:eastAsia="Trebuchet MS" w:hAnsi="Trebuchet MS" w:cs="Trebuchet MS"/>
          <w:i/>
          <w:sz w:val="22"/>
          <w:szCs w:val="22"/>
        </w:rPr>
        <w:t>eCommerce</w:t>
      </w:r>
      <w:proofErr w:type="spellEnd"/>
      <w:r>
        <w:rPr>
          <w:rFonts w:ascii="Trebuchet MS" w:eastAsia="Trebuchet MS" w:hAnsi="Trebuchet MS" w:cs="Trebuchet MS"/>
          <w:i/>
          <w:sz w:val="22"/>
          <w:szCs w:val="22"/>
        </w:rPr>
        <w:t xml:space="preserve">, </w:t>
      </w:r>
      <w:proofErr w:type="spellStart"/>
      <w:r>
        <w:rPr>
          <w:rFonts w:ascii="Trebuchet MS" w:eastAsia="Trebuchet MS" w:hAnsi="Trebuchet MS" w:cs="Trebuchet MS"/>
          <w:i/>
          <w:sz w:val="22"/>
          <w:szCs w:val="22"/>
        </w:rPr>
        <w:t>ePayment</w:t>
      </w:r>
      <w:proofErr w:type="spellEnd"/>
      <w:r>
        <w:rPr>
          <w:rFonts w:ascii="Trebuchet MS" w:eastAsia="Trebuchet MS" w:hAnsi="Trebuchet MS" w:cs="Trebuchet MS"/>
          <w:i/>
          <w:sz w:val="22"/>
          <w:szCs w:val="22"/>
        </w:rPr>
        <w:t xml:space="preserve">, Mobile </w:t>
      </w:r>
      <w:proofErr w:type="spellStart"/>
      <w:r>
        <w:rPr>
          <w:rFonts w:ascii="Trebuchet MS" w:eastAsia="Trebuchet MS" w:hAnsi="Trebuchet MS" w:cs="Trebuchet MS"/>
          <w:i/>
          <w:sz w:val="22"/>
          <w:szCs w:val="22"/>
        </w:rPr>
        <w:t>Payment</w:t>
      </w:r>
      <w:proofErr w:type="spellEnd"/>
      <w:r>
        <w:rPr>
          <w:rFonts w:ascii="Trebuchet MS" w:eastAsia="Trebuchet MS" w:hAnsi="Trebuchet MS" w:cs="Trebuchet MS"/>
          <w:i/>
          <w:sz w:val="22"/>
          <w:szCs w:val="22"/>
        </w:rPr>
        <w:t xml:space="preserve"> &amp; </w:t>
      </w:r>
      <w:proofErr w:type="spellStart"/>
      <w:r>
        <w:rPr>
          <w:rFonts w:ascii="Trebuchet MS" w:eastAsia="Trebuchet MS" w:hAnsi="Trebuchet MS" w:cs="Trebuchet MS"/>
          <w:i/>
          <w:sz w:val="22"/>
          <w:szCs w:val="22"/>
        </w:rPr>
        <w:t>Commerce</w:t>
      </w:r>
      <w:proofErr w:type="spellEnd"/>
      <w:r>
        <w:rPr>
          <w:rFonts w:ascii="Trebuchet MS" w:eastAsia="Trebuchet MS" w:hAnsi="Trebuchet MS" w:cs="Trebuchet MS"/>
          <w:i/>
          <w:sz w:val="22"/>
          <w:szCs w:val="22"/>
        </w:rPr>
        <w:t xml:space="preserve"> a distanza e in prossimità, Mobile POS e </w:t>
      </w:r>
      <w:proofErr w:type="spellStart"/>
      <w:r>
        <w:rPr>
          <w:rFonts w:ascii="Trebuchet MS" w:eastAsia="Trebuchet MS" w:hAnsi="Trebuchet MS" w:cs="Trebuchet MS"/>
          <w:i/>
          <w:sz w:val="22"/>
          <w:szCs w:val="22"/>
        </w:rPr>
        <w:t>Contactless</w:t>
      </w:r>
      <w:proofErr w:type="spellEnd"/>
      <w:r>
        <w:rPr>
          <w:rFonts w:ascii="Trebuchet MS" w:eastAsia="Trebuchet MS" w:hAnsi="Trebuchet MS" w:cs="Trebuchet MS"/>
          <w:i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sz w:val="22"/>
          <w:szCs w:val="22"/>
        </w:rPr>
        <w:t>Payment</w:t>
      </w:r>
      <w:proofErr w:type="spellEnd"/>
      <w:r>
        <w:rPr>
          <w:rFonts w:ascii="Trebuchet MS" w:eastAsia="Trebuchet MS" w:hAnsi="Trebuchet MS" w:cs="Trebuchet MS"/>
          <w:i/>
          <w:sz w:val="22"/>
          <w:szCs w:val="22"/>
        </w:rPr>
        <w:t xml:space="preserve">) che raddoppiano il tasso di </w:t>
      </w:r>
      <w:r>
        <w:rPr>
          <w:rFonts w:ascii="Trebuchet MS" w:eastAsia="Trebuchet MS" w:hAnsi="Trebuchet MS" w:cs="Trebuchet MS"/>
          <w:i/>
          <w:sz w:val="22"/>
          <w:szCs w:val="22"/>
        </w:rPr>
        <w:t>crescita, pari al +51% rispetto al 2015 e valgono il 16% del totale dei pagamenti digitali con carta.</w:t>
      </w:r>
    </w:p>
    <w:p w:rsidR="00AC5462" w:rsidRDefault="001214C2" w:rsidP="00027D24">
      <w:pPr>
        <w:pStyle w:val="normal"/>
        <w:spacing w:line="280" w:lineRule="exact"/>
        <w:jc w:val="center"/>
        <w:rPr>
          <w:rFonts w:ascii="Trebuchet MS" w:eastAsia="Trebuchet MS" w:hAnsi="Trebuchet MS" w:cs="Trebuchet MS"/>
          <w:i/>
          <w:sz w:val="22"/>
          <w:szCs w:val="22"/>
        </w:rPr>
      </w:pPr>
      <w:r>
        <w:rPr>
          <w:rFonts w:ascii="Trebuchet MS" w:eastAsia="Trebuchet MS" w:hAnsi="Trebuchet MS" w:cs="Trebuchet MS"/>
          <w:i/>
          <w:sz w:val="22"/>
          <w:szCs w:val="22"/>
        </w:rPr>
        <w:t xml:space="preserve">L'acquisto e il pagamento di prodotti e servizi da PC o </w:t>
      </w:r>
      <w:proofErr w:type="spellStart"/>
      <w:r>
        <w:rPr>
          <w:rFonts w:ascii="Trebuchet MS" w:eastAsia="Trebuchet MS" w:hAnsi="Trebuchet MS" w:cs="Trebuchet MS"/>
          <w:i/>
          <w:sz w:val="22"/>
          <w:szCs w:val="22"/>
        </w:rPr>
        <w:t>tablet</w:t>
      </w:r>
      <w:proofErr w:type="spellEnd"/>
      <w:r>
        <w:rPr>
          <w:rFonts w:ascii="Trebuchet MS" w:eastAsia="Trebuchet MS" w:hAnsi="Trebuchet MS" w:cs="Trebuchet MS"/>
          <w:i/>
          <w:sz w:val="22"/>
          <w:szCs w:val="22"/>
        </w:rPr>
        <w:t xml:space="preserve"> (tramite carta o Mobile </w:t>
      </w:r>
      <w:proofErr w:type="spellStart"/>
      <w:r>
        <w:rPr>
          <w:rFonts w:ascii="Trebuchet MS" w:eastAsia="Trebuchet MS" w:hAnsi="Trebuchet MS" w:cs="Trebuchet MS"/>
          <w:i/>
          <w:sz w:val="22"/>
          <w:szCs w:val="22"/>
        </w:rPr>
        <w:t>Wallet</w:t>
      </w:r>
      <w:proofErr w:type="spellEnd"/>
      <w:r>
        <w:rPr>
          <w:rFonts w:ascii="Trebuchet MS" w:eastAsia="Trebuchet MS" w:hAnsi="Trebuchet MS" w:cs="Trebuchet MS"/>
          <w:i/>
          <w:sz w:val="22"/>
          <w:szCs w:val="22"/>
        </w:rPr>
        <w:t>) cresce del +14% arrivando a valere 18,7 miliardi di €.</w:t>
      </w:r>
    </w:p>
    <w:p w:rsidR="00AC5462" w:rsidRDefault="001214C2" w:rsidP="00027D24">
      <w:pPr>
        <w:pStyle w:val="normal"/>
        <w:spacing w:line="280" w:lineRule="exact"/>
        <w:jc w:val="center"/>
        <w:rPr>
          <w:rFonts w:ascii="Trebuchet MS" w:eastAsia="Trebuchet MS" w:hAnsi="Trebuchet MS" w:cs="Trebuchet MS"/>
          <w:i/>
          <w:sz w:val="22"/>
          <w:szCs w:val="22"/>
        </w:rPr>
      </w:pPr>
      <w:r>
        <w:rPr>
          <w:rFonts w:ascii="Trebuchet MS" w:eastAsia="Trebuchet MS" w:hAnsi="Trebuchet MS" w:cs="Trebuchet MS"/>
          <w:i/>
          <w:sz w:val="22"/>
          <w:szCs w:val="22"/>
        </w:rPr>
        <w:t>Cres</w:t>
      </w:r>
      <w:r>
        <w:rPr>
          <w:rFonts w:ascii="Trebuchet MS" w:eastAsia="Trebuchet MS" w:hAnsi="Trebuchet MS" w:cs="Trebuchet MS"/>
          <w:i/>
          <w:sz w:val="22"/>
          <w:szCs w:val="22"/>
        </w:rPr>
        <w:t xml:space="preserve">cono anche gli acquisti di beni e servizi tramite Mobile site o Mobile </w:t>
      </w:r>
      <w:proofErr w:type="spellStart"/>
      <w:r>
        <w:rPr>
          <w:rFonts w:ascii="Trebuchet MS" w:eastAsia="Trebuchet MS" w:hAnsi="Trebuchet MS" w:cs="Trebuchet MS"/>
          <w:i/>
          <w:sz w:val="22"/>
          <w:szCs w:val="22"/>
        </w:rPr>
        <w:t>app</w:t>
      </w:r>
      <w:proofErr w:type="spellEnd"/>
      <w:r>
        <w:rPr>
          <w:rFonts w:ascii="Trebuchet MS" w:eastAsia="Trebuchet MS" w:hAnsi="Trebuchet MS" w:cs="Trebuchet MS"/>
          <w:i/>
          <w:sz w:val="22"/>
          <w:szCs w:val="22"/>
        </w:rPr>
        <w:t xml:space="preserve"> (+63%) e raggiungono i 3,3 miliardi di €, pari a circa il 17% del totale </w:t>
      </w:r>
      <w:proofErr w:type="spellStart"/>
      <w:r>
        <w:rPr>
          <w:rFonts w:ascii="Trebuchet MS" w:eastAsia="Trebuchet MS" w:hAnsi="Trebuchet MS" w:cs="Trebuchet MS"/>
          <w:i/>
          <w:sz w:val="22"/>
          <w:szCs w:val="22"/>
        </w:rPr>
        <w:t>transato</w:t>
      </w:r>
      <w:proofErr w:type="spellEnd"/>
      <w:r>
        <w:rPr>
          <w:rFonts w:ascii="Trebuchet MS" w:eastAsia="Trebuchet MS" w:hAnsi="Trebuchet MS" w:cs="Trebuchet MS"/>
          <w:i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sz w:val="22"/>
          <w:szCs w:val="22"/>
        </w:rPr>
        <w:t>eCommerce</w:t>
      </w:r>
      <w:proofErr w:type="spellEnd"/>
      <w:r>
        <w:rPr>
          <w:rFonts w:ascii="Trebuchet MS" w:eastAsia="Trebuchet MS" w:hAnsi="Trebuchet MS" w:cs="Trebuchet MS"/>
          <w:i/>
          <w:sz w:val="22"/>
          <w:szCs w:val="22"/>
        </w:rPr>
        <w:t xml:space="preserve">. </w:t>
      </w:r>
    </w:p>
    <w:p w:rsidR="00AC5462" w:rsidRDefault="001214C2" w:rsidP="00027D24">
      <w:pPr>
        <w:pStyle w:val="normal"/>
        <w:spacing w:line="280" w:lineRule="exact"/>
        <w:jc w:val="center"/>
        <w:rPr>
          <w:rFonts w:ascii="Trebuchet MS" w:eastAsia="Trebuchet MS" w:hAnsi="Trebuchet MS" w:cs="Trebuchet MS"/>
          <w:i/>
          <w:sz w:val="22"/>
          <w:szCs w:val="22"/>
        </w:rPr>
      </w:pPr>
      <w:r>
        <w:rPr>
          <w:rFonts w:ascii="Trebuchet MS" w:eastAsia="Trebuchet MS" w:hAnsi="Trebuchet MS" w:cs="Trebuchet MS"/>
          <w:i/>
          <w:sz w:val="22"/>
          <w:szCs w:val="22"/>
        </w:rPr>
        <w:t xml:space="preserve">I pagamenti effettuati utilizzando lo </w:t>
      </w:r>
      <w:proofErr w:type="spellStart"/>
      <w:r>
        <w:rPr>
          <w:rFonts w:ascii="Trebuchet MS" w:eastAsia="Trebuchet MS" w:hAnsi="Trebuchet MS" w:cs="Trebuchet MS"/>
          <w:i/>
          <w:sz w:val="22"/>
          <w:szCs w:val="22"/>
        </w:rPr>
        <w:t>smartphone</w:t>
      </w:r>
      <w:proofErr w:type="spellEnd"/>
      <w:r>
        <w:rPr>
          <w:rFonts w:ascii="Trebuchet MS" w:eastAsia="Trebuchet MS" w:hAnsi="Trebuchet MS" w:cs="Trebuchet MS"/>
          <w:i/>
          <w:sz w:val="22"/>
          <w:szCs w:val="22"/>
        </w:rPr>
        <w:t xml:space="preserve"> come POS raggiungono i 600 milioni di </w:t>
      </w:r>
      <w:r>
        <w:rPr>
          <w:rFonts w:ascii="Trebuchet MS" w:eastAsia="Trebuchet MS" w:hAnsi="Trebuchet MS" w:cs="Trebuchet MS"/>
          <w:i/>
          <w:sz w:val="22"/>
          <w:szCs w:val="22"/>
        </w:rPr>
        <w:t>€ (+61%), con i pagamenti legati ai trasporti che raddoppiano e raggiungono i 90 milioni di €:</w:t>
      </w:r>
    </w:p>
    <w:p w:rsidR="00AC5462" w:rsidRDefault="001214C2" w:rsidP="00027D24">
      <w:pPr>
        <w:pStyle w:val="normal"/>
        <w:spacing w:line="280" w:lineRule="exact"/>
        <w:jc w:val="center"/>
        <w:rPr>
          <w:rFonts w:ascii="Trebuchet MS" w:eastAsia="Trebuchet MS" w:hAnsi="Trebuchet MS" w:cs="Trebuchet MS"/>
          <w:i/>
          <w:sz w:val="22"/>
          <w:szCs w:val="22"/>
        </w:rPr>
      </w:pPr>
      <w:r>
        <w:rPr>
          <w:rFonts w:ascii="Trebuchet MS" w:eastAsia="Trebuchet MS" w:hAnsi="Trebuchet MS" w:cs="Trebuchet MS"/>
          <w:i/>
          <w:sz w:val="22"/>
          <w:szCs w:val="22"/>
        </w:rPr>
        <w:t xml:space="preserve">nel 2016 il settore dei Taxi ha registrato quasi 4,5 milioni di € pagati tramite </w:t>
      </w:r>
      <w:proofErr w:type="spellStart"/>
      <w:r>
        <w:rPr>
          <w:rFonts w:ascii="Trebuchet MS" w:eastAsia="Trebuchet MS" w:hAnsi="Trebuchet MS" w:cs="Trebuchet MS"/>
          <w:i/>
          <w:sz w:val="22"/>
          <w:szCs w:val="22"/>
        </w:rPr>
        <w:t>smartphone</w:t>
      </w:r>
      <w:proofErr w:type="spellEnd"/>
      <w:r>
        <w:rPr>
          <w:rFonts w:ascii="Trebuchet MS" w:eastAsia="Trebuchet MS" w:hAnsi="Trebuchet MS" w:cs="Trebuchet MS"/>
          <w:i/>
          <w:sz w:val="22"/>
          <w:szCs w:val="22"/>
        </w:rPr>
        <w:t xml:space="preserve"> e</w:t>
      </w:r>
      <w:r>
        <w:rPr>
          <w:rFonts w:ascii="Trebuchet MS" w:eastAsia="Trebuchet MS" w:hAnsi="Trebuchet MS" w:cs="Trebuchet MS"/>
          <w:i/>
          <w:sz w:val="22"/>
          <w:szCs w:val="22"/>
        </w:rPr>
        <w:br/>
        <w:t xml:space="preserve">sono stati acquistati oltre 8 milioni di biglietti del bus, pagate </w:t>
      </w:r>
      <w:r>
        <w:rPr>
          <w:rFonts w:ascii="Trebuchet MS" w:eastAsia="Trebuchet MS" w:hAnsi="Trebuchet MS" w:cs="Trebuchet MS"/>
          <w:i/>
          <w:sz w:val="22"/>
          <w:szCs w:val="22"/>
        </w:rPr>
        <w:t xml:space="preserve">quasi 7 milioni di soste e oltre 10 milioni di corse di </w:t>
      </w:r>
      <w:proofErr w:type="spellStart"/>
      <w:r>
        <w:rPr>
          <w:rFonts w:ascii="Trebuchet MS" w:eastAsia="Trebuchet MS" w:hAnsi="Trebuchet MS" w:cs="Trebuchet MS"/>
          <w:i/>
          <w:sz w:val="22"/>
          <w:szCs w:val="22"/>
        </w:rPr>
        <w:t>car</w:t>
      </w:r>
      <w:proofErr w:type="spellEnd"/>
      <w:r>
        <w:rPr>
          <w:rFonts w:ascii="Trebuchet MS" w:eastAsia="Trebuchet MS" w:hAnsi="Trebuchet MS" w:cs="Trebuchet MS"/>
          <w:i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sz w:val="22"/>
          <w:szCs w:val="22"/>
        </w:rPr>
        <w:t>sharing</w:t>
      </w:r>
      <w:proofErr w:type="spellEnd"/>
      <w:r>
        <w:rPr>
          <w:rFonts w:ascii="Trebuchet MS" w:eastAsia="Trebuchet MS" w:hAnsi="Trebuchet MS" w:cs="Trebuchet MS"/>
          <w:i/>
          <w:sz w:val="22"/>
          <w:szCs w:val="22"/>
        </w:rPr>
        <w:t>.</w:t>
      </w:r>
      <w:r>
        <w:rPr>
          <w:rFonts w:ascii="Trebuchet MS" w:eastAsia="Trebuchet MS" w:hAnsi="Trebuchet MS" w:cs="Trebuchet MS"/>
          <w:i/>
          <w:sz w:val="22"/>
          <w:szCs w:val="22"/>
        </w:rPr>
        <w:br/>
      </w:r>
      <w:r>
        <w:rPr>
          <w:rFonts w:ascii="Trebuchet MS" w:eastAsia="Trebuchet MS" w:hAnsi="Trebuchet MS" w:cs="Trebuchet MS"/>
          <w:i/>
          <w:sz w:val="22"/>
          <w:szCs w:val="22"/>
          <w:highlight w:val="white"/>
        </w:rPr>
        <w:t xml:space="preserve">La Customer Experience nell’uso dei mobile </w:t>
      </w:r>
      <w:proofErr w:type="spellStart"/>
      <w:r>
        <w:rPr>
          <w:rFonts w:ascii="Trebuchet MS" w:eastAsia="Trebuchet MS" w:hAnsi="Trebuchet MS" w:cs="Trebuchet MS"/>
          <w:i/>
          <w:sz w:val="22"/>
          <w:szCs w:val="22"/>
          <w:highlight w:val="white"/>
        </w:rPr>
        <w:t>wallet</w:t>
      </w:r>
      <w:proofErr w:type="spellEnd"/>
      <w:r>
        <w:rPr>
          <w:rFonts w:ascii="Trebuchet MS" w:eastAsia="Trebuchet MS" w:hAnsi="Trebuchet MS" w:cs="Trebuchet MS"/>
          <w:i/>
          <w:sz w:val="22"/>
          <w:szCs w:val="22"/>
          <w:highlight w:val="white"/>
        </w:rPr>
        <w:t xml:space="preserve"> è positiva: un utilizzatore su due si dichiara molto soddisfatto</w:t>
      </w:r>
    </w:p>
    <w:p w:rsidR="00AC5462" w:rsidRDefault="00AC5462">
      <w:pPr>
        <w:pStyle w:val="normal"/>
        <w:spacing w:line="280" w:lineRule="auto"/>
        <w:jc w:val="center"/>
        <w:rPr>
          <w:rFonts w:ascii="Trebuchet MS" w:eastAsia="Trebuchet MS" w:hAnsi="Trebuchet MS" w:cs="Trebuchet MS"/>
          <w:i/>
          <w:sz w:val="22"/>
          <w:szCs w:val="22"/>
        </w:rPr>
      </w:pPr>
    </w:p>
    <w:p w:rsidR="00AC5462" w:rsidRDefault="001214C2">
      <w:pPr>
        <w:pStyle w:val="normal"/>
        <w:spacing w:line="280" w:lineRule="auto"/>
        <w:jc w:val="center"/>
        <w:rPr>
          <w:rFonts w:ascii="Trebuchet MS" w:eastAsia="Trebuchet MS" w:hAnsi="Trebuchet MS" w:cs="Trebuchet MS"/>
          <w:i/>
          <w:sz w:val="18"/>
          <w:szCs w:val="18"/>
        </w:rPr>
      </w:pPr>
      <w:r>
        <w:rPr>
          <w:rFonts w:ascii="Trebuchet MS" w:eastAsia="Trebuchet MS" w:hAnsi="Trebuchet MS" w:cs="Trebuchet MS"/>
          <w:b/>
          <w:i/>
          <w:sz w:val="18"/>
          <w:szCs w:val="18"/>
        </w:rPr>
        <w:t xml:space="preserve">Segui gli Osservatori </w:t>
      </w:r>
      <w:proofErr w:type="spellStart"/>
      <w:r>
        <w:rPr>
          <w:rFonts w:ascii="Trebuchet MS" w:eastAsia="Trebuchet MS" w:hAnsi="Trebuchet MS" w:cs="Trebuchet MS"/>
          <w:b/>
          <w:i/>
          <w:sz w:val="18"/>
          <w:szCs w:val="18"/>
        </w:rPr>
        <w:t>Digital</w:t>
      </w:r>
      <w:proofErr w:type="spellEnd"/>
      <w:r>
        <w:rPr>
          <w:rFonts w:ascii="Trebuchet MS" w:eastAsia="Trebuchet MS" w:hAnsi="Trebuchet MS" w:cs="Trebuchet MS"/>
          <w:b/>
          <w:i/>
          <w:sz w:val="18"/>
          <w:szCs w:val="18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i/>
          <w:sz w:val="18"/>
          <w:szCs w:val="18"/>
        </w:rPr>
        <w:t>Innovation</w:t>
      </w:r>
      <w:proofErr w:type="spellEnd"/>
      <w:r>
        <w:rPr>
          <w:rFonts w:ascii="Trebuchet MS" w:eastAsia="Trebuchet MS" w:hAnsi="Trebuchet MS" w:cs="Trebuchet MS"/>
          <w:b/>
          <w:i/>
          <w:sz w:val="18"/>
          <w:szCs w:val="18"/>
        </w:rPr>
        <w:t xml:space="preserve"> del Politecnico di Milano anche su </w:t>
      </w:r>
      <w:proofErr w:type="spellStart"/>
      <w:r>
        <w:rPr>
          <w:rFonts w:ascii="Trebuchet MS" w:eastAsia="Trebuchet MS" w:hAnsi="Trebuchet MS" w:cs="Trebuchet MS"/>
          <w:b/>
          <w:i/>
          <w:sz w:val="18"/>
          <w:szCs w:val="18"/>
        </w:rPr>
        <w:t>Twitter</w:t>
      </w:r>
      <w:proofErr w:type="spellEnd"/>
      <w:r>
        <w:rPr>
          <w:rFonts w:ascii="Trebuchet MS" w:eastAsia="Trebuchet MS" w:hAnsi="Trebuchet MS" w:cs="Trebuchet MS"/>
          <w:b/>
          <w:i/>
          <w:sz w:val="18"/>
          <w:szCs w:val="18"/>
        </w:rPr>
        <w:t xml:space="preserve">: </w:t>
      </w:r>
      <w:hyperlink r:id="rId6">
        <w:r>
          <w:rPr>
            <w:rFonts w:ascii="Trebuchet MS" w:eastAsia="Trebuchet MS" w:hAnsi="Trebuchet MS" w:cs="Trebuchet MS"/>
            <w:b/>
            <w:i/>
            <w:color w:val="1155CC"/>
            <w:sz w:val="18"/>
            <w:szCs w:val="18"/>
            <w:u w:val="single"/>
          </w:rPr>
          <w:t>@Osserv_Digital</w:t>
        </w:r>
      </w:hyperlink>
      <w:r>
        <w:rPr>
          <w:rFonts w:ascii="Trebuchet MS" w:eastAsia="Trebuchet MS" w:hAnsi="Trebuchet MS" w:cs="Trebuchet MS"/>
          <w:b/>
          <w:i/>
          <w:sz w:val="18"/>
          <w:szCs w:val="18"/>
        </w:rPr>
        <w:br/>
      </w:r>
      <w:hyperlink r:id="rId7">
        <w:r>
          <w:rPr>
            <w:rFonts w:ascii="Trebuchet MS" w:eastAsia="Trebuchet MS" w:hAnsi="Trebuchet MS" w:cs="Trebuchet MS"/>
            <w:b/>
            <w:color w:val="1155CC"/>
            <w:sz w:val="18"/>
            <w:szCs w:val="18"/>
            <w:u w:val="single"/>
          </w:rPr>
          <w:t>#OMPAY17</w:t>
        </w:r>
      </w:hyperlink>
    </w:p>
    <w:p w:rsidR="00AC5462" w:rsidRDefault="00AC5462">
      <w:pPr>
        <w:pStyle w:val="normal"/>
        <w:spacing w:line="280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AC5462" w:rsidRPr="00027D24" w:rsidRDefault="001214C2" w:rsidP="00027D24">
      <w:pPr>
        <w:pStyle w:val="normal"/>
        <w:widowControl/>
        <w:spacing w:line="280" w:lineRule="exact"/>
        <w:jc w:val="both"/>
        <w:rPr>
          <w:rFonts w:ascii="Trebuchet MS" w:eastAsia="Trebuchet MS" w:hAnsi="Trebuchet MS" w:cs="Trebuchet MS"/>
          <w:i/>
          <w:sz w:val="22"/>
          <w:szCs w:val="22"/>
        </w:rPr>
      </w:pPr>
      <w:r w:rsidRPr="00027D24">
        <w:rPr>
          <w:rFonts w:ascii="Trebuchet MS" w:eastAsia="Trebuchet MS" w:hAnsi="Trebuchet MS" w:cs="Trebuchet MS"/>
          <w:sz w:val="22"/>
          <w:szCs w:val="22"/>
        </w:rPr>
        <w:t xml:space="preserve">Milano, 9 marzo 2017 – </w:t>
      </w:r>
      <w:r w:rsidRPr="00027D24">
        <w:rPr>
          <w:rFonts w:ascii="Trebuchet MS" w:eastAsia="Arial" w:hAnsi="Trebuchet MS" w:cs="Arial"/>
          <w:i/>
          <w:sz w:val="22"/>
          <w:szCs w:val="22"/>
        </w:rPr>
        <w:t>“Nel 201</w:t>
      </w:r>
      <w:r w:rsidRPr="00027D24">
        <w:rPr>
          <w:rFonts w:ascii="Trebuchet MS" w:eastAsia="Arial" w:hAnsi="Trebuchet MS" w:cs="Arial"/>
          <w:i/>
          <w:sz w:val="22"/>
          <w:szCs w:val="22"/>
        </w:rPr>
        <w:t>6 i pagamenti digitali con carta in Italia sono cresciuti del 9%, raggiungendo i 190 miliardi di euro, pari al 24% dei consumi delle famiglie italiane. Assistiamo  a una svolta nell’approccio da parte dei consumatori e degli esercenti. I possessori di cart</w:t>
      </w:r>
      <w:r w:rsidRPr="00027D24">
        <w:rPr>
          <w:rFonts w:ascii="Trebuchet MS" w:eastAsia="Arial" w:hAnsi="Trebuchet MS" w:cs="Arial"/>
          <w:i/>
          <w:sz w:val="22"/>
          <w:szCs w:val="22"/>
        </w:rPr>
        <w:t xml:space="preserve">e </w:t>
      </w:r>
      <w:proofErr w:type="spellStart"/>
      <w:r w:rsidRPr="00027D24">
        <w:rPr>
          <w:rFonts w:ascii="Trebuchet MS" w:eastAsia="Arial" w:hAnsi="Trebuchet MS" w:cs="Arial"/>
          <w:i/>
          <w:sz w:val="22"/>
          <w:szCs w:val="22"/>
        </w:rPr>
        <w:t>contactless</w:t>
      </w:r>
      <w:proofErr w:type="spellEnd"/>
      <w:r w:rsidRPr="00027D24">
        <w:rPr>
          <w:rFonts w:ascii="Trebuchet MS" w:eastAsia="Arial" w:hAnsi="Trebuchet MS" w:cs="Arial"/>
          <w:i/>
          <w:sz w:val="22"/>
          <w:szCs w:val="22"/>
        </w:rPr>
        <w:t xml:space="preserve"> hanno acquisito maggior consapevolezza dello strumento che hanno nel portafoglio (in precedenza molti non sapevano nemmeno che la propria carta fosse </w:t>
      </w:r>
      <w:proofErr w:type="spellStart"/>
      <w:r w:rsidRPr="00027D24">
        <w:rPr>
          <w:rFonts w:ascii="Trebuchet MS" w:eastAsia="Arial" w:hAnsi="Trebuchet MS" w:cs="Arial"/>
          <w:i/>
          <w:sz w:val="22"/>
          <w:szCs w:val="22"/>
        </w:rPr>
        <w:t>contactless</w:t>
      </w:r>
      <w:proofErr w:type="spellEnd"/>
      <w:r w:rsidRPr="00027D24">
        <w:rPr>
          <w:rFonts w:ascii="Trebuchet MS" w:eastAsia="Arial" w:hAnsi="Trebuchet MS" w:cs="Arial"/>
          <w:i/>
          <w:sz w:val="22"/>
          <w:szCs w:val="22"/>
        </w:rPr>
        <w:t xml:space="preserve">) e gli esercenti (soprattutto nelle grandi catene) hanno orientato il POS verso </w:t>
      </w:r>
      <w:r w:rsidRPr="00027D24">
        <w:rPr>
          <w:rFonts w:ascii="Trebuchet MS" w:eastAsia="Arial" w:hAnsi="Trebuchet MS" w:cs="Arial"/>
          <w:i/>
          <w:sz w:val="22"/>
          <w:szCs w:val="22"/>
        </w:rPr>
        <w:t xml:space="preserve">il cliente, permettendogli di avvicinare la carta in autonomia generando un effetto trascinamento: vedere compiere sempre </w:t>
      </w:r>
      <w:proofErr w:type="spellStart"/>
      <w:r w:rsidRPr="00027D24">
        <w:rPr>
          <w:rFonts w:ascii="Trebuchet MS" w:eastAsia="Arial" w:hAnsi="Trebuchet MS" w:cs="Arial"/>
          <w:i/>
          <w:sz w:val="22"/>
          <w:szCs w:val="22"/>
        </w:rPr>
        <w:t>piu</w:t>
      </w:r>
      <w:r w:rsidRPr="00027D24">
        <w:rPr>
          <w:rFonts w:asciiTheme="minorHAnsi" w:eastAsia="Arial" w:hAnsiTheme="minorHAnsi" w:cs="Arial"/>
          <w:i/>
          <w:sz w:val="22"/>
          <w:szCs w:val="22"/>
        </w:rPr>
        <w:t>̀</w:t>
      </w:r>
      <w:proofErr w:type="spellEnd"/>
      <w:r w:rsidRPr="00027D24">
        <w:rPr>
          <w:rFonts w:ascii="Trebuchet MS" w:eastAsia="Arial" w:hAnsi="Trebuchet MS" w:cs="Arial"/>
          <w:i/>
          <w:sz w:val="22"/>
          <w:szCs w:val="22"/>
        </w:rPr>
        <w:t xml:space="preserve"> spesso compiere il gesto di avvicinare la carta e velocizzare il pagamento genera infatti la </w:t>
      </w:r>
      <w:proofErr w:type="spellStart"/>
      <w:r w:rsidRPr="00027D24">
        <w:rPr>
          <w:rFonts w:ascii="Trebuchet MS" w:eastAsia="Arial" w:hAnsi="Trebuchet MS" w:cs="Arial"/>
          <w:i/>
          <w:sz w:val="22"/>
          <w:szCs w:val="22"/>
        </w:rPr>
        <w:t>curiosita</w:t>
      </w:r>
      <w:r w:rsidRPr="00027D24">
        <w:rPr>
          <w:rFonts w:asciiTheme="minorHAnsi" w:eastAsia="Arial" w:hAnsiTheme="minorHAnsi" w:cs="Arial"/>
          <w:i/>
          <w:sz w:val="22"/>
          <w:szCs w:val="22"/>
        </w:rPr>
        <w:t>̀</w:t>
      </w:r>
      <w:proofErr w:type="spellEnd"/>
      <w:r w:rsidRPr="00027D24">
        <w:rPr>
          <w:rFonts w:ascii="Trebuchet MS" w:eastAsia="Arial" w:hAnsi="Trebuchet MS" w:cs="Arial"/>
          <w:i/>
          <w:sz w:val="22"/>
          <w:szCs w:val="22"/>
        </w:rPr>
        <w:t xml:space="preserve"> di testare quella </w:t>
      </w:r>
      <w:proofErr w:type="spellStart"/>
      <w:r w:rsidRPr="00027D24">
        <w:rPr>
          <w:rFonts w:ascii="Trebuchet MS" w:eastAsia="Arial" w:hAnsi="Trebuchet MS" w:cs="Arial"/>
          <w:i/>
          <w:sz w:val="22"/>
          <w:szCs w:val="22"/>
        </w:rPr>
        <w:t>modalit</w:t>
      </w:r>
      <w:r w:rsidRPr="00027D24">
        <w:rPr>
          <w:rFonts w:ascii="Trebuchet MS" w:eastAsia="Arial" w:hAnsi="Trebuchet MS" w:cs="Arial"/>
          <w:i/>
          <w:sz w:val="22"/>
          <w:szCs w:val="22"/>
        </w:rPr>
        <w:t>a</w:t>
      </w:r>
      <w:r w:rsidRPr="00027D24">
        <w:rPr>
          <w:rFonts w:asciiTheme="minorHAnsi" w:eastAsia="Arial" w:hAnsiTheme="minorHAnsi" w:cs="Arial"/>
          <w:i/>
          <w:sz w:val="22"/>
          <w:szCs w:val="22"/>
        </w:rPr>
        <w:t>̀</w:t>
      </w:r>
      <w:proofErr w:type="spellEnd"/>
      <w:r w:rsidRPr="00027D24">
        <w:rPr>
          <w:rFonts w:ascii="Trebuchet MS" w:eastAsia="Arial" w:hAnsi="Trebuchet MS" w:cs="Arial"/>
          <w:i/>
          <w:sz w:val="22"/>
          <w:szCs w:val="22"/>
        </w:rPr>
        <w:t xml:space="preserve"> in prima persona” </w:t>
      </w:r>
      <w:r w:rsidRPr="00027D24">
        <w:rPr>
          <w:rFonts w:ascii="Trebuchet MS" w:eastAsia="Trebuchet MS" w:hAnsi="Trebuchet MS" w:cs="Trebuchet MS"/>
          <w:sz w:val="22"/>
          <w:szCs w:val="22"/>
        </w:rPr>
        <w:t xml:space="preserve">afferma </w:t>
      </w:r>
      <w:r w:rsidRPr="00027D24">
        <w:rPr>
          <w:rFonts w:ascii="Trebuchet MS" w:eastAsia="Trebuchet MS" w:hAnsi="Trebuchet MS" w:cs="Trebuchet MS"/>
          <w:b/>
          <w:sz w:val="22"/>
          <w:szCs w:val="22"/>
        </w:rPr>
        <w:t xml:space="preserve">Alessandro Perego, Direttore Scientifico degli Osservatori </w:t>
      </w:r>
      <w:proofErr w:type="spellStart"/>
      <w:r w:rsidRPr="00027D24">
        <w:rPr>
          <w:rFonts w:ascii="Trebuchet MS" w:eastAsia="Trebuchet MS" w:hAnsi="Trebuchet MS" w:cs="Trebuchet MS"/>
          <w:b/>
          <w:sz w:val="22"/>
          <w:szCs w:val="22"/>
        </w:rPr>
        <w:t>Digital</w:t>
      </w:r>
      <w:proofErr w:type="spellEnd"/>
      <w:r w:rsidRPr="00027D24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27D24">
        <w:rPr>
          <w:rFonts w:ascii="Trebuchet MS" w:eastAsia="Trebuchet MS" w:hAnsi="Trebuchet MS" w:cs="Trebuchet MS"/>
          <w:b/>
          <w:sz w:val="22"/>
          <w:szCs w:val="22"/>
        </w:rPr>
        <w:t>Innovation</w:t>
      </w:r>
      <w:proofErr w:type="spellEnd"/>
      <w:r w:rsidRPr="00027D24">
        <w:rPr>
          <w:rFonts w:ascii="Trebuchet MS" w:eastAsia="Trebuchet MS" w:hAnsi="Trebuchet MS" w:cs="Trebuchet MS"/>
          <w:b/>
          <w:sz w:val="22"/>
          <w:szCs w:val="22"/>
        </w:rPr>
        <w:t>, Politecnico di Milano.</w:t>
      </w:r>
    </w:p>
    <w:p w:rsidR="00AC5462" w:rsidRPr="00027D24" w:rsidRDefault="001214C2" w:rsidP="00027D24">
      <w:pPr>
        <w:pStyle w:val="normal"/>
        <w:widowControl/>
        <w:spacing w:line="280" w:lineRule="exact"/>
        <w:jc w:val="both"/>
        <w:rPr>
          <w:rFonts w:ascii="Trebuchet MS" w:eastAsia="Trebuchet MS" w:hAnsi="Trebuchet MS" w:cs="Trebuchet MS"/>
          <w:i/>
          <w:sz w:val="22"/>
          <w:szCs w:val="22"/>
        </w:rPr>
      </w:pPr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“Ancora una volta, questa crescita è ampiamente riconducibile ai New </w:t>
      </w:r>
      <w:proofErr w:type="spellStart"/>
      <w:r w:rsidRPr="00027D24">
        <w:rPr>
          <w:rFonts w:ascii="Trebuchet MS" w:eastAsia="Trebuchet MS" w:hAnsi="Trebuchet MS" w:cs="Trebuchet MS"/>
          <w:i/>
          <w:sz w:val="22"/>
          <w:szCs w:val="22"/>
        </w:rPr>
        <w:t>Digital</w:t>
      </w:r>
      <w:proofErr w:type="spellEnd"/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 </w:t>
      </w:r>
      <w:proofErr w:type="spellStart"/>
      <w:r w:rsidRPr="00027D24">
        <w:rPr>
          <w:rFonts w:ascii="Trebuchet MS" w:eastAsia="Trebuchet MS" w:hAnsi="Trebuchet MS" w:cs="Trebuchet MS"/>
          <w:i/>
          <w:sz w:val="22"/>
          <w:szCs w:val="22"/>
        </w:rPr>
        <w:t>Payment</w:t>
      </w:r>
      <w:proofErr w:type="spellEnd"/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 - le modalità più innovative di pagamento digitale - che complessivamente superano i 30 miliardi di euro (+51% rispetto al 2015) e valgono ormai il 16% del totale dei paga</w:t>
      </w:r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menti digitali con carta (nel 2015 erano il 12%)” </w:t>
      </w:r>
      <w:r w:rsidRPr="00027D24">
        <w:rPr>
          <w:rFonts w:ascii="Trebuchet MS" w:eastAsia="Trebuchet MS" w:hAnsi="Trebuchet MS" w:cs="Trebuchet MS"/>
          <w:sz w:val="22"/>
          <w:szCs w:val="22"/>
        </w:rPr>
        <w:t xml:space="preserve">aggiunge </w:t>
      </w:r>
      <w:r w:rsidRPr="00027D24">
        <w:rPr>
          <w:rFonts w:ascii="Trebuchet MS" w:eastAsia="Trebuchet MS" w:hAnsi="Trebuchet MS" w:cs="Trebuchet MS"/>
          <w:b/>
          <w:sz w:val="22"/>
          <w:szCs w:val="22"/>
        </w:rPr>
        <w:t xml:space="preserve">Valeria Portale, </w:t>
      </w:r>
      <w:r w:rsidRPr="00027D24">
        <w:rPr>
          <w:rFonts w:ascii="Trebuchet MS" w:eastAsia="Trebuchet MS" w:hAnsi="Trebuchet MS" w:cs="Trebuchet MS"/>
          <w:b/>
          <w:sz w:val="22"/>
          <w:szCs w:val="22"/>
        </w:rPr>
        <w:t>Direttore</w:t>
      </w:r>
      <w:r w:rsidRPr="00027D24">
        <w:rPr>
          <w:rFonts w:ascii="Trebuchet MS" w:eastAsia="Trebuchet MS" w:hAnsi="Trebuchet MS" w:cs="Trebuchet MS"/>
          <w:b/>
          <w:sz w:val="22"/>
          <w:szCs w:val="22"/>
        </w:rPr>
        <w:t xml:space="preserve"> dell'Osservatorio Mobile </w:t>
      </w:r>
      <w:proofErr w:type="spellStart"/>
      <w:r w:rsidRPr="00027D24">
        <w:rPr>
          <w:rFonts w:ascii="Trebuchet MS" w:eastAsia="Trebuchet MS" w:hAnsi="Trebuchet MS" w:cs="Trebuchet MS"/>
          <w:b/>
          <w:sz w:val="22"/>
          <w:szCs w:val="22"/>
        </w:rPr>
        <w:t>Payment</w:t>
      </w:r>
      <w:proofErr w:type="spellEnd"/>
      <w:r w:rsidRPr="00027D24">
        <w:rPr>
          <w:rFonts w:ascii="Trebuchet MS" w:eastAsia="Trebuchet MS" w:hAnsi="Trebuchet MS" w:cs="Trebuchet MS"/>
          <w:b/>
          <w:sz w:val="22"/>
          <w:szCs w:val="22"/>
        </w:rPr>
        <w:t xml:space="preserve"> &amp; </w:t>
      </w:r>
      <w:proofErr w:type="spellStart"/>
      <w:r w:rsidRPr="00027D24">
        <w:rPr>
          <w:rFonts w:ascii="Trebuchet MS" w:eastAsia="Trebuchet MS" w:hAnsi="Trebuchet MS" w:cs="Trebuchet MS"/>
          <w:b/>
          <w:sz w:val="22"/>
          <w:szCs w:val="22"/>
        </w:rPr>
        <w:lastRenderedPageBreak/>
        <w:t>Commerce</w:t>
      </w:r>
      <w:proofErr w:type="spellEnd"/>
      <w:r w:rsidR="00027D24" w:rsidRPr="00027D24">
        <w:rPr>
          <w:rFonts w:ascii="Trebuchet MS" w:eastAsia="Trebuchet MS" w:hAnsi="Trebuchet MS" w:cs="Trebuchet MS"/>
          <w:sz w:val="22"/>
          <w:szCs w:val="22"/>
        </w:rPr>
        <w:t>.</w:t>
      </w:r>
      <w:r w:rsidRPr="00027D24">
        <w:rPr>
          <w:rFonts w:ascii="Trebuchet MS" w:eastAsia="Trebuchet MS" w:hAnsi="Trebuchet MS" w:cs="Trebuchet MS"/>
          <w:sz w:val="22"/>
          <w:szCs w:val="22"/>
        </w:rPr>
        <w:t xml:space="preserve"> “</w:t>
      </w:r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Nel 2016, i New </w:t>
      </w:r>
      <w:proofErr w:type="spellStart"/>
      <w:r w:rsidRPr="00027D24">
        <w:rPr>
          <w:rFonts w:ascii="Trebuchet MS" w:eastAsia="Trebuchet MS" w:hAnsi="Trebuchet MS" w:cs="Trebuchet MS"/>
          <w:i/>
          <w:sz w:val="22"/>
          <w:szCs w:val="22"/>
        </w:rPr>
        <w:t>Digital</w:t>
      </w:r>
      <w:proofErr w:type="spellEnd"/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 </w:t>
      </w:r>
      <w:proofErr w:type="spellStart"/>
      <w:r w:rsidRPr="00027D24">
        <w:rPr>
          <w:rFonts w:ascii="Trebuchet MS" w:eastAsia="Trebuchet MS" w:hAnsi="Trebuchet MS" w:cs="Trebuchet MS"/>
          <w:i/>
          <w:sz w:val="22"/>
          <w:szCs w:val="22"/>
        </w:rPr>
        <w:t>Payment</w:t>
      </w:r>
      <w:proofErr w:type="spellEnd"/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 hanno dimostrato di essere il motore in grado di avvicinare gli italiani ai pagamenti elettronici in sostituzione del contante. Tale crescita proseguirà nei prossimi anni (raggiungendo nel 2019 i 100 miliardi di euro, pari a</w:t>
      </w:r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l 44% del totale dei pagamenti digitali), andrà a sostituire gli </w:t>
      </w:r>
      <w:proofErr w:type="spellStart"/>
      <w:r w:rsidRPr="00027D24">
        <w:rPr>
          <w:rFonts w:ascii="Trebuchet MS" w:eastAsia="Trebuchet MS" w:hAnsi="Trebuchet MS" w:cs="Trebuchet MS"/>
          <w:i/>
          <w:sz w:val="22"/>
          <w:szCs w:val="22"/>
        </w:rPr>
        <w:t>Old</w:t>
      </w:r>
      <w:proofErr w:type="spellEnd"/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 </w:t>
      </w:r>
      <w:proofErr w:type="spellStart"/>
      <w:r w:rsidRPr="00027D24">
        <w:rPr>
          <w:rFonts w:ascii="Trebuchet MS" w:eastAsia="Trebuchet MS" w:hAnsi="Trebuchet MS" w:cs="Trebuchet MS"/>
          <w:i/>
          <w:sz w:val="22"/>
          <w:szCs w:val="22"/>
        </w:rPr>
        <w:t>Digital</w:t>
      </w:r>
      <w:proofErr w:type="spellEnd"/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 </w:t>
      </w:r>
      <w:proofErr w:type="spellStart"/>
      <w:r w:rsidRPr="00027D24">
        <w:rPr>
          <w:rFonts w:ascii="Trebuchet MS" w:eastAsia="Trebuchet MS" w:hAnsi="Trebuchet MS" w:cs="Trebuchet MS"/>
          <w:i/>
          <w:sz w:val="22"/>
          <w:szCs w:val="22"/>
        </w:rPr>
        <w:t>Payment</w:t>
      </w:r>
      <w:proofErr w:type="spellEnd"/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 e, soprattutto, allargherà la quota dei </w:t>
      </w:r>
      <w:proofErr w:type="spellStart"/>
      <w:r w:rsidRPr="00027D24">
        <w:rPr>
          <w:rFonts w:ascii="Trebuchet MS" w:eastAsia="Trebuchet MS" w:hAnsi="Trebuchet MS" w:cs="Trebuchet MS"/>
          <w:i/>
          <w:sz w:val="22"/>
          <w:szCs w:val="22"/>
        </w:rPr>
        <w:t>Digital</w:t>
      </w:r>
      <w:proofErr w:type="spellEnd"/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 </w:t>
      </w:r>
      <w:proofErr w:type="spellStart"/>
      <w:r w:rsidRPr="00027D24">
        <w:rPr>
          <w:rFonts w:ascii="Trebuchet MS" w:eastAsia="Trebuchet MS" w:hAnsi="Trebuchet MS" w:cs="Trebuchet MS"/>
          <w:i/>
          <w:sz w:val="22"/>
          <w:szCs w:val="22"/>
        </w:rPr>
        <w:t>Payment</w:t>
      </w:r>
      <w:proofErr w:type="spellEnd"/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 rispetto a strumenti di pagamenti più inefficienti come il contante.” </w:t>
      </w:r>
    </w:p>
    <w:p w:rsidR="00AC5462" w:rsidRPr="00027D24" w:rsidRDefault="00AC5462" w:rsidP="00027D24">
      <w:pPr>
        <w:pStyle w:val="normal"/>
        <w:widowControl/>
        <w:spacing w:line="280" w:lineRule="exact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AC5462" w:rsidRPr="00027D24" w:rsidRDefault="001214C2" w:rsidP="00027D24">
      <w:pPr>
        <w:pStyle w:val="normal"/>
        <w:widowControl/>
        <w:spacing w:line="280" w:lineRule="exact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27D24">
        <w:rPr>
          <w:rFonts w:ascii="Trebuchet MS" w:eastAsia="Trebuchet MS" w:hAnsi="Trebuchet MS" w:cs="Trebuchet MS"/>
          <w:sz w:val="22"/>
          <w:szCs w:val="22"/>
        </w:rPr>
        <w:t>Queste sono alcune delle evidenze emerse da</w:t>
      </w:r>
      <w:r w:rsidRPr="00027D24">
        <w:rPr>
          <w:rFonts w:ascii="Trebuchet MS" w:eastAsia="Trebuchet MS" w:hAnsi="Trebuchet MS" w:cs="Trebuchet MS"/>
          <w:sz w:val="22"/>
          <w:szCs w:val="22"/>
        </w:rPr>
        <w:t>lla nuova edizione dell'</w:t>
      </w:r>
      <w:r w:rsidRPr="00027D24">
        <w:rPr>
          <w:rFonts w:ascii="Trebuchet MS" w:eastAsia="Trebuchet MS" w:hAnsi="Trebuchet MS" w:cs="Trebuchet MS"/>
          <w:b/>
          <w:sz w:val="22"/>
          <w:szCs w:val="22"/>
        </w:rPr>
        <w:t xml:space="preserve">Osservatorio Mobile </w:t>
      </w:r>
      <w:proofErr w:type="spellStart"/>
      <w:r w:rsidRPr="00027D24">
        <w:rPr>
          <w:rFonts w:ascii="Trebuchet MS" w:eastAsia="Trebuchet MS" w:hAnsi="Trebuchet MS" w:cs="Trebuchet MS"/>
          <w:b/>
          <w:sz w:val="22"/>
          <w:szCs w:val="22"/>
        </w:rPr>
        <w:t>Payment</w:t>
      </w:r>
      <w:proofErr w:type="spellEnd"/>
      <w:r w:rsidRPr="00027D24">
        <w:rPr>
          <w:rFonts w:ascii="Trebuchet MS" w:eastAsia="Trebuchet MS" w:hAnsi="Trebuchet MS" w:cs="Trebuchet MS"/>
          <w:b/>
          <w:sz w:val="22"/>
          <w:szCs w:val="22"/>
        </w:rPr>
        <w:t xml:space="preserve"> &amp; </w:t>
      </w:r>
      <w:proofErr w:type="spellStart"/>
      <w:r w:rsidRPr="00027D24">
        <w:rPr>
          <w:rFonts w:ascii="Trebuchet MS" w:eastAsia="Trebuchet MS" w:hAnsi="Trebuchet MS" w:cs="Trebuchet MS"/>
          <w:b/>
          <w:sz w:val="22"/>
          <w:szCs w:val="22"/>
        </w:rPr>
        <w:t>Commerce</w:t>
      </w:r>
      <w:proofErr w:type="spellEnd"/>
      <w:r w:rsidRPr="00027D24">
        <w:rPr>
          <w:rFonts w:ascii="Trebuchet MS" w:eastAsia="Trebuchet MS" w:hAnsi="Trebuchet MS" w:cs="Trebuchet MS"/>
          <w:b/>
          <w:sz w:val="22"/>
          <w:szCs w:val="22"/>
        </w:rPr>
        <w:t xml:space="preserve"> della </w:t>
      </w:r>
      <w:proofErr w:type="spellStart"/>
      <w:r w:rsidRPr="00027D24">
        <w:rPr>
          <w:rFonts w:ascii="Trebuchet MS" w:eastAsia="Trebuchet MS" w:hAnsi="Trebuchet MS" w:cs="Trebuchet MS"/>
          <w:b/>
          <w:sz w:val="22"/>
          <w:szCs w:val="22"/>
        </w:rPr>
        <w:t>School</w:t>
      </w:r>
      <w:proofErr w:type="spellEnd"/>
      <w:r w:rsidRPr="00027D24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27D24">
        <w:rPr>
          <w:rFonts w:ascii="Trebuchet MS" w:eastAsia="Trebuchet MS" w:hAnsi="Trebuchet MS" w:cs="Trebuchet MS"/>
          <w:b/>
          <w:sz w:val="22"/>
          <w:szCs w:val="22"/>
        </w:rPr>
        <w:t>of</w:t>
      </w:r>
      <w:proofErr w:type="spellEnd"/>
      <w:r w:rsidRPr="00027D24">
        <w:rPr>
          <w:rFonts w:ascii="Trebuchet MS" w:eastAsia="Trebuchet MS" w:hAnsi="Trebuchet MS" w:cs="Trebuchet MS"/>
          <w:b/>
          <w:sz w:val="22"/>
          <w:szCs w:val="22"/>
        </w:rPr>
        <w:t xml:space="preserve"> Management del Politecnico di </w:t>
      </w:r>
      <w:proofErr w:type="spellStart"/>
      <w:r w:rsidRPr="00027D24">
        <w:rPr>
          <w:rFonts w:ascii="Trebuchet MS" w:eastAsia="Trebuchet MS" w:hAnsi="Trebuchet MS" w:cs="Trebuchet MS"/>
          <w:b/>
          <w:sz w:val="22"/>
          <w:szCs w:val="22"/>
        </w:rPr>
        <w:t>Milano</w:t>
      </w:r>
      <w:r w:rsidRPr="00027D24">
        <w:rPr>
          <w:rFonts w:ascii="Trebuchet MS" w:eastAsia="Trebuchet MS" w:hAnsi="Trebuchet MS" w:cs="Trebuchet MS"/>
          <w:sz w:val="22"/>
          <w:szCs w:val="22"/>
        </w:rPr>
        <w:t>*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>, presentato in occasione dell’evento “</w:t>
      </w:r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Il Mobile </w:t>
      </w:r>
      <w:proofErr w:type="spellStart"/>
      <w:r w:rsidRPr="00027D24">
        <w:rPr>
          <w:rFonts w:ascii="Trebuchet MS" w:eastAsia="Trebuchet MS" w:hAnsi="Trebuchet MS" w:cs="Trebuchet MS"/>
          <w:i/>
          <w:sz w:val="22"/>
          <w:szCs w:val="22"/>
        </w:rPr>
        <w:t>Payment</w:t>
      </w:r>
      <w:proofErr w:type="spellEnd"/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 &amp; </w:t>
      </w:r>
      <w:proofErr w:type="spellStart"/>
      <w:r w:rsidRPr="00027D24">
        <w:rPr>
          <w:rFonts w:ascii="Trebuchet MS" w:eastAsia="Trebuchet MS" w:hAnsi="Trebuchet MS" w:cs="Trebuchet MS"/>
          <w:i/>
          <w:sz w:val="22"/>
          <w:szCs w:val="22"/>
        </w:rPr>
        <w:t>Commerce</w:t>
      </w:r>
      <w:proofErr w:type="spellEnd"/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 alla conquista del mondo</w:t>
      </w:r>
      <w:r w:rsidRPr="00027D24">
        <w:rPr>
          <w:rFonts w:ascii="Trebuchet MS" w:eastAsia="Trebuchet MS" w:hAnsi="Trebuchet MS" w:cs="Trebuchet MS"/>
          <w:sz w:val="22"/>
          <w:szCs w:val="22"/>
        </w:rPr>
        <w:t xml:space="preserve">”. </w:t>
      </w:r>
      <w:r w:rsidRPr="00027D24">
        <w:rPr>
          <w:rFonts w:ascii="Trebuchet MS" w:hAnsi="Trebuchet MS"/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margin">
              <wp:posOffset>2374900</wp:posOffset>
            </wp:positionH>
            <wp:positionV relativeFrom="paragraph">
              <wp:posOffset>46355</wp:posOffset>
            </wp:positionV>
            <wp:extent cx="3792855" cy="2849880"/>
            <wp:effectExtent l="0" t="0" r="0" b="0"/>
            <wp:wrapSquare wrapText="bothSides" distT="0" distB="0" distL="114300" distR="114300"/>
            <wp:docPr id="1" name="image01.png" descr="Schermata 2017-03-03 alle 17.13.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Schermata 2017-03-03 alle 17.13.06.png"/>
                    <pic:cNvPicPr preferRelativeResize="0"/>
                  </pic:nvPicPr>
                  <pic:blipFill>
                    <a:blip r:embed="rId8" cstate="print"/>
                    <a:srcRect l="1123" r="1121"/>
                    <a:stretch>
                      <a:fillRect/>
                    </a:stretch>
                  </pic:blipFill>
                  <pic:spPr>
                    <a:xfrm>
                      <a:off x="0" y="0"/>
                      <a:ext cx="3792855" cy="2849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C5462" w:rsidRPr="00027D24" w:rsidRDefault="00AC5462" w:rsidP="00027D24">
      <w:pPr>
        <w:pStyle w:val="normal"/>
        <w:widowControl/>
        <w:spacing w:line="280" w:lineRule="exact"/>
        <w:jc w:val="both"/>
        <w:rPr>
          <w:rFonts w:ascii="Trebuchet MS" w:eastAsia="Trebuchet MS" w:hAnsi="Trebuchet MS" w:cs="Trebuchet MS"/>
          <w:b/>
          <w:i/>
          <w:sz w:val="22"/>
          <w:szCs w:val="22"/>
        </w:rPr>
      </w:pPr>
    </w:p>
    <w:p w:rsidR="00AC5462" w:rsidRPr="00027D24" w:rsidRDefault="001214C2" w:rsidP="00027D24">
      <w:pPr>
        <w:pStyle w:val="normal"/>
        <w:spacing w:line="280" w:lineRule="exact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27D24">
        <w:rPr>
          <w:rFonts w:ascii="Trebuchet MS" w:eastAsia="Trebuchet MS" w:hAnsi="Trebuchet MS" w:cs="Trebuchet MS"/>
          <w:sz w:val="22"/>
          <w:szCs w:val="22"/>
        </w:rPr>
        <w:t xml:space="preserve">Il mercato italiano nel 2016, dietro alla </w:t>
      </w:r>
      <w:r w:rsidRPr="00027D24">
        <w:rPr>
          <w:rFonts w:ascii="Trebuchet MS" w:eastAsia="Trebuchet MS" w:hAnsi="Trebuchet MS" w:cs="Trebuchet MS"/>
          <w:sz w:val="22"/>
          <w:szCs w:val="22"/>
        </w:rPr>
        <w:t>calma apparente, ha registrato segnali incoraggianti: finalmente gli esercenti italiani mostrano maggior interesse ad accettare i pagamenti con il cellulare e i consumatori appaiono sempre più incuriositi dalle opportunità offerte.</w:t>
      </w:r>
    </w:p>
    <w:p w:rsidR="00AC5462" w:rsidRPr="00027D24" w:rsidRDefault="00AC5462" w:rsidP="00027D24">
      <w:pPr>
        <w:pStyle w:val="normal"/>
        <w:spacing w:line="280" w:lineRule="exact"/>
        <w:rPr>
          <w:rFonts w:ascii="Trebuchet MS" w:eastAsia="Trebuchet MS" w:hAnsi="Trebuchet MS" w:cs="Trebuchet MS"/>
          <w:sz w:val="22"/>
          <w:szCs w:val="22"/>
        </w:rPr>
      </w:pPr>
    </w:p>
    <w:p w:rsidR="00AC5462" w:rsidRPr="00027D24" w:rsidRDefault="001214C2" w:rsidP="00027D24">
      <w:pPr>
        <w:pStyle w:val="normal"/>
        <w:spacing w:line="280" w:lineRule="exact"/>
        <w:rPr>
          <w:rFonts w:ascii="Trebuchet MS" w:eastAsia="Trebuchet MS" w:hAnsi="Trebuchet MS" w:cs="Trebuchet MS"/>
          <w:b/>
          <w:i/>
          <w:sz w:val="22"/>
          <w:szCs w:val="22"/>
        </w:rPr>
      </w:pPr>
      <w:r w:rsidRPr="00027D24">
        <w:rPr>
          <w:rFonts w:ascii="Trebuchet MS" w:eastAsia="Trebuchet MS" w:hAnsi="Trebuchet MS" w:cs="Trebuchet MS"/>
          <w:b/>
          <w:i/>
          <w:sz w:val="22"/>
          <w:szCs w:val="22"/>
        </w:rPr>
        <w:t xml:space="preserve">I Pagamenti tramite PC </w:t>
      </w:r>
      <w:r w:rsidRPr="00027D24">
        <w:rPr>
          <w:rFonts w:ascii="Trebuchet MS" w:eastAsia="Trebuchet MS" w:hAnsi="Trebuchet MS" w:cs="Trebuchet MS"/>
          <w:b/>
          <w:i/>
          <w:sz w:val="22"/>
          <w:szCs w:val="22"/>
        </w:rPr>
        <w:t xml:space="preserve">e </w:t>
      </w:r>
      <w:proofErr w:type="spellStart"/>
      <w:r w:rsidRPr="00027D24">
        <w:rPr>
          <w:rFonts w:ascii="Trebuchet MS" w:eastAsia="Trebuchet MS" w:hAnsi="Trebuchet MS" w:cs="Trebuchet MS"/>
          <w:b/>
          <w:i/>
          <w:sz w:val="22"/>
          <w:szCs w:val="22"/>
        </w:rPr>
        <w:t>Tablet</w:t>
      </w:r>
      <w:proofErr w:type="spellEnd"/>
    </w:p>
    <w:p w:rsidR="00AC5462" w:rsidRPr="00027D24" w:rsidRDefault="001214C2" w:rsidP="00027D24">
      <w:pPr>
        <w:pStyle w:val="normal"/>
        <w:spacing w:line="280" w:lineRule="exact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27D24">
        <w:rPr>
          <w:rFonts w:ascii="Trebuchet MS" w:eastAsia="Trebuchet MS" w:hAnsi="Trebuchet MS" w:cs="Trebuchet MS"/>
          <w:b/>
          <w:sz w:val="22"/>
          <w:szCs w:val="22"/>
        </w:rPr>
        <w:t>eCommerce</w:t>
      </w:r>
      <w:proofErr w:type="spellEnd"/>
      <w:r w:rsidRPr="00027D24">
        <w:rPr>
          <w:rFonts w:ascii="Trebuchet MS" w:eastAsia="Trebuchet MS" w:hAnsi="Trebuchet MS" w:cs="Trebuchet MS"/>
          <w:b/>
          <w:sz w:val="22"/>
          <w:szCs w:val="22"/>
        </w:rPr>
        <w:t xml:space="preserve"> ed </w:t>
      </w:r>
      <w:proofErr w:type="spellStart"/>
      <w:r w:rsidRPr="00027D24">
        <w:rPr>
          <w:rFonts w:ascii="Trebuchet MS" w:eastAsia="Trebuchet MS" w:hAnsi="Trebuchet MS" w:cs="Trebuchet MS"/>
          <w:b/>
          <w:sz w:val="22"/>
          <w:szCs w:val="22"/>
        </w:rPr>
        <w:t>ePayment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rappresentano la componente di maggior valore nei New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Digital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Payment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. </w:t>
      </w:r>
    </w:p>
    <w:p w:rsidR="00AC5462" w:rsidRPr="00027D24" w:rsidRDefault="001214C2" w:rsidP="00027D24">
      <w:pPr>
        <w:pStyle w:val="normal"/>
        <w:spacing w:line="280" w:lineRule="exact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27D24">
        <w:rPr>
          <w:rFonts w:ascii="Trebuchet MS" w:eastAsia="Trebuchet MS" w:hAnsi="Trebuchet MS" w:cs="Trebuchet MS"/>
          <w:sz w:val="22"/>
          <w:szCs w:val="22"/>
        </w:rPr>
        <w:t xml:space="preserve">L’acquisto di beni e servizi e il pagamento di ricariche, bollette e tasse tramite PC o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Tablet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con carta di credito o tramite 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Wallet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, crescono del 14%, </w:t>
      </w:r>
      <w:r w:rsidRPr="00027D24">
        <w:rPr>
          <w:rFonts w:ascii="Trebuchet MS" w:eastAsia="Trebuchet MS" w:hAnsi="Trebuchet MS" w:cs="Trebuchet MS"/>
          <w:sz w:val="22"/>
          <w:szCs w:val="22"/>
        </w:rPr>
        <w:t xml:space="preserve">arrivando a valere </w:t>
      </w:r>
      <w:r w:rsidRPr="00027D24">
        <w:rPr>
          <w:rFonts w:ascii="Trebuchet MS" w:eastAsia="Trebuchet MS" w:hAnsi="Trebuchet MS" w:cs="Trebuchet MS"/>
          <w:b/>
          <w:sz w:val="22"/>
          <w:szCs w:val="22"/>
        </w:rPr>
        <w:t>18,7 miliardi di euro</w:t>
      </w:r>
      <w:r w:rsidRPr="00027D24">
        <w:rPr>
          <w:rFonts w:ascii="Trebuchet MS" w:eastAsia="Trebuchet MS" w:hAnsi="Trebuchet MS" w:cs="Trebuchet MS"/>
          <w:sz w:val="22"/>
          <w:szCs w:val="22"/>
        </w:rPr>
        <w:t>.</w:t>
      </w:r>
    </w:p>
    <w:p w:rsidR="00AC5462" w:rsidRPr="00027D24" w:rsidRDefault="00AC5462" w:rsidP="00027D24">
      <w:pPr>
        <w:pStyle w:val="normal"/>
        <w:spacing w:line="280" w:lineRule="exact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AC5462" w:rsidRPr="00027D24" w:rsidRDefault="001214C2" w:rsidP="00027D24">
      <w:pPr>
        <w:pStyle w:val="normal"/>
        <w:widowControl/>
        <w:spacing w:line="280" w:lineRule="exact"/>
        <w:jc w:val="both"/>
        <w:rPr>
          <w:rFonts w:ascii="Trebuchet MS" w:eastAsia="Trebuchet MS" w:hAnsi="Trebuchet MS" w:cs="Trebuchet MS"/>
          <w:b/>
          <w:i/>
          <w:sz w:val="22"/>
          <w:szCs w:val="22"/>
        </w:rPr>
      </w:pPr>
      <w:r w:rsidRPr="00027D24">
        <w:rPr>
          <w:rFonts w:ascii="Trebuchet MS" w:eastAsia="Trebuchet MS" w:hAnsi="Trebuchet MS" w:cs="Trebuchet MS"/>
          <w:b/>
          <w:i/>
          <w:sz w:val="22"/>
          <w:szCs w:val="22"/>
        </w:rPr>
        <w:t>I pagamenti innovativi con carta</w:t>
      </w:r>
    </w:p>
    <w:p w:rsidR="00AC5462" w:rsidRPr="00027D24" w:rsidRDefault="001214C2" w:rsidP="00027D24">
      <w:pPr>
        <w:pStyle w:val="normal"/>
        <w:widowControl/>
        <w:spacing w:line="280" w:lineRule="exact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27D24">
        <w:rPr>
          <w:rFonts w:ascii="Trebuchet MS" w:eastAsia="Trebuchet MS" w:hAnsi="Trebuchet MS" w:cs="Trebuchet MS"/>
          <w:sz w:val="22"/>
          <w:szCs w:val="22"/>
        </w:rPr>
        <w:t xml:space="preserve">Nel 2016 sono più di 140 milioni le transazioni effettuate in modalità </w:t>
      </w:r>
      <w:proofErr w:type="spellStart"/>
      <w:r w:rsidRPr="00027D24">
        <w:rPr>
          <w:rFonts w:ascii="Trebuchet MS" w:eastAsia="Trebuchet MS" w:hAnsi="Trebuchet MS" w:cs="Trebuchet MS"/>
          <w:b/>
          <w:sz w:val="22"/>
          <w:szCs w:val="22"/>
        </w:rPr>
        <w:t>contactless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dai possessori di carte e oltre 7 miliardi di euro il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transato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complessivo. Numeri giustificati d</w:t>
      </w:r>
      <w:r w:rsidRPr="00027D24">
        <w:rPr>
          <w:rFonts w:ascii="Trebuchet MS" w:eastAsia="Trebuchet MS" w:hAnsi="Trebuchet MS" w:cs="Trebuchet MS"/>
          <w:sz w:val="22"/>
          <w:szCs w:val="22"/>
        </w:rPr>
        <w:t xml:space="preserve">a una progressiva crescita dell'infrastruttura - 2 carte su 5 (40 milioni di carte a fine 2016, +100% rispetto al 2015) e 1 POS su 2 (1.000.000 a fine 2016, raddoppiati rispetto al 2015) sono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contactless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- e soprattutto da una maggior consapevolezza dello </w:t>
      </w:r>
      <w:r w:rsidRPr="00027D24">
        <w:rPr>
          <w:rFonts w:ascii="Trebuchet MS" w:eastAsia="Trebuchet MS" w:hAnsi="Trebuchet MS" w:cs="Trebuchet MS"/>
          <w:sz w:val="22"/>
          <w:szCs w:val="22"/>
        </w:rPr>
        <w:t>strumento da parte di consumatori ed esercenti. I numeri dimostrano come il "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tap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&amp; go" non sia utilizzato solo per i micro pagamenti sotto i 25 euro (per cui non serve inserire il PIN), ma anche per i pagamenti con un ammontare superiore, segno che la poss</w:t>
      </w:r>
      <w:r w:rsidRPr="00027D24">
        <w:rPr>
          <w:rFonts w:ascii="Trebuchet MS" w:eastAsia="Trebuchet MS" w:hAnsi="Trebuchet MS" w:cs="Trebuchet MS"/>
          <w:sz w:val="22"/>
          <w:szCs w:val="22"/>
        </w:rPr>
        <w:t xml:space="preserve">ibilità di non inserire la carta nel POS è reputata più comoda e veloce in qualsiasi circostanza. Lo scontrino medio si aggira infatti poco sotto ai 50 euro, inferiore allo scontrino medio con carta che è circa 63,5 euro.  Si stima che i pagamenti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contactl</w:t>
      </w:r>
      <w:r w:rsidRPr="00027D24">
        <w:rPr>
          <w:rFonts w:ascii="Trebuchet MS" w:eastAsia="Trebuchet MS" w:hAnsi="Trebuchet MS" w:cs="Trebuchet MS"/>
          <w:sz w:val="22"/>
          <w:szCs w:val="22"/>
        </w:rPr>
        <w:t>ess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entro il 2019 varranno tra i 50 e i 70 miliardi di euro.</w:t>
      </w:r>
    </w:p>
    <w:p w:rsidR="00AC5462" w:rsidRPr="00027D24" w:rsidRDefault="00AC5462" w:rsidP="00027D24">
      <w:pPr>
        <w:pStyle w:val="normal"/>
        <w:widowControl/>
        <w:spacing w:line="280" w:lineRule="exact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AC5462" w:rsidRPr="00027D24" w:rsidRDefault="001214C2" w:rsidP="00027D24">
      <w:pPr>
        <w:pStyle w:val="normal"/>
        <w:spacing w:line="280" w:lineRule="exact"/>
        <w:jc w:val="both"/>
        <w:rPr>
          <w:rFonts w:ascii="Trebuchet MS" w:eastAsia="Trebuchet MS" w:hAnsi="Trebuchet MS" w:cs="Trebuchet MS"/>
          <w:b/>
          <w:i/>
          <w:sz w:val="22"/>
          <w:szCs w:val="22"/>
        </w:rPr>
      </w:pPr>
      <w:r w:rsidRPr="00027D24">
        <w:rPr>
          <w:rFonts w:ascii="Trebuchet MS" w:eastAsia="Trebuchet MS" w:hAnsi="Trebuchet MS" w:cs="Trebuchet MS"/>
          <w:b/>
          <w:i/>
          <w:sz w:val="22"/>
          <w:szCs w:val="22"/>
        </w:rPr>
        <w:t xml:space="preserve">I pagamenti tramite </w:t>
      </w:r>
      <w:proofErr w:type="spellStart"/>
      <w:r w:rsidRPr="00027D24">
        <w:rPr>
          <w:rFonts w:ascii="Trebuchet MS" w:eastAsia="Trebuchet MS" w:hAnsi="Trebuchet MS" w:cs="Trebuchet MS"/>
          <w:b/>
          <w:i/>
          <w:sz w:val="22"/>
          <w:szCs w:val="22"/>
        </w:rPr>
        <w:t>Smartphone</w:t>
      </w:r>
      <w:proofErr w:type="spellEnd"/>
    </w:p>
    <w:p w:rsidR="00AC5462" w:rsidRPr="00027D24" w:rsidRDefault="001214C2" w:rsidP="00027D24">
      <w:pPr>
        <w:pStyle w:val="normal"/>
        <w:spacing w:line="280" w:lineRule="exact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27D24">
        <w:rPr>
          <w:rFonts w:ascii="Trebuchet MS" w:eastAsia="Trebuchet MS" w:hAnsi="Trebuchet MS" w:cs="Trebuchet MS"/>
          <w:sz w:val="22"/>
          <w:szCs w:val="22"/>
        </w:rPr>
        <w:t xml:space="preserve">L’acquisto di prodotti e servizi attraverso il telefono cellulare </w:t>
      </w:r>
      <w:r w:rsidRPr="00027D24">
        <w:rPr>
          <w:rFonts w:ascii="Trebuchet MS" w:eastAsia="Trebuchet MS" w:hAnsi="Trebuchet MS" w:cs="Trebuchet MS"/>
          <w:b/>
          <w:sz w:val="22"/>
          <w:szCs w:val="22"/>
        </w:rPr>
        <w:t xml:space="preserve">(Mobile </w:t>
      </w:r>
      <w:proofErr w:type="spellStart"/>
      <w:r w:rsidRPr="00027D24">
        <w:rPr>
          <w:rFonts w:ascii="Trebuchet MS" w:eastAsia="Trebuchet MS" w:hAnsi="Trebuchet MS" w:cs="Trebuchet MS"/>
          <w:b/>
          <w:sz w:val="22"/>
          <w:szCs w:val="22"/>
        </w:rPr>
        <w:t>Payment</w:t>
      </w:r>
      <w:proofErr w:type="spellEnd"/>
      <w:r w:rsidRPr="00027D24">
        <w:rPr>
          <w:rFonts w:ascii="Trebuchet MS" w:eastAsia="Trebuchet MS" w:hAnsi="Trebuchet MS" w:cs="Trebuchet MS"/>
          <w:b/>
          <w:sz w:val="22"/>
          <w:szCs w:val="22"/>
        </w:rPr>
        <w:t xml:space="preserve"> &amp; </w:t>
      </w:r>
      <w:proofErr w:type="spellStart"/>
      <w:r w:rsidRPr="00027D24">
        <w:rPr>
          <w:rFonts w:ascii="Trebuchet MS" w:eastAsia="Trebuchet MS" w:hAnsi="Trebuchet MS" w:cs="Trebuchet MS"/>
          <w:b/>
          <w:sz w:val="22"/>
          <w:szCs w:val="22"/>
        </w:rPr>
        <w:t>Commerce</w:t>
      </w:r>
      <w:proofErr w:type="spellEnd"/>
      <w:r w:rsidRPr="00027D24">
        <w:rPr>
          <w:rFonts w:ascii="Trebuchet MS" w:eastAsia="Trebuchet MS" w:hAnsi="Trebuchet MS" w:cs="Trebuchet MS"/>
          <w:b/>
          <w:sz w:val="22"/>
          <w:szCs w:val="22"/>
        </w:rPr>
        <w:t>)</w:t>
      </w:r>
      <w:r w:rsidRPr="00027D24">
        <w:rPr>
          <w:rFonts w:ascii="Trebuchet MS" w:eastAsia="Trebuchet MS" w:hAnsi="Trebuchet MS" w:cs="Trebuchet MS"/>
          <w:sz w:val="22"/>
          <w:szCs w:val="22"/>
        </w:rPr>
        <w:t xml:space="preserve">, sia attraverso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app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e Mobile site che utilizzando lo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smartphone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in mo</w:t>
      </w:r>
      <w:r w:rsidRPr="00027D24">
        <w:rPr>
          <w:rFonts w:ascii="Trebuchet MS" w:eastAsia="Trebuchet MS" w:hAnsi="Trebuchet MS" w:cs="Trebuchet MS"/>
          <w:sz w:val="22"/>
          <w:szCs w:val="22"/>
        </w:rPr>
        <w:t xml:space="preserve">dalità di pagamento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proximity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(NFC, QR code e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geo-localizzazione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), cresce del 63% e raggiunge i </w:t>
      </w:r>
      <w:r w:rsidRPr="00027D24">
        <w:rPr>
          <w:rFonts w:ascii="Trebuchet MS" w:eastAsia="Trebuchet MS" w:hAnsi="Trebuchet MS" w:cs="Trebuchet MS"/>
          <w:b/>
          <w:sz w:val="22"/>
          <w:szCs w:val="22"/>
        </w:rPr>
        <w:t>3,9 miliardi.</w:t>
      </w:r>
    </w:p>
    <w:p w:rsidR="00AC5462" w:rsidRPr="00027D24" w:rsidRDefault="001214C2" w:rsidP="00027D24">
      <w:pPr>
        <w:pStyle w:val="normal"/>
        <w:spacing w:line="280" w:lineRule="exact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27D24">
        <w:rPr>
          <w:rFonts w:ascii="Trebuchet MS" w:eastAsia="Trebuchet MS" w:hAnsi="Trebuchet MS" w:cs="Trebuchet MS"/>
          <w:sz w:val="22"/>
          <w:szCs w:val="22"/>
        </w:rPr>
        <w:t xml:space="preserve">Questa componente è trainata soprattutto dalla crescita del 63% di chi effettua l’intero processo di acquisto online </w:t>
      </w:r>
      <w:r w:rsidRPr="00027D24">
        <w:rPr>
          <w:rFonts w:ascii="Trebuchet MS" w:eastAsia="Trebuchet MS" w:hAnsi="Trebuchet MS" w:cs="Trebuchet MS"/>
          <w:b/>
          <w:sz w:val="22"/>
          <w:szCs w:val="22"/>
        </w:rPr>
        <w:t xml:space="preserve">(Mobile Remote </w:t>
      </w:r>
      <w:proofErr w:type="spellStart"/>
      <w:r w:rsidRPr="00027D24">
        <w:rPr>
          <w:rFonts w:ascii="Trebuchet MS" w:eastAsia="Trebuchet MS" w:hAnsi="Trebuchet MS" w:cs="Trebuchet MS"/>
          <w:b/>
          <w:sz w:val="22"/>
          <w:szCs w:val="22"/>
        </w:rPr>
        <w:t>Commerce</w:t>
      </w:r>
      <w:proofErr w:type="spellEnd"/>
      <w:r w:rsidRPr="00027D24">
        <w:rPr>
          <w:rFonts w:ascii="Trebuchet MS" w:eastAsia="Trebuchet MS" w:hAnsi="Trebuchet MS" w:cs="Trebuchet MS"/>
          <w:b/>
          <w:sz w:val="22"/>
          <w:szCs w:val="22"/>
        </w:rPr>
        <w:t>)</w:t>
      </w:r>
      <w:r w:rsidRPr="00027D24">
        <w:rPr>
          <w:rFonts w:ascii="Trebuchet MS" w:eastAsia="Trebuchet MS" w:hAnsi="Trebuchet MS" w:cs="Trebuchet MS"/>
          <w:sz w:val="22"/>
          <w:szCs w:val="22"/>
        </w:rPr>
        <w:t>, che</w:t>
      </w:r>
      <w:r w:rsidRPr="00027D24">
        <w:rPr>
          <w:rFonts w:ascii="Trebuchet MS" w:eastAsia="Trebuchet MS" w:hAnsi="Trebuchet MS" w:cs="Trebuchet MS"/>
          <w:sz w:val="22"/>
          <w:szCs w:val="22"/>
        </w:rPr>
        <w:t xml:space="preserve"> raggiunge i 3,3 miliardi di euro di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transato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(valeva 2 miliardi nel 2015), pari a circa il 17% del totale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transato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eCommerce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(nel 2015 </w:t>
      </w:r>
      <w:r w:rsidRPr="00027D24">
        <w:rPr>
          <w:rFonts w:ascii="Trebuchet MS" w:eastAsia="Trebuchet MS" w:hAnsi="Trebuchet MS" w:cs="Trebuchet MS"/>
          <w:sz w:val="22"/>
          <w:szCs w:val="22"/>
        </w:rPr>
        <w:lastRenderedPageBreak/>
        <w:t>rappresentava il 12%), con questo tipo di acquisti che fa segnare il proprio picco nei mesi festivi di agosto e dicembre</w:t>
      </w:r>
      <w:r w:rsidRPr="00027D24">
        <w:rPr>
          <w:rFonts w:ascii="Trebuchet MS" w:eastAsia="Trebuchet MS" w:hAnsi="Trebuchet MS" w:cs="Trebuchet MS"/>
          <w:sz w:val="22"/>
          <w:szCs w:val="22"/>
        </w:rPr>
        <w:t>.</w:t>
      </w:r>
    </w:p>
    <w:p w:rsidR="00AC5462" w:rsidRPr="00027D24" w:rsidRDefault="001214C2" w:rsidP="00027D24">
      <w:pPr>
        <w:pStyle w:val="normal"/>
        <w:spacing w:line="280" w:lineRule="exact"/>
        <w:jc w:val="both"/>
        <w:rPr>
          <w:rFonts w:ascii="Trebuchet MS" w:eastAsia="EB Garamond" w:hAnsi="Trebuchet MS" w:cs="EB Garamond"/>
          <w:color w:val="58595B"/>
          <w:sz w:val="22"/>
          <w:szCs w:val="22"/>
          <w:shd w:val="clear" w:color="auto" w:fill="D9EAD3"/>
        </w:rPr>
      </w:pPr>
      <w:r w:rsidRPr="00027D24">
        <w:rPr>
          <w:rFonts w:ascii="Trebuchet MS" w:eastAsia="Trebuchet MS" w:hAnsi="Trebuchet MS" w:cs="Trebuchet MS"/>
          <w:sz w:val="22"/>
          <w:szCs w:val="22"/>
        </w:rPr>
        <w:t>Grazie ad iniziative mirate volte a convogliare gli acquisti su mobile anche per categorie generalmente più associate al mondo PC per facilità di consultazione delle foto e personalizzazione del prodotto come quella dell’arredamento (arrivato a pesare il</w:t>
      </w:r>
      <w:r w:rsidRPr="00027D24">
        <w:rPr>
          <w:rFonts w:ascii="Trebuchet MS" w:eastAsia="Trebuchet MS" w:hAnsi="Trebuchet MS" w:cs="Trebuchet MS"/>
          <w:sz w:val="22"/>
          <w:szCs w:val="22"/>
        </w:rPr>
        <w:t xml:space="preserve"> 26% del totale, in crescita dell’80% rispetto al 2015 in termini di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transato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), si stima che nei prossimi tre anni il Mobile Remote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Commerce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potrà raddoppiare e valere tra i 6,7 e i 7,7 miliardi di euro.</w:t>
      </w:r>
    </w:p>
    <w:p w:rsidR="00AC5462" w:rsidRPr="00027D24" w:rsidRDefault="00AC5462" w:rsidP="00027D24">
      <w:pPr>
        <w:pStyle w:val="normal"/>
        <w:spacing w:line="280" w:lineRule="exact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AC5462" w:rsidRPr="00027D24" w:rsidRDefault="001214C2" w:rsidP="00027D24">
      <w:pPr>
        <w:pStyle w:val="normal"/>
        <w:spacing w:line="280" w:lineRule="exact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27D24">
        <w:rPr>
          <w:rFonts w:ascii="Trebuchet MS" w:eastAsia="Trebuchet MS" w:hAnsi="Trebuchet MS" w:cs="Trebuchet MS"/>
          <w:sz w:val="22"/>
          <w:szCs w:val="22"/>
        </w:rPr>
        <w:t xml:space="preserve">Nel 2016 il </w:t>
      </w:r>
      <w:r w:rsidRPr="00027D24">
        <w:rPr>
          <w:rFonts w:ascii="Trebuchet MS" w:eastAsia="Trebuchet MS" w:hAnsi="Trebuchet MS" w:cs="Trebuchet MS"/>
          <w:b/>
          <w:sz w:val="22"/>
          <w:szCs w:val="22"/>
        </w:rPr>
        <w:t xml:space="preserve">Mobile Remote </w:t>
      </w:r>
      <w:proofErr w:type="spellStart"/>
      <w:r w:rsidRPr="00027D24">
        <w:rPr>
          <w:rFonts w:ascii="Trebuchet MS" w:eastAsia="Trebuchet MS" w:hAnsi="Trebuchet MS" w:cs="Trebuchet MS"/>
          <w:b/>
          <w:sz w:val="22"/>
          <w:szCs w:val="22"/>
        </w:rPr>
        <w:t>Payment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raggiunge i 600 milioni di euro (+61% rispetto al 2015). Crescono i pagamenti di bollette e bollettini, arrivando a oltre 115 milioni pagati tramite i Mobile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Wallet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(escludendo i pagamenti da Mobile Banking) inquadrando il codice 2d con lo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smartphone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(+54</w:t>
      </w:r>
      <w:r w:rsidRPr="00027D24">
        <w:rPr>
          <w:rFonts w:ascii="Trebuchet MS" w:eastAsia="Trebuchet MS" w:hAnsi="Trebuchet MS" w:cs="Trebuchet MS"/>
          <w:sz w:val="22"/>
          <w:szCs w:val="22"/>
        </w:rPr>
        <w:t xml:space="preserve">% rispetto al 2015). </w:t>
      </w:r>
    </w:p>
    <w:p w:rsidR="00AC5462" w:rsidRPr="00027D24" w:rsidRDefault="001214C2" w:rsidP="00027D24">
      <w:pPr>
        <w:pStyle w:val="normal"/>
        <w:spacing w:line="280" w:lineRule="exact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27D24">
        <w:rPr>
          <w:rFonts w:ascii="Trebuchet MS" w:eastAsia="Trebuchet MS" w:hAnsi="Trebuchet MS" w:cs="Trebuchet MS"/>
          <w:sz w:val="22"/>
          <w:szCs w:val="22"/>
        </w:rPr>
        <w:t xml:space="preserve">Raddoppiano i pagamenti da cellulare legati ai trasporti (biglietti del bus, pagamento delle soste, taxi e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car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/bike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sharing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>), raggiungendo i 90 milioni di euro (+97%). In particolare, grazie alla crescita dell’offerta di questi serviz</w:t>
      </w:r>
      <w:r w:rsidRPr="00027D24">
        <w:rPr>
          <w:rFonts w:ascii="Trebuchet MS" w:eastAsia="Trebuchet MS" w:hAnsi="Trebuchet MS" w:cs="Trebuchet MS"/>
          <w:sz w:val="22"/>
          <w:szCs w:val="22"/>
        </w:rPr>
        <w:t xml:space="preserve">i, nel 2016 sono stati acquistati oltre 8 milioni di biglietti, pagate quasi 7 milioni di soste e oltre 10 milioni di corse di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car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sharing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. Anche il settore dei Taxi conta oggi quasi 4,5 milioni di euro pagati tramite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smartphone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>. I servizi di Mobile Remote</w:t>
      </w:r>
      <w:r w:rsidRPr="00027D24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Payment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hanno un valore medio della transazione molto bassa, ma una frequenza di utilizzo sempre più alta e interessante da parte degli utenti: hanno quindi il merito di abbattere progressivamente le barriere all'utilizzo del cellulare da parte degli uten</w:t>
      </w:r>
      <w:r w:rsidRPr="00027D24">
        <w:rPr>
          <w:rFonts w:ascii="Trebuchet MS" w:eastAsia="Trebuchet MS" w:hAnsi="Trebuchet MS" w:cs="Trebuchet MS"/>
          <w:sz w:val="22"/>
          <w:szCs w:val="22"/>
        </w:rPr>
        <w:t xml:space="preserve">ti e fare da traino anche agli altri servizi di Mobile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Payment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&amp;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Commerce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.  Si stima che nei prossimi tre anni la frequenza di utilizzo aumenterà ulteriormente e che nel 2019 il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transato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di Mobile Remote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Payment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raddoppierà raggiungendo 1 miliardo di euro.</w:t>
      </w:r>
    </w:p>
    <w:p w:rsidR="00AC5462" w:rsidRPr="00027D24" w:rsidRDefault="001214C2" w:rsidP="00027D24">
      <w:pPr>
        <w:pStyle w:val="normal"/>
        <w:spacing w:line="280" w:lineRule="exact"/>
        <w:jc w:val="both"/>
        <w:rPr>
          <w:rFonts w:ascii="Trebuchet MS" w:eastAsia="EB Garamond" w:hAnsi="Trebuchet MS" w:cs="EB Garamond"/>
          <w:b/>
          <w:color w:val="58595B"/>
          <w:sz w:val="22"/>
          <w:szCs w:val="22"/>
          <w:shd w:val="clear" w:color="auto" w:fill="D9EAD3"/>
        </w:rPr>
      </w:pPr>
      <w:bookmarkStart w:id="1" w:name="_30j0zll" w:colFirst="0" w:colLast="0"/>
      <w:bookmarkEnd w:id="1"/>
      <w:r w:rsidRPr="00027D24">
        <w:rPr>
          <w:rFonts w:ascii="Trebuchet MS" w:eastAsia="Trebuchet MS" w:hAnsi="Trebuchet MS" w:cs="Trebuchet MS"/>
          <w:sz w:val="22"/>
          <w:szCs w:val="22"/>
        </w:rPr>
        <w:t>“</w:t>
      </w:r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Il Mobile </w:t>
      </w:r>
      <w:proofErr w:type="spellStart"/>
      <w:r w:rsidRPr="00027D24">
        <w:rPr>
          <w:rFonts w:ascii="Trebuchet MS" w:eastAsia="Trebuchet MS" w:hAnsi="Trebuchet MS" w:cs="Trebuchet MS"/>
          <w:i/>
          <w:sz w:val="22"/>
          <w:szCs w:val="22"/>
        </w:rPr>
        <w:t>Proximity</w:t>
      </w:r>
      <w:proofErr w:type="spellEnd"/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 </w:t>
      </w:r>
      <w:proofErr w:type="spellStart"/>
      <w:r w:rsidRPr="00027D24">
        <w:rPr>
          <w:rFonts w:ascii="Trebuchet MS" w:eastAsia="Trebuchet MS" w:hAnsi="Trebuchet MS" w:cs="Trebuchet MS"/>
          <w:i/>
          <w:sz w:val="22"/>
          <w:szCs w:val="22"/>
        </w:rPr>
        <w:t>Payment</w:t>
      </w:r>
      <w:proofErr w:type="spellEnd"/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 è ancora all’inizio e con il recentissimo annuncio dell’arrivo di Apple </w:t>
      </w:r>
      <w:proofErr w:type="spellStart"/>
      <w:r w:rsidRPr="00027D24">
        <w:rPr>
          <w:rFonts w:ascii="Trebuchet MS" w:eastAsia="Trebuchet MS" w:hAnsi="Trebuchet MS" w:cs="Trebuchet MS"/>
          <w:i/>
          <w:sz w:val="22"/>
          <w:szCs w:val="22"/>
        </w:rPr>
        <w:t>Pay</w:t>
      </w:r>
      <w:proofErr w:type="spellEnd"/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 anche in Italia, crediamo che nei prossimi anni potrà crescere rapidamente</w:t>
      </w:r>
      <w:r w:rsidRPr="00027D24">
        <w:rPr>
          <w:rFonts w:ascii="Trebuchet MS" w:eastAsia="Trebuchet MS" w:hAnsi="Trebuchet MS" w:cs="Trebuchet MS"/>
          <w:sz w:val="22"/>
          <w:szCs w:val="22"/>
        </w:rPr>
        <w:t xml:space="preserve">” aggiunge </w:t>
      </w:r>
      <w:r w:rsidRPr="00027D24">
        <w:rPr>
          <w:rFonts w:ascii="Trebuchet MS" w:eastAsia="Trebuchet MS" w:hAnsi="Trebuchet MS" w:cs="Trebuchet MS"/>
          <w:b/>
          <w:sz w:val="22"/>
          <w:szCs w:val="22"/>
        </w:rPr>
        <w:t>Valeria Portale.</w:t>
      </w:r>
    </w:p>
    <w:p w:rsidR="00AC5462" w:rsidRPr="00027D24" w:rsidRDefault="00AC5462" w:rsidP="00027D24">
      <w:pPr>
        <w:pStyle w:val="normal"/>
        <w:spacing w:line="280" w:lineRule="exact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AC5462" w:rsidRPr="00027D24" w:rsidRDefault="001214C2" w:rsidP="00027D24">
      <w:pPr>
        <w:pStyle w:val="normal"/>
        <w:spacing w:line="280" w:lineRule="exact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27D24">
        <w:rPr>
          <w:rFonts w:ascii="Trebuchet MS" w:eastAsia="Trebuchet MS" w:hAnsi="Trebuchet MS" w:cs="Trebuchet MS"/>
          <w:sz w:val="22"/>
          <w:szCs w:val="22"/>
        </w:rPr>
        <w:t>L’evoluzione del settore passa inoltre anche at</w:t>
      </w:r>
      <w:r w:rsidRPr="00027D24">
        <w:rPr>
          <w:rFonts w:ascii="Trebuchet MS" w:eastAsia="Trebuchet MS" w:hAnsi="Trebuchet MS" w:cs="Trebuchet MS"/>
          <w:sz w:val="22"/>
          <w:szCs w:val="22"/>
        </w:rPr>
        <w:t xml:space="preserve">traverso l’utilizzo dello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smartphone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come strumento di accettazione: a fine 2016 si stima ci siano circa 85.000 unità (+21%, erano 70.000 nel 2015) di </w:t>
      </w:r>
      <w:r w:rsidRPr="00027D24">
        <w:rPr>
          <w:rFonts w:ascii="Trebuchet MS" w:eastAsia="Trebuchet MS" w:hAnsi="Trebuchet MS" w:cs="Trebuchet MS"/>
          <w:b/>
          <w:sz w:val="22"/>
          <w:szCs w:val="22"/>
        </w:rPr>
        <w:t>Mobile POS</w:t>
      </w:r>
      <w:r w:rsidRPr="00027D24">
        <w:rPr>
          <w:rFonts w:ascii="Trebuchet MS" w:eastAsia="Trebuchet MS" w:hAnsi="Trebuchet MS" w:cs="Trebuchet MS"/>
          <w:sz w:val="22"/>
          <w:szCs w:val="22"/>
        </w:rPr>
        <w:t xml:space="preserve">. Cresce il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transato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>, che raggiunge gli 800 milioni di euro (+75% rispetto al 2015), a dimostra</w:t>
      </w:r>
      <w:r w:rsidRPr="00027D24">
        <w:rPr>
          <w:rFonts w:ascii="Trebuchet MS" w:eastAsia="Trebuchet MS" w:hAnsi="Trebuchet MS" w:cs="Trebuchet MS"/>
          <w:sz w:val="22"/>
          <w:szCs w:val="22"/>
        </w:rPr>
        <w:t xml:space="preserve">zione che chi lo ha provato ne è rimasto soddisfatto e lo utilizza sempre più quotidianamente. Il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transato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annuo per ogni singolo Mobile POS si attesta sopra i 9.500 euro, in crescita rispetto ai 7.000 euro scarsi del 2015. </w:t>
      </w:r>
    </w:p>
    <w:p w:rsidR="00AC5462" w:rsidRPr="00027D24" w:rsidRDefault="001214C2" w:rsidP="00027D24">
      <w:pPr>
        <w:pStyle w:val="normal"/>
        <w:spacing w:line="280" w:lineRule="exact"/>
        <w:jc w:val="both"/>
        <w:rPr>
          <w:rFonts w:ascii="Trebuchet MS" w:eastAsia="Trebuchet MS" w:hAnsi="Trebuchet MS" w:cs="Trebuchet MS"/>
          <w:i/>
          <w:sz w:val="22"/>
          <w:szCs w:val="22"/>
        </w:rPr>
      </w:pPr>
      <w:r w:rsidRPr="00027D24">
        <w:rPr>
          <w:rFonts w:ascii="Trebuchet MS" w:eastAsia="Trebuchet MS" w:hAnsi="Trebuchet MS" w:cs="Trebuchet MS"/>
          <w:sz w:val="22"/>
          <w:szCs w:val="22"/>
        </w:rPr>
        <w:t>Se l'offerta evolverà verso sis</w:t>
      </w:r>
      <w:r w:rsidRPr="00027D24">
        <w:rPr>
          <w:rFonts w:ascii="Trebuchet MS" w:eastAsia="Trebuchet MS" w:hAnsi="Trebuchet MS" w:cs="Trebuchet MS"/>
          <w:sz w:val="22"/>
          <w:szCs w:val="22"/>
        </w:rPr>
        <w:t xml:space="preserve">temi di POS evoluti (ad esempio con integrazione di servizi di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couponing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e gestione del magazzino) nei prossimi tre anni i Mobile POS attivi arriveranno a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transare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tra gli 1,2 e gli 1,6 miliardi di euro all'anno.</w:t>
      </w:r>
    </w:p>
    <w:p w:rsidR="00AC5462" w:rsidRPr="00027D24" w:rsidRDefault="00AC5462" w:rsidP="00027D24">
      <w:pPr>
        <w:pStyle w:val="normal"/>
        <w:spacing w:line="280" w:lineRule="exact"/>
        <w:jc w:val="both"/>
        <w:rPr>
          <w:rFonts w:ascii="Trebuchet MS" w:eastAsia="EB Garamond" w:hAnsi="Trebuchet MS" w:cs="EB Garamond"/>
          <w:color w:val="58595B"/>
          <w:sz w:val="22"/>
          <w:szCs w:val="22"/>
          <w:shd w:val="clear" w:color="auto" w:fill="D9EAD3"/>
        </w:rPr>
      </w:pPr>
    </w:p>
    <w:p w:rsidR="00AC5462" w:rsidRPr="00027D24" w:rsidRDefault="001214C2" w:rsidP="00027D24">
      <w:pPr>
        <w:pStyle w:val="normal"/>
        <w:spacing w:line="280" w:lineRule="exact"/>
        <w:jc w:val="both"/>
        <w:rPr>
          <w:rFonts w:ascii="Trebuchet MS" w:eastAsia="EB Garamond" w:hAnsi="Trebuchet MS" w:cs="EB Garamond"/>
          <w:color w:val="58595B"/>
          <w:sz w:val="22"/>
          <w:szCs w:val="22"/>
          <w:shd w:val="clear" w:color="auto" w:fill="D9EAD3"/>
        </w:rPr>
      </w:pPr>
      <w:r w:rsidRPr="00027D24">
        <w:rPr>
          <w:rFonts w:ascii="Trebuchet MS" w:eastAsia="Trebuchet MS" w:hAnsi="Trebuchet MS" w:cs="Trebuchet MS"/>
          <w:b/>
          <w:i/>
          <w:sz w:val="22"/>
          <w:szCs w:val="22"/>
        </w:rPr>
        <w:t>Il punto di vista di consumatori ed eserce</w:t>
      </w:r>
      <w:r w:rsidRPr="00027D24">
        <w:rPr>
          <w:rFonts w:ascii="Trebuchet MS" w:eastAsia="Trebuchet MS" w:hAnsi="Trebuchet MS" w:cs="Trebuchet MS"/>
          <w:b/>
          <w:i/>
          <w:sz w:val="22"/>
          <w:szCs w:val="22"/>
        </w:rPr>
        <w:t>nti in Italia</w:t>
      </w:r>
    </w:p>
    <w:p w:rsidR="00AC5462" w:rsidRPr="00027D24" w:rsidRDefault="001214C2" w:rsidP="00027D24">
      <w:pPr>
        <w:pStyle w:val="normal"/>
        <w:spacing w:line="280" w:lineRule="exact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27D24">
        <w:rPr>
          <w:rFonts w:ascii="Trebuchet MS" w:eastAsia="Trebuchet MS" w:hAnsi="Trebuchet MS" w:cs="Trebuchet MS"/>
          <w:sz w:val="22"/>
          <w:szCs w:val="22"/>
        </w:rPr>
        <w:t xml:space="preserve">Il 2016 è l’anno in cui, forse per la prima volta, a fare da promotori nella direzione dei pagamenti innovativi sono stati gli esercenti. Dall’indagine condotta su 68 Top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Retailer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italiani è emerso che l’innovazione dei sistemi di pagamento è</w:t>
      </w:r>
      <w:r w:rsidRPr="00027D24">
        <w:rPr>
          <w:rFonts w:ascii="Trebuchet MS" w:eastAsia="Trebuchet MS" w:hAnsi="Trebuchet MS" w:cs="Trebuchet MS"/>
          <w:sz w:val="22"/>
          <w:szCs w:val="22"/>
        </w:rPr>
        <w:t xml:space="preserve"> una delle priorità (il 44% degli intervistati dichiara di volerci lavorare nel 2017). I grandi esercenti italiani, in particolare nel campo della ristorazione, si sono messi in gioco in due modi: da un lato integrando alcuni sistemi di pagamento all’inter</w:t>
      </w:r>
      <w:r w:rsidRPr="00027D24">
        <w:rPr>
          <w:rFonts w:ascii="Trebuchet MS" w:eastAsia="Trebuchet MS" w:hAnsi="Trebuchet MS" w:cs="Trebuchet MS"/>
          <w:sz w:val="22"/>
          <w:szCs w:val="22"/>
        </w:rPr>
        <w:t xml:space="preserve">no delle loro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app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e dall’altro accettando i pagamenti offerti da altri attori. </w:t>
      </w:r>
    </w:p>
    <w:p w:rsidR="00AC5462" w:rsidRPr="00027D24" w:rsidRDefault="001214C2" w:rsidP="00027D24">
      <w:pPr>
        <w:pStyle w:val="normal"/>
        <w:spacing w:line="280" w:lineRule="exact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27D24">
        <w:rPr>
          <w:rFonts w:ascii="Trebuchet MS" w:eastAsia="Trebuchet MS" w:hAnsi="Trebuchet MS" w:cs="Trebuchet MS"/>
          <w:sz w:val="22"/>
          <w:szCs w:val="22"/>
        </w:rPr>
        <w:t xml:space="preserve">È necessario, tuttavia, educare consumatori ed esercenti attraverso campagne di comunicazione mirate a far emergere le opportunità di questi strumenti e per far sì che siano conosciuti ed utilizzati da tutti. </w:t>
      </w:r>
    </w:p>
    <w:p w:rsidR="00AC5462" w:rsidRPr="00027D24" w:rsidRDefault="00AC5462" w:rsidP="00027D24">
      <w:pPr>
        <w:pStyle w:val="normal"/>
        <w:spacing w:line="280" w:lineRule="exact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AC5462" w:rsidRPr="00027D24" w:rsidRDefault="001214C2" w:rsidP="00027D24">
      <w:pPr>
        <w:pStyle w:val="normal"/>
        <w:spacing w:line="280" w:lineRule="exact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27D24">
        <w:rPr>
          <w:rFonts w:ascii="Trebuchet MS" w:eastAsia="Trebuchet MS" w:hAnsi="Trebuchet MS" w:cs="Trebuchet MS"/>
          <w:sz w:val="22"/>
          <w:szCs w:val="22"/>
          <w:highlight w:val="white"/>
        </w:rPr>
        <w:t>“</w:t>
      </w:r>
      <w:r w:rsidRPr="00027D24">
        <w:rPr>
          <w:rFonts w:ascii="Trebuchet MS" w:eastAsia="Trebuchet MS" w:hAnsi="Trebuchet MS" w:cs="Trebuchet MS"/>
          <w:i/>
          <w:sz w:val="22"/>
          <w:szCs w:val="22"/>
          <w:highlight w:val="white"/>
        </w:rPr>
        <w:t>Dall’indagine su più di 3000 attuali utilizz</w:t>
      </w:r>
      <w:r w:rsidRPr="00027D24">
        <w:rPr>
          <w:rFonts w:ascii="Trebuchet MS" w:eastAsia="Trebuchet MS" w:hAnsi="Trebuchet MS" w:cs="Trebuchet MS"/>
          <w:i/>
          <w:sz w:val="22"/>
          <w:szCs w:val="22"/>
          <w:highlight w:val="white"/>
        </w:rPr>
        <w:t xml:space="preserve">atori dei Mobile </w:t>
      </w:r>
      <w:proofErr w:type="spellStart"/>
      <w:r w:rsidRPr="00027D24">
        <w:rPr>
          <w:rFonts w:ascii="Trebuchet MS" w:eastAsia="Trebuchet MS" w:hAnsi="Trebuchet MS" w:cs="Trebuchet MS"/>
          <w:i/>
          <w:sz w:val="22"/>
          <w:szCs w:val="22"/>
          <w:highlight w:val="white"/>
        </w:rPr>
        <w:t>Wallet</w:t>
      </w:r>
      <w:proofErr w:type="spellEnd"/>
      <w:r w:rsidRPr="00027D24">
        <w:rPr>
          <w:rFonts w:ascii="Trebuchet MS" w:eastAsia="Trebuchet MS" w:hAnsi="Trebuchet MS" w:cs="Trebuchet MS"/>
          <w:i/>
          <w:sz w:val="22"/>
          <w:szCs w:val="22"/>
          <w:highlight w:val="white"/>
        </w:rPr>
        <w:t xml:space="preserve"> emerge che gli utenti apprezzano l’esperienza</w:t>
      </w:r>
      <w:r w:rsidRPr="00027D24">
        <w:rPr>
          <w:rFonts w:ascii="Trebuchet MS" w:eastAsia="Trebuchet MS" w:hAnsi="Trebuchet MS" w:cs="Trebuchet MS"/>
          <w:i/>
          <w:sz w:val="22"/>
          <w:szCs w:val="22"/>
          <w:highlight w:val="white"/>
        </w:rPr>
        <w:t xml:space="preserve"> </w:t>
      </w:r>
      <w:r w:rsidRPr="00027D24">
        <w:rPr>
          <w:rFonts w:ascii="Trebuchet MS" w:eastAsia="Trebuchet MS" w:hAnsi="Trebuchet MS" w:cs="Trebuchet MS"/>
          <w:i/>
          <w:sz w:val="22"/>
          <w:szCs w:val="22"/>
          <w:highlight w:val="white"/>
        </w:rPr>
        <w:t xml:space="preserve">d’uso” </w:t>
      </w:r>
      <w:r w:rsidRPr="00027D24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commenta </w:t>
      </w:r>
      <w:r w:rsidRPr="00027D24">
        <w:rPr>
          <w:rFonts w:ascii="Trebuchet MS" w:eastAsia="Trebuchet MS" w:hAnsi="Trebuchet MS" w:cs="Trebuchet MS"/>
          <w:b/>
          <w:sz w:val="22"/>
          <w:szCs w:val="22"/>
          <w:highlight w:val="white"/>
        </w:rPr>
        <w:t xml:space="preserve">Cristina Colombo, Client </w:t>
      </w:r>
      <w:proofErr w:type="spellStart"/>
      <w:r w:rsidRPr="00027D24">
        <w:rPr>
          <w:rFonts w:ascii="Trebuchet MS" w:eastAsia="Trebuchet MS" w:hAnsi="Trebuchet MS" w:cs="Trebuchet MS"/>
          <w:b/>
          <w:sz w:val="22"/>
          <w:szCs w:val="22"/>
          <w:highlight w:val="white"/>
        </w:rPr>
        <w:t>Growth</w:t>
      </w:r>
      <w:proofErr w:type="spellEnd"/>
      <w:r w:rsidRPr="00027D24">
        <w:rPr>
          <w:rFonts w:ascii="Trebuchet MS" w:eastAsia="Trebuchet MS" w:hAnsi="Trebuchet MS" w:cs="Trebuchet MS"/>
          <w:b/>
          <w:sz w:val="22"/>
          <w:szCs w:val="22"/>
          <w:highlight w:val="white"/>
        </w:rPr>
        <w:t xml:space="preserve"> </w:t>
      </w:r>
      <w:proofErr w:type="spellStart"/>
      <w:r w:rsidRPr="00027D24">
        <w:rPr>
          <w:rFonts w:ascii="Trebuchet MS" w:eastAsia="Trebuchet MS" w:hAnsi="Trebuchet MS" w:cs="Trebuchet MS"/>
          <w:b/>
          <w:sz w:val="22"/>
          <w:szCs w:val="22"/>
          <w:highlight w:val="white"/>
        </w:rPr>
        <w:t>Officer</w:t>
      </w:r>
      <w:proofErr w:type="spellEnd"/>
      <w:r w:rsidRPr="00027D24">
        <w:rPr>
          <w:rFonts w:ascii="Trebuchet MS" w:eastAsia="Trebuchet MS" w:hAnsi="Trebuchet MS" w:cs="Trebuchet MS"/>
          <w:b/>
          <w:sz w:val="22"/>
          <w:szCs w:val="22"/>
          <w:highlight w:val="white"/>
        </w:rPr>
        <w:t xml:space="preserve"> di KANTAR TNS</w:t>
      </w:r>
      <w:r w:rsidR="00027D24">
        <w:rPr>
          <w:rFonts w:ascii="Trebuchet MS" w:eastAsia="Trebuchet MS" w:hAnsi="Trebuchet MS" w:cs="Trebuchet MS"/>
          <w:i/>
          <w:sz w:val="22"/>
          <w:szCs w:val="22"/>
          <w:highlight w:val="white"/>
        </w:rPr>
        <w:t xml:space="preserve">. </w:t>
      </w:r>
      <w:r w:rsidRPr="00027D24">
        <w:rPr>
          <w:rFonts w:ascii="Trebuchet MS" w:eastAsia="Trebuchet MS" w:hAnsi="Trebuchet MS" w:cs="Trebuchet MS"/>
          <w:i/>
          <w:sz w:val="22"/>
          <w:szCs w:val="22"/>
          <w:highlight w:val="white"/>
        </w:rPr>
        <w:t xml:space="preserve">“Su una scala a 10 passi, i </w:t>
      </w:r>
      <w:proofErr w:type="spellStart"/>
      <w:r w:rsidRPr="00027D24">
        <w:rPr>
          <w:rFonts w:ascii="Trebuchet MS" w:eastAsia="Trebuchet MS" w:hAnsi="Trebuchet MS" w:cs="Trebuchet MS"/>
          <w:i/>
          <w:sz w:val="22"/>
          <w:szCs w:val="22"/>
          <w:highlight w:val="white"/>
        </w:rPr>
        <w:t>wallet</w:t>
      </w:r>
      <w:proofErr w:type="spellEnd"/>
      <w:r w:rsidRPr="00027D24">
        <w:rPr>
          <w:rFonts w:ascii="Trebuchet MS" w:eastAsia="Trebuchet MS" w:hAnsi="Trebuchet MS" w:cs="Trebuchet MS"/>
          <w:i/>
          <w:sz w:val="22"/>
          <w:szCs w:val="22"/>
          <w:highlight w:val="white"/>
        </w:rPr>
        <w:t xml:space="preserve"> analizzati hanno registrato un rating tra 7,3 e 8,5 - </w:t>
      </w:r>
      <w:r w:rsidRPr="00027D24">
        <w:rPr>
          <w:rFonts w:ascii="Trebuchet MS" w:eastAsia="Trebuchet MS" w:hAnsi="Trebuchet MS" w:cs="Trebuchet MS"/>
          <w:i/>
          <w:sz w:val="22"/>
          <w:szCs w:val="22"/>
          <w:highlight w:val="white"/>
        </w:rPr>
        <w:lastRenderedPageBreak/>
        <w:t>teniamo presente che il benchmark europeo di KANTAR TNS per le carte di credito rileva un 7,5. Le fasi più apprezzate del servizio sono l’accesso all’</w:t>
      </w:r>
      <w:proofErr w:type="spellStart"/>
      <w:r w:rsidRPr="00027D24">
        <w:rPr>
          <w:rFonts w:ascii="Trebuchet MS" w:eastAsia="Trebuchet MS" w:hAnsi="Trebuchet MS" w:cs="Trebuchet MS"/>
          <w:i/>
          <w:sz w:val="22"/>
          <w:szCs w:val="22"/>
          <w:highlight w:val="white"/>
        </w:rPr>
        <w:t>app</w:t>
      </w:r>
      <w:proofErr w:type="spellEnd"/>
      <w:r w:rsidRPr="00027D24">
        <w:rPr>
          <w:rFonts w:ascii="Trebuchet MS" w:eastAsia="Trebuchet MS" w:hAnsi="Trebuchet MS" w:cs="Trebuchet MS"/>
          <w:i/>
          <w:sz w:val="22"/>
          <w:szCs w:val="22"/>
          <w:highlight w:val="white"/>
        </w:rPr>
        <w:t xml:space="preserve"> e il pagamen</w:t>
      </w:r>
      <w:r w:rsidRPr="00027D24">
        <w:rPr>
          <w:rFonts w:ascii="Trebuchet MS" w:eastAsia="Trebuchet MS" w:hAnsi="Trebuchet MS" w:cs="Trebuchet MS"/>
          <w:i/>
          <w:sz w:val="22"/>
          <w:szCs w:val="22"/>
          <w:highlight w:val="white"/>
        </w:rPr>
        <w:t>to, mentre le più delicate, e che hanno soddisfatto meno i clienti, sono quelle di consultazione e di attivazione.</w:t>
      </w:r>
      <w:r w:rsidRPr="00027D24">
        <w:rPr>
          <w:rFonts w:ascii="Trebuchet MS" w:eastAsia="Arial" w:hAnsi="Trebuchet MS" w:cs="Arial"/>
          <w:color w:val="222222"/>
          <w:sz w:val="19"/>
          <w:szCs w:val="19"/>
          <w:highlight w:val="white"/>
        </w:rPr>
        <w:t xml:space="preserve"> </w:t>
      </w:r>
      <w:r w:rsidRPr="00027D24">
        <w:rPr>
          <w:rFonts w:ascii="Trebuchet MS" w:eastAsia="Trebuchet MS" w:hAnsi="Trebuchet MS" w:cs="Trebuchet MS"/>
          <w:i/>
          <w:sz w:val="22"/>
          <w:szCs w:val="22"/>
          <w:highlight w:val="white"/>
        </w:rPr>
        <w:t xml:space="preserve">La fonte di conoscenza più importante è ovviamente il sito degli operatori, ma anche rilevante il passaparola e il ruolo dei Social Network, </w:t>
      </w:r>
      <w:r w:rsidRPr="00027D24">
        <w:rPr>
          <w:rFonts w:ascii="Trebuchet MS" w:eastAsia="Trebuchet MS" w:hAnsi="Trebuchet MS" w:cs="Trebuchet MS"/>
          <w:i/>
          <w:sz w:val="22"/>
          <w:szCs w:val="22"/>
          <w:highlight w:val="white"/>
        </w:rPr>
        <w:t xml:space="preserve">soprattutto fra gli utenti più giovani (18-24 anni). Si prefigura la trasformazione del Mobile </w:t>
      </w:r>
      <w:proofErr w:type="spellStart"/>
      <w:r w:rsidRPr="00027D24">
        <w:rPr>
          <w:rFonts w:ascii="Trebuchet MS" w:eastAsia="Trebuchet MS" w:hAnsi="Trebuchet MS" w:cs="Trebuchet MS"/>
          <w:i/>
          <w:sz w:val="22"/>
          <w:szCs w:val="22"/>
          <w:highlight w:val="white"/>
        </w:rPr>
        <w:t>Payment</w:t>
      </w:r>
      <w:proofErr w:type="spellEnd"/>
      <w:r w:rsidRPr="00027D24">
        <w:rPr>
          <w:rFonts w:ascii="Trebuchet MS" w:eastAsia="Trebuchet MS" w:hAnsi="Trebuchet MS" w:cs="Trebuchet MS"/>
          <w:i/>
          <w:sz w:val="22"/>
          <w:szCs w:val="22"/>
          <w:highlight w:val="white"/>
        </w:rPr>
        <w:t xml:space="preserve"> da strumento di pagamento ad aggregatore di valore, “</w:t>
      </w:r>
      <w:proofErr w:type="spellStart"/>
      <w:r w:rsidRPr="00027D24">
        <w:rPr>
          <w:rFonts w:ascii="Trebuchet MS" w:eastAsia="Trebuchet MS" w:hAnsi="Trebuchet MS" w:cs="Trebuchet MS"/>
          <w:i/>
          <w:sz w:val="22"/>
          <w:szCs w:val="22"/>
          <w:highlight w:val="white"/>
        </w:rPr>
        <w:t>advice</w:t>
      </w:r>
      <w:proofErr w:type="spellEnd"/>
      <w:r w:rsidRPr="00027D24">
        <w:rPr>
          <w:rFonts w:ascii="Trebuchet MS" w:eastAsia="Trebuchet MS" w:hAnsi="Trebuchet MS" w:cs="Trebuchet MS"/>
          <w:i/>
          <w:sz w:val="22"/>
          <w:szCs w:val="22"/>
          <w:highlight w:val="white"/>
        </w:rPr>
        <w:t xml:space="preserve"> provider” e facilitatore: a livello comunicazionale è quindi opportuno far leva sui principal</w:t>
      </w:r>
      <w:r w:rsidRPr="00027D24">
        <w:rPr>
          <w:rFonts w:ascii="Trebuchet MS" w:eastAsia="Trebuchet MS" w:hAnsi="Trebuchet MS" w:cs="Trebuchet MS"/>
          <w:i/>
          <w:sz w:val="22"/>
          <w:szCs w:val="22"/>
          <w:highlight w:val="white"/>
        </w:rPr>
        <w:t>i benefit differenziali, in quanto dotati di un più alto potere motivante. E’ questa l’area su cui gli operatori hanno opportunità di sviluppo, mentre nell’area della sicurezza e semplicità d’uso gli sforzi effettuati iniziano a dare risultati in miglioram</w:t>
      </w:r>
      <w:r w:rsidRPr="00027D24">
        <w:rPr>
          <w:rFonts w:ascii="Trebuchet MS" w:eastAsia="Trebuchet MS" w:hAnsi="Trebuchet MS" w:cs="Trebuchet MS"/>
          <w:i/>
          <w:sz w:val="22"/>
          <w:szCs w:val="22"/>
          <w:highlight w:val="white"/>
        </w:rPr>
        <w:t>ento.</w:t>
      </w:r>
    </w:p>
    <w:p w:rsidR="00AC5462" w:rsidRPr="00027D24" w:rsidRDefault="00AC5462" w:rsidP="00027D24">
      <w:pPr>
        <w:pStyle w:val="normal"/>
        <w:spacing w:line="280" w:lineRule="exact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AC5462" w:rsidRPr="00027D24" w:rsidRDefault="001214C2" w:rsidP="00027D24">
      <w:pPr>
        <w:pStyle w:val="normal"/>
        <w:widowControl/>
        <w:spacing w:line="280" w:lineRule="exact"/>
        <w:jc w:val="both"/>
        <w:rPr>
          <w:rFonts w:ascii="Trebuchet MS" w:eastAsia="Trebuchet MS" w:hAnsi="Trebuchet MS" w:cs="Trebuchet MS"/>
          <w:b/>
          <w:i/>
          <w:sz w:val="22"/>
          <w:szCs w:val="22"/>
        </w:rPr>
      </w:pPr>
      <w:r w:rsidRPr="00027D24">
        <w:rPr>
          <w:rFonts w:ascii="Trebuchet MS" w:eastAsia="Trebuchet MS" w:hAnsi="Trebuchet MS" w:cs="Trebuchet MS"/>
          <w:b/>
          <w:i/>
          <w:sz w:val="22"/>
          <w:szCs w:val="22"/>
        </w:rPr>
        <w:t>I prossimi passi</w:t>
      </w:r>
    </w:p>
    <w:p w:rsidR="00AC5462" w:rsidRPr="00027D24" w:rsidRDefault="001214C2" w:rsidP="00027D24">
      <w:pPr>
        <w:pStyle w:val="normal"/>
        <w:spacing w:line="280" w:lineRule="exact"/>
        <w:jc w:val="both"/>
        <w:rPr>
          <w:rFonts w:ascii="Trebuchet MS" w:eastAsia="EB Garamond" w:hAnsi="Trebuchet MS" w:cs="EB Garamond"/>
          <w:color w:val="58595B"/>
          <w:sz w:val="22"/>
          <w:szCs w:val="22"/>
        </w:rPr>
      </w:pPr>
      <w:r w:rsidRPr="00027D24">
        <w:rPr>
          <w:rFonts w:ascii="Trebuchet MS" w:eastAsia="Trebuchet MS" w:hAnsi="Trebuchet MS" w:cs="Trebuchet MS"/>
          <w:sz w:val="22"/>
          <w:szCs w:val="22"/>
        </w:rPr>
        <w:t xml:space="preserve">I pagamenti, non solo da Mobile, stanno vivendo un periodo di profonda trasformazione portata dalle innovazioni digitali in cui lo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smartphone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può diventare strumento abilitante. Tutti gli attori in gioco dovranno guardare con forte </w:t>
      </w:r>
      <w:r w:rsidRPr="00027D24">
        <w:rPr>
          <w:rFonts w:ascii="Trebuchet MS" w:eastAsia="Trebuchet MS" w:hAnsi="Trebuchet MS" w:cs="Trebuchet MS"/>
          <w:sz w:val="22"/>
          <w:szCs w:val="22"/>
        </w:rPr>
        <w:t>attenzione alle future evoluzioni.</w:t>
      </w:r>
    </w:p>
    <w:p w:rsidR="00AC5462" w:rsidRPr="00027D24" w:rsidRDefault="00AC5462" w:rsidP="00027D24">
      <w:pPr>
        <w:pStyle w:val="normal"/>
        <w:spacing w:line="280" w:lineRule="exact"/>
        <w:jc w:val="both"/>
        <w:rPr>
          <w:rFonts w:ascii="Trebuchet MS" w:eastAsia="EB Garamond" w:hAnsi="Trebuchet MS" w:cs="EB Garamond"/>
          <w:color w:val="58595B"/>
          <w:sz w:val="22"/>
          <w:szCs w:val="22"/>
        </w:rPr>
      </w:pPr>
    </w:p>
    <w:p w:rsidR="00AC5462" w:rsidRPr="00027D24" w:rsidRDefault="001214C2" w:rsidP="00027D24">
      <w:pPr>
        <w:pStyle w:val="normal"/>
        <w:spacing w:line="280" w:lineRule="exact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27D24">
        <w:rPr>
          <w:rFonts w:ascii="Trebuchet MS" w:eastAsia="Trebuchet MS" w:hAnsi="Trebuchet MS" w:cs="Trebuchet MS"/>
          <w:sz w:val="22"/>
          <w:szCs w:val="22"/>
        </w:rPr>
        <w:t xml:space="preserve">L'analisi di 378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startup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a livello mondiale, 50 in più rispetto allo scorso anno, e lo studio del contesto internazionale permettono di individuare le principali direzioni di innovazione che potranno rivoluzionare i paga</w:t>
      </w:r>
      <w:r w:rsidRPr="00027D24">
        <w:rPr>
          <w:rFonts w:ascii="Trebuchet MS" w:eastAsia="Trebuchet MS" w:hAnsi="Trebuchet MS" w:cs="Trebuchet MS"/>
          <w:sz w:val="22"/>
          <w:szCs w:val="22"/>
        </w:rPr>
        <w:t xml:space="preserve">menti nei prossimi anni e con le quali il Mobile </w:t>
      </w:r>
      <w:proofErr w:type="spellStart"/>
      <w:r w:rsidRPr="00027D24">
        <w:rPr>
          <w:rFonts w:ascii="Trebuchet MS" w:eastAsia="Trebuchet MS" w:hAnsi="Trebuchet MS" w:cs="Trebuchet MS"/>
          <w:sz w:val="22"/>
          <w:szCs w:val="22"/>
        </w:rPr>
        <w:t>Payment</w:t>
      </w:r>
      <w:proofErr w:type="spellEnd"/>
      <w:r w:rsidRPr="00027D24">
        <w:rPr>
          <w:rFonts w:ascii="Trebuchet MS" w:eastAsia="Trebuchet MS" w:hAnsi="Trebuchet MS" w:cs="Trebuchet MS"/>
          <w:sz w:val="22"/>
          <w:szCs w:val="22"/>
        </w:rPr>
        <w:t xml:space="preserve"> si dovrà confrontare. </w:t>
      </w:r>
    </w:p>
    <w:p w:rsidR="00AC5462" w:rsidRPr="00027D24" w:rsidRDefault="001214C2" w:rsidP="00027D24">
      <w:pPr>
        <w:pStyle w:val="normal"/>
        <w:spacing w:line="280" w:lineRule="exact"/>
        <w:jc w:val="both"/>
        <w:rPr>
          <w:rFonts w:ascii="Trebuchet MS" w:eastAsia="EB Garamond" w:hAnsi="Trebuchet MS" w:cs="EB Garamond"/>
          <w:color w:val="58595B"/>
          <w:sz w:val="22"/>
          <w:szCs w:val="22"/>
        </w:rPr>
      </w:pPr>
      <w:r w:rsidRPr="00027D24">
        <w:rPr>
          <w:rFonts w:ascii="Trebuchet MS" w:eastAsia="Trebuchet MS" w:hAnsi="Trebuchet MS" w:cs="Trebuchet MS"/>
          <w:i/>
          <w:sz w:val="22"/>
          <w:szCs w:val="22"/>
        </w:rPr>
        <w:t>“L'oggetto di conquista principale all’orizzonte sono i pagamenti in negozio, nel mondo ‘fisico’ - i più frequenti tra i consumatori, per lo più gestiti in contante o tramite c</w:t>
      </w:r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arte di pagamento” </w:t>
      </w:r>
      <w:r w:rsidRPr="00027D24">
        <w:rPr>
          <w:rFonts w:ascii="Trebuchet MS" w:eastAsia="Trebuchet MS" w:hAnsi="Trebuchet MS" w:cs="Trebuchet MS"/>
          <w:sz w:val="22"/>
          <w:szCs w:val="22"/>
        </w:rPr>
        <w:t xml:space="preserve">afferma </w:t>
      </w:r>
      <w:r w:rsidRPr="00027D24">
        <w:rPr>
          <w:rFonts w:ascii="Trebuchet MS" w:eastAsia="Trebuchet MS" w:hAnsi="Trebuchet MS" w:cs="Trebuchet MS"/>
          <w:b/>
          <w:sz w:val="22"/>
          <w:szCs w:val="22"/>
        </w:rPr>
        <w:t xml:space="preserve">Ivano </w:t>
      </w:r>
      <w:proofErr w:type="spellStart"/>
      <w:r w:rsidRPr="00027D24">
        <w:rPr>
          <w:rFonts w:ascii="Trebuchet MS" w:eastAsia="Trebuchet MS" w:hAnsi="Trebuchet MS" w:cs="Trebuchet MS"/>
          <w:b/>
          <w:sz w:val="22"/>
          <w:szCs w:val="22"/>
        </w:rPr>
        <w:t>Asaro</w:t>
      </w:r>
      <w:proofErr w:type="spellEnd"/>
      <w:r w:rsidRPr="00027D24">
        <w:rPr>
          <w:rFonts w:ascii="Trebuchet MS" w:eastAsia="Trebuchet MS" w:hAnsi="Trebuchet MS" w:cs="Trebuchet MS"/>
          <w:b/>
          <w:sz w:val="22"/>
          <w:szCs w:val="22"/>
        </w:rPr>
        <w:t xml:space="preserve">, Ricercatore dell’Osservatorio Mobile </w:t>
      </w:r>
      <w:proofErr w:type="spellStart"/>
      <w:r w:rsidRPr="00027D24">
        <w:rPr>
          <w:rFonts w:ascii="Trebuchet MS" w:eastAsia="Trebuchet MS" w:hAnsi="Trebuchet MS" w:cs="Trebuchet MS"/>
          <w:b/>
          <w:sz w:val="22"/>
          <w:szCs w:val="22"/>
        </w:rPr>
        <w:t>Payment</w:t>
      </w:r>
      <w:proofErr w:type="spellEnd"/>
      <w:r w:rsidRPr="00027D24">
        <w:rPr>
          <w:rFonts w:ascii="Trebuchet MS" w:eastAsia="Trebuchet MS" w:hAnsi="Trebuchet MS" w:cs="Trebuchet MS"/>
          <w:b/>
          <w:sz w:val="22"/>
          <w:szCs w:val="22"/>
        </w:rPr>
        <w:t xml:space="preserve"> &amp; </w:t>
      </w:r>
      <w:proofErr w:type="spellStart"/>
      <w:r w:rsidRPr="00027D24">
        <w:rPr>
          <w:rFonts w:ascii="Trebuchet MS" w:eastAsia="Trebuchet MS" w:hAnsi="Trebuchet MS" w:cs="Trebuchet MS"/>
          <w:b/>
          <w:sz w:val="22"/>
          <w:szCs w:val="22"/>
        </w:rPr>
        <w:t>Commerce</w:t>
      </w:r>
      <w:proofErr w:type="spellEnd"/>
      <w:r w:rsidRPr="00027D24">
        <w:rPr>
          <w:rFonts w:ascii="Trebuchet MS" w:eastAsia="Trebuchet MS" w:hAnsi="Trebuchet MS" w:cs="Trebuchet MS"/>
          <w:b/>
          <w:sz w:val="22"/>
          <w:szCs w:val="22"/>
        </w:rPr>
        <w:t>.</w:t>
      </w:r>
      <w:r w:rsidRPr="00027D24">
        <w:rPr>
          <w:rFonts w:ascii="Trebuchet MS" w:eastAsia="Trebuchet MS" w:hAnsi="Trebuchet MS" w:cs="Trebuchet MS"/>
          <w:sz w:val="22"/>
          <w:szCs w:val="22"/>
        </w:rPr>
        <w:t xml:space="preserve"> "</w:t>
      </w:r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Sono molteplici le direttrici di innovazione in ambito pagamenti: </w:t>
      </w:r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dal Mobile </w:t>
      </w:r>
      <w:proofErr w:type="spellStart"/>
      <w:r w:rsidRPr="00027D24">
        <w:rPr>
          <w:rFonts w:ascii="Trebuchet MS" w:eastAsia="Trebuchet MS" w:hAnsi="Trebuchet MS" w:cs="Trebuchet MS"/>
          <w:i/>
          <w:sz w:val="22"/>
          <w:szCs w:val="22"/>
        </w:rPr>
        <w:t>Wallet</w:t>
      </w:r>
      <w:proofErr w:type="spellEnd"/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 evoluto che integra pagamento digitale e carte fedeltà, alla </w:t>
      </w:r>
      <w:proofErr w:type="spellStart"/>
      <w:r w:rsidRPr="00027D24">
        <w:rPr>
          <w:rFonts w:ascii="Trebuchet MS" w:eastAsia="Trebuchet MS" w:hAnsi="Trebuchet MS" w:cs="Trebuchet MS"/>
          <w:i/>
          <w:sz w:val="22"/>
          <w:szCs w:val="22"/>
        </w:rPr>
        <w:t>geo-localizza</w:t>
      </w:r>
      <w:r w:rsidRPr="00027D24">
        <w:rPr>
          <w:rFonts w:ascii="Trebuchet MS" w:eastAsia="Trebuchet MS" w:hAnsi="Trebuchet MS" w:cs="Trebuchet MS"/>
          <w:i/>
          <w:sz w:val="22"/>
          <w:szCs w:val="22"/>
        </w:rPr>
        <w:t>zione</w:t>
      </w:r>
      <w:proofErr w:type="spellEnd"/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 per pagare senza estrarre il telefono</w:t>
      </w:r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 dalla tasca; dai pagamenti con password biometriche (scansione dell’iride o dell’impronta digitale) all’evoluzione delle nuove monete virtuali (</w:t>
      </w:r>
      <w:proofErr w:type="spellStart"/>
      <w:r w:rsidRPr="00027D24">
        <w:rPr>
          <w:rFonts w:ascii="Trebuchet MS" w:eastAsia="Trebuchet MS" w:hAnsi="Trebuchet MS" w:cs="Trebuchet MS"/>
          <w:i/>
          <w:sz w:val="22"/>
          <w:szCs w:val="22"/>
        </w:rPr>
        <w:t>blockchain</w:t>
      </w:r>
      <w:proofErr w:type="spellEnd"/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 e </w:t>
      </w:r>
      <w:proofErr w:type="spellStart"/>
      <w:r w:rsidRPr="00027D24">
        <w:rPr>
          <w:rFonts w:ascii="Trebuchet MS" w:eastAsia="Trebuchet MS" w:hAnsi="Trebuchet MS" w:cs="Trebuchet MS"/>
          <w:i/>
          <w:sz w:val="22"/>
          <w:szCs w:val="22"/>
        </w:rPr>
        <w:t>criptovalute</w:t>
      </w:r>
      <w:proofErr w:type="spellEnd"/>
      <w:r w:rsidRPr="00027D24">
        <w:rPr>
          <w:rFonts w:ascii="Trebuchet MS" w:eastAsia="Trebuchet MS" w:hAnsi="Trebuchet MS" w:cs="Trebuchet MS"/>
          <w:i/>
          <w:sz w:val="22"/>
          <w:szCs w:val="22"/>
        </w:rPr>
        <w:t>); senza dimenticare le applicazioni legate</w:t>
      </w:r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 all’Internet </w:t>
      </w:r>
      <w:proofErr w:type="spellStart"/>
      <w:r w:rsidRPr="00027D24">
        <w:rPr>
          <w:rFonts w:ascii="Trebuchet MS" w:eastAsia="Trebuchet MS" w:hAnsi="Trebuchet MS" w:cs="Trebuchet MS"/>
          <w:i/>
          <w:sz w:val="22"/>
          <w:szCs w:val="22"/>
        </w:rPr>
        <w:t>of</w:t>
      </w:r>
      <w:proofErr w:type="spellEnd"/>
      <w:r w:rsidRPr="00027D24">
        <w:rPr>
          <w:rFonts w:ascii="Trebuchet MS" w:eastAsia="Trebuchet MS" w:hAnsi="Trebuchet MS" w:cs="Trebuchet MS"/>
          <w:i/>
          <w:sz w:val="22"/>
          <w:szCs w:val="22"/>
        </w:rPr>
        <w:t xml:space="preserve"> </w:t>
      </w:r>
      <w:proofErr w:type="spellStart"/>
      <w:r w:rsidRPr="00027D24">
        <w:rPr>
          <w:rFonts w:ascii="Trebuchet MS" w:eastAsia="Trebuchet MS" w:hAnsi="Trebuchet MS" w:cs="Trebuchet MS"/>
          <w:i/>
          <w:sz w:val="22"/>
          <w:szCs w:val="22"/>
        </w:rPr>
        <w:t>Things</w:t>
      </w:r>
      <w:proofErr w:type="spellEnd"/>
      <w:r w:rsidRPr="00027D24">
        <w:rPr>
          <w:rFonts w:ascii="Trebuchet MS" w:eastAsia="Trebuchet MS" w:hAnsi="Trebuchet MS" w:cs="Trebuchet MS"/>
          <w:i/>
          <w:sz w:val="22"/>
          <w:szCs w:val="22"/>
        </w:rPr>
        <w:t>, con automobili in grado di pagare il parcheggio e frigoriferi “</w:t>
      </w:r>
      <w:proofErr w:type="spellStart"/>
      <w:r w:rsidRPr="00027D24">
        <w:rPr>
          <w:rFonts w:ascii="Trebuchet MS" w:eastAsia="Trebuchet MS" w:hAnsi="Trebuchet MS" w:cs="Trebuchet MS"/>
          <w:i/>
          <w:sz w:val="22"/>
          <w:szCs w:val="22"/>
        </w:rPr>
        <w:t>smart</w:t>
      </w:r>
      <w:proofErr w:type="spellEnd"/>
      <w:r w:rsidRPr="00027D24">
        <w:rPr>
          <w:rFonts w:ascii="Trebuchet MS" w:eastAsia="Trebuchet MS" w:hAnsi="Trebuchet MS" w:cs="Trebuchet MS"/>
          <w:i/>
          <w:sz w:val="22"/>
          <w:szCs w:val="22"/>
        </w:rPr>
        <w:t>” capaci di valutare automaticamente le scorte</w:t>
      </w:r>
      <w:r w:rsidRPr="00027D24">
        <w:rPr>
          <w:rFonts w:ascii="Trebuchet MS" w:eastAsia="Trebuchet MS" w:hAnsi="Trebuchet MS" w:cs="Trebuchet MS"/>
          <w:sz w:val="22"/>
          <w:szCs w:val="22"/>
        </w:rPr>
        <w:t>."</w:t>
      </w:r>
    </w:p>
    <w:p w:rsidR="00AC5462" w:rsidRDefault="00AC5462">
      <w:pPr>
        <w:pStyle w:val="normal"/>
        <w:spacing w:line="280" w:lineRule="auto"/>
        <w:jc w:val="both"/>
        <w:rPr>
          <w:rFonts w:ascii="EB Garamond" w:eastAsia="EB Garamond" w:hAnsi="EB Garamond" w:cs="EB Garamond"/>
          <w:color w:val="58595B"/>
          <w:sz w:val="22"/>
          <w:szCs w:val="22"/>
        </w:rPr>
      </w:pPr>
    </w:p>
    <w:p w:rsidR="00AC5462" w:rsidRDefault="00AC5462">
      <w:pPr>
        <w:pStyle w:val="normal"/>
        <w:widowControl/>
        <w:spacing w:line="280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AC5462" w:rsidRDefault="001214C2" w:rsidP="00027D24">
      <w:pPr>
        <w:pStyle w:val="normal"/>
        <w:spacing w:line="280" w:lineRule="exact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* L'edizione 2017 dell'Osservatorio Mobile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Payment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&amp;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Commerce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dell'Osservatorio Mobile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Payment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&amp;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Commerce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è realizzata con il supporto di Banca Mediolanum,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CartaSi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, HYPE,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Ingenico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, Intesa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Sanpaolo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, KANTAR TNS,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Mercury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Payment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Services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Pay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Reply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PosteMobile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, SIA; Banca di Asti - Gruppo Cassa di Risparmio di Asti, Banca Cambiano 1884, Banca Popolare </w:t>
      </w:r>
      <w:r>
        <w:rPr>
          <w:rFonts w:ascii="Trebuchet MS" w:eastAsia="Trebuchet MS" w:hAnsi="Trebuchet MS" w:cs="Trebuchet MS"/>
          <w:sz w:val="20"/>
          <w:szCs w:val="20"/>
        </w:rPr>
        <w:t xml:space="preserve">di Sondrio,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Bassilichi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, BNL - Gruppo BNP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Paribas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, Banco BPM, Cassa Centrale Banca,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Cedacri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CheBanca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!, Consorzio Bancomat, Banca di Sassari - Gruppo BPER,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Edenred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, GS1 Italy, ING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Direct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Konvergence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, Lottomatica, Olivetti, PAX, Samsung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Electronics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Italia, </w:t>
      </w:r>
      <w:r>
        <w:rPr>
          <w:rFonts w:ascii="Trebuchet MS" w:eastAsia="Trebuchet MS" w:hAnsi="Trebuchet MS" w:cs="Trebuchet MS"/>
          <w:sz w:val="20"/>
          <w:szCs w:val="20"/>
        </w:rPr>
        <w:t xml:space="preserve">Sinergia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Iccrea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SisalPay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Smarticket.it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, UBI Banca, Vodafone Italia, Wind Tre</w:t>
      </w:r>
      <w:r w:rsidR="00027D24">
        <w:rPr>
          <w:rFonts w:ascii="Trebuchet MS" w:eastAsia="Trebuchet MS" w:hAnsi="Trebuchet MS" w:cs="Trebuchet MS"/>
          <w:sz w:val="20"/>
          <w:szCs w:val="20"/>
        </w:rPr>
        <w:t>.</w:t>
      </w:r>
    </w:p>
    <w:p w:rsidR="00027D24" w:rsidRDefault="00027D24">
      <w:pPr>
        <w:pStyle w:val="normal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027D24" w:rsidRDefault="00027D24" w:rsidP="00027D24">
      <w:pPr>
        <w:pStyle w:val="normal"/>
        <w:widowControl/>
        <w:jc w:val="center"/>
      </w:pPr>
      <w:r>
        <w:rPr>
          <w:rFonts w:ascii="Trebuchet MS" w:eastAsia="Trebuchet MS" w:hAnsi="Trebuchet MS" w:cs="Trebuchet MS"/>
          <w:sz w:val="20"/>
          <w:szCs w:val="20"/>
        </w:rPr>
        <w:t>***</w:t>
      </w:r>
    </w:p>
    <w:tbl>
      <w:tblPr>
        <w:tblStyle w:val="a"/>
        <w:tblW w:w="10065" w:type="dxa"/>
        <w:tblInd w:w="0" w:type="dxa"/>
        <w:tblLayout w:type="fixed"/>
        <w:tblLook w:val="0000"/>
      </w:tblPr>
      <w:tblGrid>
        <w:gridCol w:w="4932"/>
        <w:gridCol w:w="5133"/>
      </w:tblGrid>
      <w:tr w:rsidR="00027D24" w:rsidTr="00344B54">
        <w:trPr>
          <w:cnfStyle w:val="000000100000"/>
        </w:trPr>
        <w:tc>
          <w:tcPr>
            <w:cnfStyle w:val="000010000000"/>
            <w:tcW w:w="4932" w:type="dxa"/>
            <w:shd w:val="clear" w:color="auto" w:fill="FFFFFF"/>
          </w:tcPr>
          <w:p w:rsidR="00027D24" w:rsidRDefault="00027D24" w:rsidP="00344B54">
            <w:pPr>
              <w:pStyle w:val="normal"/>
              <w:spacing w:line="280" w:lineRule="auto"/>
              <w:contextualSpacing w:val="0"/>
            </w:pPr>
          </w:p>
          <w:p w:rsidR="00027D24" w:rsidRDefault="00027D24" w:rsidP="00027D24">
            <w:pPr>
              <w:pStyle w:val="normal"/>
              <w:spacing w:line="280" w:lineRule="exact"/>
              <w:contextualSpacing w:val="0"/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Ufficio stampa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School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of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Management del Politecnico di Milano</w:t>
            </w:r>
          </w:p>
          <w:p w:rsidR="00027D24" w:rsidRDefault="00027D24" w:rsidP="00027D24">
            <w:pPr>
              <w:pStyle w:val="normal"/>
              <w:spacing w:line="280" w:lineRule="exact"/>
              <w:contextualSpacing w:val="0"/>
            </w:pPr>
            <w:r>
              <w:rPr>
                <w:rFonts w:ascii="Trebuchet MS" w:eastAsia="Trebuchet MS" w:hAnsi="Trebuchet MS" w:cs="Trebuchet MS"/>
                <w:color w:val="002D56"/>
                <w:sz w:val="20"/>
                <w:szCs w:val="20"/>
              </w:rPr>
              <w:t xml:space="preserve">Barbara </w:t>
            </w:r>
            <w:proofErr w:type="spellStart"/>
            <w:r>
              <w:rPr>
                <w:rFonts w:ascii="Trebuchet MS" w:eastAsia="Trebuchet MS" w:hAnsi="Trebuchet MS" w:cs="Trebuchet MS"/>
                <w:color w:val="002D56"/>
                <w:sz w:val="20"/>
                <w:szCs w:val="20"/>
              </w:rPr>
              <w:t>Balabio</w:t>
            </w:r>
            <w:proofErr w:type="spellEnd"/>
          </w:p>
          <w:p w:rsidR="00027D24" w:rsidRDefault="00027D24" w:rsidP="00027D24">
            <w:pPr>
              <w:pStyle w:val="normal"/>
              <w:spacing w:line="280" w:lineRule="exact"/>
              <w:contextualSpacing w:val="0"/>
            </w:pPr>
            <w:r>
              <w:rPr>
                <w:rFonts w:ascii="Trebuchet MS" w:eastAsia="Trebuchet MS" w:hAnsi="Trebuchet MS" w:cs="Trebuchet MS"/>
                <w:color w:val="002D56"/>
                <w:sz w:val="20"/>
                <w:szCs w:val="20"/>
              </w:rPr>
              <w:t>Tel.: 02 2399 9578</w:t>
            </w:r>
          </w:p>
          <w:p w:rsidR="00027D24" w:rsidRDefault="00027D24" w:rsidP="00027D24">
            <w:pPr>
              <w:pStyle w:val="normal"/>
              <w:spacing w:line="280" w:lineRule="exact"/>
              <w:ind w:left="115" w:hanging="115"/>
              <w:contextualSpacing w:val="0"/>
            </w:pPr>
            <w:proofErr w:type="spellStart"/>
            <w:r>
              <w:rPr>
                <w:rFonts w:ascii="Trebuchet MS" w:eastAsia="Trebuchet MS" w:hAnsi="Trebuchet MS" w:cs="Trebuchet MS"/>
                <w:color w:val="002D56"/>
                <w:sz w:val="20"/>
                <w:szCs w:val="20"/>
              </w:rPr>
              <w:t>email</w:t>
            </w:r>
            <w:proofErr w:type="spellEnd"/>
            <w:r>
              <w:rPr>
                <w:rFonts w:ascii="Trebuchet MS" w:eastAsia="Trebuchet MS" w:hAnsi="Trebuchet MS" w:cs="Trebuchet MS"/>
                <w:color w:val="002D56"/>
                <w:sz w:val="20"/>
                <w:szCs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0000FF"/>
                <w:sz w:val="20"/>
                <w:szCs w:val="20"/>
                <w:u w:val="single"/>
              </w:rPr>
              <w:t>barbara.balabio@osservatori.net</w:t>
            </w:r>
            <w:r>
              <w:rPr>
                <w:rFonts w:ascii="Trebuchet MS" w:eastAsia="Trebuchet MS" w:hAnsi="Trebuchet MS" w:cs="Trebuchet MS"/>
                <w:color w:val="002D56"/>
                <w:sz w:val="20"/>
                <w:szCs w:val="20"/>
              </w:rPr>
              <w:t xml:space="preserve"> </w:t>
            </w:r>
          </w:p>
          <w:p w:rsidR="00027D24" w:rsidRPr="00B24D57" w:rsidRDefault="00027D24" w:rsidP="00027D24">
            <w:pPr>
              <w:pStyle w:val="normal"/>
              <w:keepNext/>
              <w:keepLines/>
              <w:spacing w:line="280" w:lineRule="exact"/>
              <w:contextualSpacing w:val="0"/>
              <w:jc w:val="both"/>
              <w:rPr>
                <w:lang w:val="en-US"/>
              </w:rPr>
            </w:pPr>
            <w:r w:rsidRPr="00B24D57">
              <w:rPr>
                <w:rFonts w:ascii="Trebuchet MS" w:eastAsia="Trebuchet MS" w:hAnsi="Trebuchet MS" w:cs="Trebuchet MS"/>
                <w:color w:val="002D56"/>
                <w:sz w:val="20"/>
                <w:szCs w:val="20"/>
                <w:lang w:val="en-US"/>
              </w:rPr>
              <w:t xml:space="preserve">Skype </w:t>
            </w:r>
            <w:proofErr w:type="spellStart"/>
            <w:r w:rsidRPr="00B24D57">
              <w:rPr>
                <w:rFonts w:ascii="Trebuchet MS" w:eastAsia="Trebuchet MS" w:hAnsi="Trebuchet MS" w:cs="Trebuchet MS"/>
                <w:color w:val="002D56"/>
                <w:sz w:val="20"/>
                <w:szCs w:val="20"/>
                <w:lang w:val="en-US"/>
              </w:rPr>
              <w:t>barbara.balabio</w:t>
            </w:r>
            <w:proofErr w:type="spellEnd"/>
          </w:p>
          <w:p w:rsidR="00027D24" w:rsidRPr="00B24D57" w:rsidRDefault="00027D24" w:rsidP="00027D24">
            <w:pPr>
              <w:pStyle w:val="normal"/>
              <w:keepNext/>
              <w:keepLines/>
              <w:spacing w:line="280" w:lineRule="exact"/>
              <w:contextualSpacing w:val="0"/>
              <w:jc w:val="both"/>
              <w:rPr>
                <w:lang w:val="en-US"/>
              </w:rPr>
            </w:pPr>
            <w:hyperlink r:id="rId9">
              <w:r w:rsidRPr="00B24D57">
                <w:rPr>
                  <w:rFonts w:ascii="Trebuchet MS" w:eastAsia="Trebuchet MS" w:hAnsi="Trebuchet MS" w:cs="Trebuchet MS"/>
                  <w:color w:val="0000FF"/>
                  <w:sz w:val="20"/>
                  <w:szCs w:val="20"/>
                  <w:u w:val="single"/>
                  <w:lang w:val="en-US"/>
                </w:rPr>
                <w:t>www.osservatori.net</w:t>
              </w:r>
            </w:hyperlink>
            <w:r w:rsidRPr="00B24D57">
              <w:rPr>
                <w:rFonts w:ascii="Trebuchet MS" w:eastAsia="Trebuchet MS" w:hAnsi="Trebuchet MS" w:cs="Trebuchet MS"/>
                <w:sz w:val="20"/>
                <w:szCs w:val="20"/>
                <w:lang w:val="en-US"/>
              </w:rPr>
              <w:t xml:space="preserve"> </w:t>
            </w:r>
          </w:p>
          <w:p w:rsidR="00027D24" w:rsidRPr="00B24D57" w:rsidRDefault="00027D24" w:rsidP="00344B54">
            <w:pPr>
              <w:pStyle w:val="normal"/>
              <w:contextualSpacing w:val="0"/>
              <w:jc w:val="both"/>
              <w:rPr>
                <w:lang w:val="en-US"/>
              </w:rPr>
            </w:pPr>
          </w:p>
          <w:p w:rsidR="00027D24" w:rsidRPr="00B24D57" w:rsidRDefault="00027D24" w:rsidP="00344B54">
            <w:pPr>
              <w:pStyle w:val="normal"/>
              <w:contextualSpacing w:val="0"/>
              <w:jc w:val="both"/>
              <w:rPr>
                <w:lang w:val="en-US"/>
              </w:rPr>
            </w:pPr>
          </w:p>
        </w:tc>
        <w:tc>
          <w:tcPr>
            <w:cnfStyle w:val="000001000000"/>
            <w:tcW w:w="5133" w:type="dxa"/>
            <w:shd w:val="clear" w:color="auto" w:fill="FFFFFF"/>
          </w:tcPr>
          <w:p w:rsidR="00027D24" w:rsidRPr="00B24D57" w:rsidRDefault="00027D24" w:rsidP="00344B54">
            <w:pPr>
              <w:pStyle w:val="normal"/>
              <w:keepNext/>
              <w:keepLines/>
              <w:spacing w:before="200"/>
              <w:contextualSpacing w:val="0"/>
              <w:rPr>
                <w:lang w:val="en-US"/>
              </w:rPr>
            </w:pPr>
            <w:r w:rsidRPr="00B24D57">
              <w:rPr>
                <w:rFonts w:ascii="Trebuchet MS" w:eastAsia="Trebuchet MS" w:hAnsi="Trebuchet MS" w:cs="Trebuchet MS"/>
                <w:b/>
                <w:color w:val="FF0000"/>
                <w:sz w:val="20"/>
                <w:szCs w:val="20"/>
                <w:lang w:val="en-US"/>
              </w:rPr>
              <w:t xml:space="preserve">  </w:t>
            </w:r>
          </w:p>
          <w:p w:rsidR="00027D24" w:rsidRDefault="00027D24" w:rsidP="00344B54">
            <w:pPr>
              <w:pStyle w:val="normal"/>
              <w:spacing w:line="280" w:lineRule="auto"/>
              <w:contextualSpacing w:val="0"/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Ufficio stampa Osservatori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Digital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Innovation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del Politecnico di Milano</w:t>
            </w:r>
          </w:p>
          <w:p w:rsidR="00027D24" w:rsidRDefault="00027D24" w:rsidP="00344B54">
            <w:pPr>
              <w:pStyle w:val="normal"/>
              <w:spacing w:line="280" w:lineRule="auto"/>
              <w:contextualSpacing w:val="0"/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Mirandola Comunicazione</w:t>
            </w:r>
          </w:p>
          <w:p w:rsidR="00027D24" w:rsidRDefault="00027D24" w:rsidP="00344B54">
            <w:pPr>
              <w:pStyle w:val="normal"/>
              <w:spacing w:line="280" w:lineRule="auto"/>
              <w:ind w:right="-404"/>
              <w:contextualSpacing w:val="0"/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Marco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Ferrario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- Daniele Gatti </w:t>
            </w:r>
          </w:p>
          <w:p w:rsidR="00027D24" w:rsidRDefault="00027D24" w:rsidP="00344B54">
            <w:pPr>
              <w:pStyle w:val="normal"/>
              <w:spacing w:line="280" w:lineRule="auto"/>
              <w:contextualSpacing w:val="0"/>
            </w:pPr>
            <w:hyperlink r:id="rId10">
              <w:r>
                <w:rPr>
                  <w:rFonts w:ascii="Trebuchet MS" w:eastAsia="Trebuchet MS" w:hAnsi="Trebuchet MS" w:cs="Trebuchet MS"/>
                  <w:color w:val="0000FF"/>
                  <w:sz w:val="20"/>
                  <w:szCs w:val="20"/>
                  <w:u w:val="single"/>
                </w:rPr>
                <w:t>marco.ferrario@mirandola.net</w:t>
              </w:r>
              <w:r>
                <w:rPr>
                  <w:rFonts w:ascii="Trebuchet MS" w:eastAsia="Trebuchet MS" w:hAnsi="Trebuchet MS" w:cs="Trebuchet MS"/>
                  <w:color w:val="0000FF"/>
                  <w:sz w:val="20"/>
                  <w:szCs w:val="20"/>
                  <w:u w:val="single"/>
                </w:rPr>
                <w:br/>
              </w:r>
            </w:hyperlink>
            <w:hyperlink r:id="rId11">
              <w:r>
                <w:rPr>
                  <w:rFonts w:ascii="Trebuchet MS" w:eastAsia="Trebuchet MS" w:hAnsi="Trebuchet MS" w:cs="Trebuchet MS"/>
                  <w:color w:val="0000FF"/>
                  <w:sz w:val="20"/>
                  <w:szCs w:val="20"/>
                  <w:u w:val="single"/>
                </w:rPr>
                <w:t>daniele@mirandola.net</w:t>
              </w:r>
            </w:hyperlink>
            <w:hyperlink r:id="rId12"/>
          </w:p>
          <w:p w:rsidR="00027D24" w:rsidRDefault="00027D24" w:rsidP="00344B54">
            <w:pPr>
              <w:pStyle w:val="normal"/>
              <w:spacing w:line="280" w:lineRule="auto"/>
              <w:contextualSpacing w:val="0"/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Tel.: 0524/574708 - 320/7910162 - 393/8108869</w:t>
            </w:r>
          </w:p>
          <w:p w:rsidR="00027D24" w:rsidRDefault="00027D24" w:rsidP="00344B54">
            <w:pPr>
              <w:pStyle w:val="normal"/>
              <w:spacing w:line="280" w:lineRule="auto"/>
              <w:contextualSpacing w:val="0"/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Skype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>: marco.ferrario3 - daniele.gatti_1</w:t>
            </w:r>
          </w:p>
          <w:p w:rsidR="00027D24" w:rsidRDefault="00027D24" w:rsidP="00344B54">
            <w:pPr>
              <w:pStyle w:val="normal"/>
              <w:contextualSpacing w:val="0"/>
            </w:pPr>
          </w:p>
        </w:tc>
      </w:tr>
    </w:tbl>
    <w:p w:rsidR="00027D24" w:rsidRDefault="00027D24" w:rsidP="00027D24">
      <w:pPr>
        <w:pStyle w:val="normal"/>
        <w:spacing w:line="264" w:lineRule="auto"/>
        <w:ind w:right="5"/>
        <w:jc w:val="both"/>
        <w:rPr>
          <w:rFonts w:ascii="Trebuchet MS" w:eastAsia="Trebuchet MS" w:hAnsi="Trebuchet MS" w:cs="Trebuchet MS"/>
          <w:i/>
          <w:color w:val="1A1A1A"/>
          <w:sz w:val="18"/>
          <w:szCs w:val="18"/>
        </w:rPr>
      </w:pPr>
    </w:p>
    <w:p w:rsidR="00027D24" w:rsidRDefault="00027D24" w:rsidP="00027D24">
      <w:pPr>
        <w:pStyle w:val="normal"/>
        <w:spacing w:line="264" w:lineRule="auto"/>
        <w:ind w:right="5"/>
        <w:jc w:val="both"/>
      </w:pPr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lastRenderedPageBreak/>
        <w:t xml:space="preserve">La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School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of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Management del Politecnico di Milano, costituita nel 2003, accoglie le molteplici attività di ricerca, formazione e alta consulenza, nel campo dell’economia, del management e dell’industrial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engineering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, che il Politecnico porta avanti attraverso le sue diverse strutture interne e consortili. La Scuola ha ricevuto nel 2007 il prestigioso accreditamento EQUIS. Dal 2009 è nella classifica del Financial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Times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delle migliori Business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School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d’Europa. Nel Marzo 2013 ha ottenuto il prestigioso accreditamento internazionale da AMBA per i programmi MBA e Executive MBA. Dal 2014, la Scuola è membro di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UniCON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, PRME e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Cladea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. La Scuola può contare su un corpo docente di più di duecento tra professori, ricercatori, tutor e staff e ogni anno vede oltre seicento matricole entrare nel programma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undergraduate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. Fanno parte della Scuola: il Dipartimento di Ingegneria Gestionale e MIP Graduate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School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of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Business che, in particolare, si focalizza sulla formazione executive e sui programmi Master.</w:t>
      </w:r>
    </w:p>
    <w:p w:rsidR="00027D24" w:rsidRDefault="00027D24" w:rsidP="00027D24">
      <w:pPr>
        <w:pStyle w:val="normal"/>
        <w:spacing w:line="264" w:lineRule="auto"/>
        <w:ind w:right="5"/>
        <w:jc w:val="both"/>
      </w:pPr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Gli Osservatori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Digital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Innovation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della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School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of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Management del Politecnico di Milano (</w:t>
      </w:r>
      <w:hyperlink r:id="rId13">
        <w:r>
          <w:rPr>
            <w:rFonts w:ascii="Trebuchet MS" w:eastAsia="Trebuchet MS" w:hAnsi="Trebuchet MS" w:cs="Trebuchet MS"/>
            <w:i/>
            <w:color w:val="1A1A1A"/>
            <w:sz w:val="18"/>
            <w:szCs w:val="18"/>
          </w:rPr>
          <w:t>www.osservatori.net</w:t>
        </w:r>
      </w:hyperlink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) nascono nel 1999 con l’obiettivo di fare cultura in tutti i principali ambiti di Innovazione Digitale per favorire lo sviluppo del Paese. La Vision che guida gli Osservatori è che l’Innovazione Digitale sia un fattore essenziale per lo sviluppo del Paese. La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Mission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degli Osservatori è produrre e diffondere conoscenza sulle opportunità e gli impatti che le tecnologie digitali hanno su imprese, pubbliche amministrazioni e cittadini, tramite modelli interpretativi basati su solide evidenze empiriche e spazi di confronto indipendenti,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pre-competitivi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e duraturi nel tempo, che aggregano la domanda e l’offerta di innovazione digitale in Italia. Gli Osservatori sono oggi un punto di riferimento qualificato sull’innovazione digitale in Italia che integra attività di Ricerca, Comunicazione, Formazione e una Community sempre più ampia di professionisti. Gli Osservatori sono ormai molteplici e affrontano in particolare tutte le tematiche più innovative: Agenda Digitale, Big Data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Analytics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&amp; Business Intelligence,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Cloud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&amp; ICT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as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a Service,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Cloud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nella PA,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Contract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Logistics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,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Digital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Finance,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Digital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Transformation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Academy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,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Digital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Insurance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,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eCommerce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B2c,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eGovernment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,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Enterprise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Application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Governance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, Export, Fatturazione Elettronica e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Dematerializzazione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, Gestione Progettazione e PLM (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GeCo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), Gioco Online, HR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Innovation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Practice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,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Hubility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/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Multicanalità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, Industria 4.0, Information Security &amp; Privacy, Innovazione Digitale in Sanità, Innovazione Digitale nel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Retail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, Innovazione Digitale nei Beni e Attività Culturali, Innovazione Digitale nel Turismo, Internet Media, Internet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of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Things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, Mobile B2c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Strategy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, Mobile Banking, Mobile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Payment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&amp;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Commerce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, Professionisti e Innovazione Digitale, Smart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Agrifood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, Smart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Working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,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Startup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Hi-tech,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Startup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Intelligence,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Supply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>Chain</w:t>
      </w:r>
      <w:proofErr w:type="spellEnd"/>
      <w:r>
        <w:rPr>
          <w:rFonts w:ascii="Trebuchet MS" w:eastAsia="Trebuchet MS" w:hAnsi="Trebuchet MS" w:cs="Trebuchet MS"/>
          <w:i/>
          <w:color w:val="1A1A1A"/>
          <w:sz w:val="18"/>
          <w:szCs w:val="18"/>
        </w:rPr>
        <w:t xml:space="preserve"> Finance.</w:t>
      </w:r>
    </w:p>
    <w:p w:rsidR="00027D24" w:rsidRDefault="00027D24">
      <w:pPr>
        <w:pStyle w:val="normal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sectPr w:rsidR="00027D24" w:rsidSect="00AC5462">
      <w:headerReference w:type="default" r:id="rId14"/>
      <w:pgSz w:w="11906" w:h="16838"/>
      <w:pgMar w:top="1134" w:right="1021" w:bottom="851" w:left="1021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4C2" w:rsidRDefault="001214C2" w:rsidP="00AC5462">
      <w:r>
        <w:separator/>
      </w:r>
    </w:p>
  </w:endnote>
  <w:endnote w:type="continuationSeparator" w:id="0">
    <w:p w:rsidR="001214C2" w:rsidRDefault="001214C2" w:rsidP="00AC5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4C2" w:rsidRDefault="001214C2" w:rsidP="00AC5462">
      <w:r>
        <w:separator/>
      </w:r>
    </w:p>
  </w:footnote>
  <w:footnote w:type="continuationSeparator" w:id="0">
    <w:p w:rsidR="001214C2" w:rsidRDefault="001214C2" w:rsidP="00AC54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462" w:rsidRDefault="001214C2">
    <w:pPr>
      <w:pStyle w:val="normal"/>
      <w:tabs>
        <w:tab w:val="center" w:pos="4819"/>
        <w:tab w:val="right" w:pos="9638"/>
      </w:tabs>
      <w:spacing w:before="709"/>
      <w:jc w:val="center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1580515</wp:posOffset>
          </wp:positionH>
          <wp:positionV relativeFrom="paragraph">
            <wp:posOffset>314325</wp:posOffset>
          </wp:positionV>
          <wp:extent cx="2879456" cy="495300"/>
          <wp:effectExtent l="0" t="0" r="0" b="0"/>
          <wp:wrapNone/>
          <wp:docPr id="2" name="image03.png" descr="C:\Users\MarcoFerrari\Desktop\som-oss-2016-NER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 descr="C:\Users\MarcoFerrari\Desktop\som-oss-2016-NER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9456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C5462" w:rsidRDefault="00AC5462">
    <w:pPr>
      <w:pStyle w:val="normal"/>
      <w:tabs>
        <w:tab w:val="center" w:pos="4819"/>
        <w:tab w:val="right" w:pos="9638"/>
      </w:tabs>
      <w:jc w:val="center"/>
    </w:pPr>
  </w:p>
  <w:p w:rsidR="00AC5462" w:rsidRDefault="00AC5462">
    <w:pPr>
      <w:pStyle w:val="normal"/>
      <w:tabs>
        <w:tab w:val="center" w:pos="4819"/>
        <w:tab w:val="right" w:pos="9638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462"/>
    <w:rsid w:val="00027D24"/>
    <w:rsid w:val="001214C2"/>
    <w:rsid w:val="006B632F"/>
    <w:rsid w:val="00AC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AC546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AC546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AC546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AC5462"/>
    <w:pPr>
      <w:keepNext/>
      <w:keepLines/>
      <w:widowControl/>
      <w:spacing w:before="200"/>
      <w:ind w:left="864" w:hanging="864"/>
      <w:outlineLvl w:val="3"/>
    </w:pPr>
    <w:rPr>
      <w:rFonts w:ascii="Calibri" w:eastAsia="Calibri" w:hAnsi="Calibri" w:cs="Calibri"/>
      <w:b/>
      <w:i/>
    </w:rPr>
  </w:style>
  <w:style w:type="paragraph" w:styleId="Titolo5">
    <w:name w:val="heading 5"/>
    <w:basedOn w:val="normal"/>
    <w:next w:val="normal"/>
    <w:rsid w:val="00AC546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AC546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AC5462"/>
  </w:style>
  <w:style w:type="table" w:customStyle="1" w:styleId="TableNormal">
    <w:name w:val="Table Normal"/>
    <w:rsid w:val="00AC546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AC5462"/>
    <w:pPr>
      <w:keepNext/>
      <w:spacing w:before="240" w:after="120"/>
      <w:jc w:val="center"/>
    </w:pPr>
    <w:rPr>
      <w:rFonts w:ascii="Arial" w:eastAsia="Arial" w:hAnsi="Arial" w:cs="Arial"/>
      <w:b/>
      <w:sz w:val="36"/>
      <w:szCs w:val="36"/>
    </w:rPr>
  </w:style>
  <w:style w:type="paragraph" w:styleId="Sottotitolo">
    <w:name w:val="Subtitle"/>
    <w:basedOn w:val="normal"/>
    <w:next w:val="normal"/>
    <w:rsid w:val="00AC5462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rsid w:val="00AC5462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sservatori.n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hashtag/OMPAY17?src=hash" TargetMode="External"/><Relationship Id="rId12" Type="http://schemas.openxmlformats.org/officeDocument/2006/relationships/hyperlink" Target="mailto:daniele.gatti@mirandola.ne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witter.com/osserv_digital" TargetMode="External"/><Relationship Id="rId11" Type="http://schemas.openxmlformats.org/officeDocument/2006/relationships/hyperlink" Target="mailto:daniele.gatti@mirandola.net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marco.ferrario@mirandola.ne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osservatori.net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2539</Words>
  <Characters>14473</Characters>
  <Application>Microsoft Office Word</Application>
  <DocSecurity>0</DocSecurity>
  <Lines>120</Lines>
  <Paragraphs>33</Paragraphs>
  <ScaleCrop>false</ScaleCrop>
  <Company/>
  <LinksUpToDate>false</LinksUpToDate>
  <CharactersWithSpaces>16979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MarcoFerrario</dc:creator>
  <cp:lastModifiedBy>MarcoFerrario</cp:lastModifiedBy>
  <cp:revision>2</cp:revision>
  <cp:lastPrinted>2017-03-09T07:09:00Z</cp:lastPrinted>
  <dcterms:created xsi:type="dcterms:W3CDTF">2017-03-09T07:15:00Z</dcterms:created>
  <dcterms:modified xsi:type="dcterms:W3CDTF">2017-03-09T07:15:00Z</dcterms:modified>
</cp:coreProperties>
</file>