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0" w:type="dxa"/>
        <w:tblInd w:w="-1531" w:type="dxa"/>
        <w:shd w:val="clear" w:color="auto" w:fill="EEEAE5"/>
        <w:tblCellMar>
          <w:left w:w="70" w:type="dxa"/>
          <w:right w:w="70" w:type="dxa"/>
        </w:tblCellMar>
        <w:tblLook w:val="0000"/>
      </w:tblPr>
      <w:tblGrid>
        <w:gridCol w:w="11170"/>
      </w:tblGrid>
      <w:tr w:rsidR="005B7E50" w:rsidRPr="005B7E50" w:rsidTr="005B7E50">
        <w:trPr>
          <w:trHeight w:val="1247"/>
        </w:trPr>
        <w:tc>
          <w:tcPr>
            <w:tcW w:w="11368" w:type="dxa"/>
            <w:shd w:val="clear" w:color="auto" w:fill="EEEAE5"/>
            <w:vAlign w:val="center"/>
          </w:tcPr>
          <w:p w:rsidR="00A22F94" w:rsidRDefault="001507F5" w:rsidP="00482085">
            <w:pPr>
              <w:ind w:left="1531" w:right="1277"/>
              <w:jc w:val="center"/>
              <w:rPr>
                <w:rFonts w:ascii="Arial" w:hAnsi="Arial" w:cs="Arial"/>
                <w:color w:val="000000"/>
                <w:sz w:val="40"/>
                <w:szCs w:val="40"/>
                <w:shd w:val="clear" w:color="auto" w:fill="EEEAE5"/>
              </w:rPr>
            </w:pPr>
            <w:r w:rsidRPr="00A22F94">
              <w:rPr>
                <w:rFonts w:ascii="Arial" w:hAnsi="Arial" w:cs="Arial"/>
                <w:color w:val="000000"/>
                <w:sz w:val="40"/>
                <w:szCs w:val="40"/>
                <w:shd w:val="clear" w:color="auto" w:fill="EEEAE5"/>
              </w:rPr>
              <w:t>D</w:t>
            </w:r>
            <w:r w:rsidR="00097F30">
              <w:rPr>
                <w:rFonts w:ascii="Arial" w:hAnsi="Arial" w:cs="Arial"/>
                <w:color w:val="000000"/>
                <w:sz w:val="40"/>
                <w:szCs w:val="40"/>
                <w:shd w:val="clear" w:color="auto" w:fill="EEEAE5"/>
              </w:rPr>
              <w:t>al Madagascar alla Terra Santa:</w:t>
            </w:r>
            <w:bookmarkStart w:id="0" w:name="_GoBack"/>
            <w:bookmarkEnd w:id="0"/>
          </w:p>
          <w:p w:rsidR="001507F5" w:rsidRPr="00A22F94" w:rsidRDefault="001507F5" w:rsidP="00482085">
            <w:pPr>
              <w:ind w:left="1531" w:right="1277"/>
              <w:jc w:val="center"/>
              <w:rPr>
                <w:rFonts w:ascii="Arial" w:hAnsi="Arial" w:cs="Arial"/>
                <w:color w:val="000000"/>
                <w:sz w:val="40"/>
                <w:szCs w:val="40"/>
                <w:shd w:val="clear" w:color="auto" w:fill="EEEAE5"/>
              </w:rPr>
            </w:pPr>
            <w:r w:rsidRPr="00A22F94">
              <w:rPr>
                <w:rFonts w:ascii="Arial" w:hAnsi="Arial" w:cs="Arial"/>
                <w:color w:val="000000"/>
                <w:sz w:val="40"/>
                <w:szCs w:val="40"/>
                <w:shd w:val="clear" w:color="auto" w:fill="EEEAE5"/>
              </w:rPr>
              <w:t>la solidarietà che fa curriculum</w:t>
            </w:r>
          </w:p>
          <w:p w:rsidR="001507F5" w:rsidRPr="001507F5" w:rsidRDefault="001507F5" w:rsidP="00C337B4">
            <w:pPr>
              <w:ind w:left="1531" w:right="1277"/>
              <w:jc w:val="center"/>
              <w:rPr>
                <w:rFonts w:ascii="Arial" w:hAnsi="Arial" w:cs="Arial"/>
                <w:color w:val="000000"/>
                <w:shd w:val="clear" w:color="auto" w:fill="EEEAE5"/>
              </w:rPr>
            </w:pPr>
          </w:p>
          <w:p w:rsidR="00A22F94" w:rsidRPr="00A22F94" w:rsidRDefault="001507F5" w:rsidP="00A22F94">
            <w:pPr>
              <w:tabs>
                <w:tab w:val="left" w:pos="10178"/>
              </w:tabs>
              <w:ind w:left="1531" w:right="1561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</w:pPr>
            <w:r w:rsidRPr="00A22F94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  <w:t xml:space="preserve">Aumentate del </w:t>
            </w:r>
            <w:r w:rsidR="00EF43D7" w:rsidRPr="00A22F94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  <w:t>29</w:t>
            </w:r>
            <w:r w:rsidR="00B47C53" w:rsidRPr="00A22F94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  <w:t>% rispetto al 2015</w:t>
            </w:r>
            <w:r w:rsidR="00E52BF5" w:rsidRPr="00A22F94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  <w:t xml:space="preserve"> </w:t>
            </w:r>
            <w:r w:rsidRPr="00A22F94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  <w:t xml:space="preserve">le iscrizioni </w:t>
            </w:r>
            <w:r w:rsidR="00D9062A" w:rsidRPr="00A22F94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  <w:t xml:space="preserve">ai programmi </w:t>
            </w:r>
          </w:p>
          <w:p w:rsidR="00A22F94" w:rsidRPr="00A22F94" w:rsidRDefault="00D9062A" w:rsidP="00A22F94">
            <w:pPr>
              <w:tabs>
                <w:tab w:val="left" w:pos="10178"/>
              </w:tabs>
              <w:ind w:left="1531" w:right="1561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</w:pPr>
            <w:r w:rsidRPr="00A22F94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  <w:t>di volontariato internazionale promossi dall’Università Cattolica.</w:t>
            </w:r>
            <w:r w:rsidR="001507F5" w:rsidRPr="00A22F94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  <w:t xml:space="preserve"> </w:t>
            </w:r>
          </w:p>
          <w:p w:rsidR="00AC5E93" w:rsidRPr="00A22F94" w:rsidRDefault="001507F5" w:rsidP="00A22F94">
            <w:pPr>
              <w:tabs>
                <w:tab w:val="left" w:pos="10178"/>
              </w:tabs>
              <w:ind w:left="1531" w:right="1561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</w:pPr>
            <w:r w:rsidRPr="00A22F94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EEEAE5"/>
              </w:rPr>
              <w:t>Un’opportunità per incrementare anche le proprie competenze professionali</w:t>
            </w:r>
          </w:p>
          <w:p w:rsidR="003B0AD7" w:rsidRPr="00482085" w:rsidRDefault="003B0AD7" w:rsidP="00D9062A">
            <w:pPr>
              <w:tabs>
                <w:tab w:val="left" w:pos="10178"/>
              </w:tabs>
              <w:ind w:left="1531" w:right="1561"/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EEEAE5"/>
              </w:rPr>
            </w:pPr>
          </w:p>
        </w:tc>
      </w:tr>
    </w:tbl>
    <w:p w:rsidR="00671E95" w:rsidRDefault="00671E95" w:rsidP="005B7E50">
      <w:pPr>
        <w:jc w:val="both"/>
        <w:rPr>
          <w:rFonts w:ascii="Garamond" w:hAnsi="Garamond"/>
          <w:color w:val="000000"/>
          <w:sz w:val="22"/>
          <w:szCs w:val="22"/>
        </w:rPr>
      </w:pPr>
    </w:p>
    <w:p w:rsidR="00D9062A" w:rsidRDefault="002A6C38" w:rsidP="001507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Milano, 11</w:t>
      </w:r>
      <w:r w:rsidR="001507F5" w:rsidRPr="00984025">
        <w:rPr>
          <w:rFonts w:ascii="Arial" w:hAnsi="Arial" w:cs="Arial"/>
          <w:b/>
          <w:sz w:val="22"/>
          <w:szCs w:val="22"/>
        </w:rPr>
        <w:t xml:space="preserve"> maggio 2016 </w:t>
      </w:r>
      <w:r w:rsidR="00D9062A">
        <w:rPr>
          <w:rFonts w:ascii="Arial" w:hAnsi="Arial" w:cs="Arial"/>
          <w:b/>
          <w:sz w:val="22"/>
          <w:szCs w:val="22"/>
        </w:rPr>
        <w:t>–</w:t>
      </w:r>
      <w:r w:rsidR="001507F5" w:rsidRPr="00984025">
        <w:rPr>
          <w:rFonts w:ascii="Arial" w:hAnsi="Arial" w:cs="Arial"/>
          <w:b/>
          <w:sz w:val="22"/>
          <w:szCs w:val="22"/>
        </w:rPr>
        <w:t xml:space="preserve"> </w:t>
      </w:r>
      <w:r w:rsidR="006F28AF" w:rsidRPr="006F28AF">
        <w:rPr>
          <w:rFonts w:ascii="Arial" w:hAnsi="Arial" w:cs="Arial"/>
          <w:sz w:val="22"/>
          <w:szCs w:val="22"/>
        </w:rPr>
        <w:t xml:space="preserve">Solidarietà, lavoro di squadra e capacità di incontrare ogni forma di diversità: </w:t>
      </w:r>
      <w:r w:rsidR="00EF43D7" w:rsidRPr="00A22F94">
        <w:rPr>
          <w:rFonts w:ascii="Arial" w:hAnsi="Arial" w:cs="Arial"/>
          <w:b/>
          <w:sz w:val="22"/>
          <w:szCs w:val="22"/>
        </w:rPr>
        <w:t>97</w:t>
      </w:r>
      <w:r w:rsidR="001507F5" w:rsidRPr="00A22F94">
        <w:rPr>
          <w:rFonts w:ascii="Arial" w:hAnsi="Arial" w:cs="Arial"/>
          <w:b/>
          <w:sz w:val="22"/>
          <w:szCs w:val="22"/>
        </w:rPr>
        <w:t xml:space="preserve"> universitari italiani</w:t>
      </w:r>
      <w:r w:rsidR="001507F5" w:rsidRPr="001507F5">
        <w:rPr>
          <w:rFonts w:ascii="Arial" w:hAnsi="Arial" w:cs="Arial"/>
          <w:sz w:val="22"/>
          <w:szCs w:val="22"/>
        </w:rPr>
        <w:t xml:space="preserve"> </w:t>
      </w:r>
      <w:r w:rsidR="006F28AF">
        <w:rPr>
          <w:rFonts w:ascii="Arial" w:hAnsi="Arial" w:cs="Arial"/>
          <w:sz w:val="22"/>
          <w:szCs w:val="22"/>
        </w:rPr>
        <w:t>potranno</w:t>
      </w:r>
      <w:r w:rsidR="001507F5" w:rsidRPr="001507F5">
        <w:rPr>
          <w:rFonts w:ascii="Arial" w:hAnsi="Arial" w:cs="Arial"/>
          <w:sz w:val="22"/>
          <w:szCs w:val="22"/>
        </w:rPr>
        <w:t xml:space="preserve"> </w:t>
      </w:r>
      <w:r w:rsidR="006F28AF">
        <w:rPr>
          <w:rFonts w:ascii="Arial" w:hAnsi="Arial" w:cs="Arial"/>
          <w:sz w:val="22"/>
          <w:szCs w:val="22"/>
        </w:rPr>
        <w:t xml:space="preserve">scrivere queste voci nel proprio CV grazie a un'esperienza </w:t>
      </w:r>
      <w:r w:rsidR="00A22F94">
        <w:rPr>
          <w:rFonts w:ascii="Arial" w:hAnsi="Arial" w:cs="Arial"/>
          <w:sz w:val="22"/>
          <w:szCs w:val="22"/>
        </w:rPr>
        <w:t>all’</w:t>
      </w:r>
      <w:r w:rsidR="006F28AF">
        <w:rPr>
          <w:rFonts w:ascii="Arial" w:hAnsi="Arial" w:cs="Arial"/>
          <w:sz w:val="22"/>
          <w:szCs w:val="22"/>
        </w:rPr>
        <w:t>estero.</w:t>
      </w:r>
      <w:r w:rsidR="00A22F94">
        <w:rPr>
          <w:rFonts w:ascii="Arial" w:hAnsi="Arial" w:cs="Arial"/>
          <w:sz w:val="22"/>
          <w:szCs w:val="22"/>
        </w:rPr>
        <w:t xml:space="preserve"> </w:t>
      </w:r>
      <w:r w:rsidR="001507F5" w:rsidRPr="001507F5">
        <w:rPr>
          <w:rFonts w:ascii="Arial" w:hAnsi="Arial" w:cs="Arial"/>
          <w:sz w:val="22"/>
          <w:szCs w:val="22"/>
        </w:rPr>
        <w:t>Sono g</w:t>
      </w:r>
      <w:r w:rsidR="00D9062A">
        <w:rPr>
          <w:rFonts w:ascii="Arial" w:hAnsi="Arial" w:cs="Arial"/>
          <w:sz w:val="22"/>
          <w:szCs w:val="22"/>
        </w:rPr>
        <w:t>li studenti che hanno aderito ai programmi di volontariato internazionale promossi dall’Università Cattolica</w:t>
      </w:r>
      <w:r w:rsidR="006F28AF">
        <w:rPr>
          <w:rFonts w:ascii="Arial" w:hAnsi="Arial" w:cs="Arial"/>
          <w:sz w:val="22"/>
          <w:szCs w:val="22"/>
        </w:rPr>
        <w:t xml:space="preserve"> scegliendo una del</w:t>
      </w:r>
      <w:r w:rsidR="00351C92">
        <w:rPr>
          <w:rFonts w:ascii="Arial" w:hAnsi="Arial" w:cs="Arial"/>
          <w:sz w:val="22"/>
          <w:szCs w:val="22"/>
        </w:rPr>
        <w:t xml:space="preserve">le </w:t>
      </w:r>
      <w:r w:rsidR="00D9062A">
        <w:rPr>
          <w:rFonts w:ascii="Arial" w:hAnsi="Arial" w:cs="Arial"/>
          <w:sz w:val="22"/>
          <w:szCs w:val="22"/>
        </w:rPr>
        <w:t>opzioni disponibili a stud</w:t>
      </w:r>
      <w:r w:rsidR="00427047">
        <w:rPr>
          <w:rFonts w:ascii="Arial" w:hAnsi="Arial" w:cs="Arial"/>
          <w:sz w:val="22"/>
          <w:szCs w:val="22"/>
        </w:rPr>
        <w:t xml:space="preserve">enti e neolaureati dell’Ateneo: </w:t>
      </w:r>
      <w:r w:rsidR="00D9062A">
        <w:rPr>
          <w:rFonts w:ascii="Arial" w:hAnsi="Arial" w:cs="Arial"/>
          <w:sz w:val="22"/>
          <w:szCs w:val="22"/>
        </w:rPr>
        <w:t xml:space="preserve">Charity Work </w:t>
      </w:r>
      <w:proofErr w:type="spellStart"/>
      <w:r w:rsidR="00D9062A">
        <w:rPr>
          <w:rFonts w:ascii="Arial" w:hAnsi="Arial" w:cs="Arial"/>
          <w:sz w:val="22"/>
          <w:szCs w:val="22"/>
        </w:rPr>
        <w:t>Program</w:t>
      </w:r>
      <w:proofErr w:type="spellEnd"/>
      <w:r w:rsidR="00D9062A">
        <w:rPr>
          <w:rFonts w:ascii="Arial" w:hAnsi="Arial" w:cs="Arial"/>
          <w:sz w:val="22"/>
          <w:szCs w:val="22"/>
        </w:rPr>
        <w:t xml:space="preserve">, International </w:t>
      </w:r>
      <w:proofErr w:type="spellStart"/>
      <w:r w:rsidR="00D9062A">
        <w:rPr>
          <w:rFonts w:ascii="Arial" w:hAnsi="Arial" w:cs="Arial"/>
          <w:sz w:val="22"/>
          <w:szCs w:val="22"/>
        </w:rPr>
        <w:t>Volunteering</w:t>
      </w:r>
      <w:proofErr w:type="spellEnd"/>
      <w:r w:rsidR="00D9062A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D9062A">
        <w:rPr>
          <w:rFonts w:ascii="Arial" w:hAnsi="Arial" w:cs="Arial"/>
          <w:sz w:val="22"/>
          <w:szCs w:val="22"/>
        </w:rPr>
        <w:t>Mission</w:t>
      </w:r>
      <w:proofErr w:type="spellEnd"/>
      <w:r w:rsidR="00D906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062A">
        <w:rPr>
          <w:rFonts w:ascii="Arial" w:hAnsi="Arial" w:cs="Arial"/>
          <w:sz w:val="22"/>
          <w:szCs w:val="22"/>
        </w:rPr>
        <w:t>Exposure</w:t>
      </w:r>
      <w:proofErr w:type="spellEnd"/>
      <w:r w:rsidR="00D9062A">
        <w:rPr>
          <w:rFonts w:ascii="Arial" w:hAnsi="Arial" w:cs="Arial"/>
          <w:sz w:val="22"/>
          <w:szCs w:val="22"/>
        </w:rPr>
        <w:t xml:space="preserve">.  </w:t>
      </w:r>
    </w:p>
    <w:p w:rsidR="00D9062A" w:rsidRDefault="00D9062A" w:rsidP="001507F5">
      <w:pPr>
        <w:jc w:val="both"/>
        <w:rPr>
          <w:rFonts w:ascii="Arial" w:hAnsi="Arial" w:cs="Arial"/>
          <w:sz w:val="22"/>
          <w:szCs w:val="22"/>
        </w:rPr>
      </w:pPr>
    </w:p>
    <w:p w:rsid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  <w:r w:rsidRPr="001507F5">
        <w:rPr>
          <w:rFonts w:ascii="Arial" w:hAnsi="Arial" w:cs="Arial"/>
          <w:b/>
          <w:sz w:val="22"/>
          <w:szCs w:val="22"/>
        </w:rPr>
        <w:t>Charity Work Program</w:t>
      </w:r>
      <w:r w:rsidRPr="001507F5">
        <w:rPr>
          <w:rFonts w:ascii="Arial" w:hAnsi="Arial" w:cs="Arial"/>
          <w:sz w:val="22"/>
          <w:szCs w:val="22"/>
        </w:rPr>
        <w:t xml:space="preserve">, </w:t>
      </w:r>
      <w:r w:rsidR="00D9062A">
        <w:rPr>
          <w:rFonts w:ascii="Arial" w:hAnsi="Arial" w:cs="Arial"/>
          <w:sz w:val="22"/>
          <w:szCs w:val="22"/>
        </w:rPr>
        <w:t xml:space="preserve">è </w:t>
      </w:r>
      <w:r w:rsidRPr="001507F5">
        <w:rPr>
          <w:rFonts w:ascii="Arial" w:hAnsi="Arial" w:cs="Arial"/>
          <w:sz w:val="22"/>
          <w:szCs w:val="22"/>
        </w:rPr>
        <w:t xml:space="preserve">il programma promosso dal </w:t>
      </w:r>
      <w:r w:rsidRPr="00BA3527">
        <w:rPr>
          <w:rFonts w:ascii="Arial" w:hAnsi="Arial" w:cs="Arial"/>
          <w:b/>
          <w:sz w:val="22"/>
          <w:szCs w:val="22"/>
        </w:rPr>
        <w:t>Centro di Ateneo per la Solidarietà Internazionale</w:t>
      </w:r>
      <w:r w:rsidRPr="001507F5">
        <w:rPr>
          <w:rFonts w:ascii="Arial" w:hAnsi="Arial" w:cs="Arial"/>
          <w:sz w:val="22"/>
          <w:szCs w:val="22"/>
        </w:rPr>
        <w:t xml:space="preserve"> (</w:t>
      </w:r>
      <w:r w:rsidRPr="00BA3527">
        <w:rPr>
          <w:rFonts w:ascii="Arial" w:hAnsi="Arial" w:cs="Arial"/>
          <w:b/>
          <w:sz w:val="22"/>
          <w:szCs w:val="22"/>
        </w:rPr>
        <w:t>Cesi</w:t>
      </w:r>
      <w:r w:rsidRPr="001507F5">
        <w:rPr>
          <w:rFonts w:ascii="Arial" w:hAnsi="Arial" w:cs="Arial"/>
          <w:sz w:val="22"/>
          <w:szCs w:val="22"/>
        </w:rPr>
        <w:t xml:space="preserve">), grazie a fondi dell’Università Cattolica del Sacro Cuore e dell’Istituto Giuseppe Toniolo di Studi Superiori, che offre l’opportunità di vivere un’esperienza di volontariato nei Paesi in via di sviluppo ed emergenti in cui l’Ateneo ha all’attivo partnership e collaborazioni. </w:t>
      </w:r>
    </w:p>
    <w:p w:rsid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</w:p>
    <w:p w:rsid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  <w:r w:rsidRPr="001507F5">
        <w:rPr>
          <w:rFonts w:ascii="Arial" w:hAnsi="Arial" w:cs="Arial"/>
          <w:sz w:val="22"/>
          <w:szCs w:val="22"/>
        </w:rPr>
        <w:t>Tra le novità di quest’anno il maggior numero di borse di studio messe a disposizione, le destinazioni e il network dei partner. Si allarga, poi, la platea dei destinatari che, oltre gli studenti dell’Ateneo</w:t>
      </w:r>
      <w:r w:rsidR="00BA3527">
        <w:rPr>
          <w:rFonts w:ascii="Arial" w:hAnsi="Arial" w:cs="Arial"/>
          <w:sz w:val="22"/>
          <w:szCs w:val="22"/>
        </w:rPr>
        <w:t xml:space="preserve"> - d</w:t>
      </w:r>
      <w:r w:rsidR="00BA3527" w:rsidRPr="001507F5">
        <w:rPr>
          <w:rFonts w:ascii="Arial" w:hAnsi="Arial" w:cs="Arial"/>
          <w:sz w:val="22"/>
          <w:szCs w:val="22"/>
        </w:rPr>
        <w:t xml:space="preserve">al 2009 a oggi </w:t>
      </w:r>
      <w:r w:rsidR="00BA3527">
        <w:rPr>
          <w:rFonts w:ascii="Arial" w:hAnsi="Arial" w:cs="Arial"/>
          <w:sz w:val="22"/>
          <w:szCs w:val="22"/>
        </w:rPr>
        <w:t>se ne contano ben 214 -</w:t>
      </w:r>
      <w:r w:rsidRPr="001507F5">
        <w:rPr>
          <w:rFonts w:ascii="Arial" w:hAnsi="Arial" w:cs="Arial"/>
          <w:sz w:val="22"/>
          <w:szCs w:val="22"/>
        </w:rPr>
        <w:t xml:space="preserve"> comprenderà neolaureati e iscritti a master, dottorati e scuole di specializzazione. </w:t>
      </w:r>
      <w:r w:rsidR="00BA3527">
        <w:rPr>
          <w:rFonts w:ascii="Arial" w:hAnsi="Arial" w:cs="Arial"/>
          <w:sz w:val="22"/>
          <w:szCs w:val="22"/>
        </w:rPr>
        <w:t>In</w:t>
      </w:r>
      <w:r w:rsidRPr="001507F5">
        <w:rPr>
          <w:rFonts w:ascii="Arial" w:hAnsi="Arial" w:cs="Arial"/>
          <w:sz w:val="22"/>
          <w:szCs w:val="22"/>
        </w:rPr>
        <w:t xml:space="preserve"> particolare, per la sua </w:t>
      </w:r>
      <w:r w:rsidRPr="001507F5">
        <w:rPr>
          <w:rFonts w:ascii="Arial" w:hAnsi="Arial" w:cs="Arial"/>
          <w:b/>
          <w:bCs/>
          <w:sz w:val="22"/>
          <w:szCs w:val="22"/>
        </w:rPr>
        <w:t xml:space="preserve">ottava edizione </w:t>
      </w:r>
      <w:r w:rsidR="00B14BD0" w:rsidRPr="00B14BD0">
        <w:rPr>
          <w:rFonts w:ascii="Arial" w:hAnsi="Arial" w:cs="Arial"/>
          <w:b/>
          <w:bCs/>
          <w:sz w:val="22"/>
          <w:szCs w:val="22"/>
        </w:rPr>
        <w:t xml:space="preserve">il Charity </w:t>
      </w:r>
      <w:r w:rsidR="00BA3527" w:rsidRPr="00B14BD0">
        <w:rPr>
          <w:rFonts w:ascii="Arial" w:hAnsi="Arial" w:cs="Arial"/>
          <w:b/>
          <w:sz w:val="22"/>
          <w:szCs w:val="22"/>
        </w:rPr>
        <w:t xml:space="preserve">mette a disposizione </w:t>
      </w:r>
      <w:r w:rsidRPr="001507F5">
        <w:rPr>
          <w:rFonts w:ascii="Arial" w:hAnsi="Arial" w:cs="Arial"/>
          <w:b/>
          <w:bCs/>
          <w:sz w:val="22"/>
          <w:szCs w:val="22"/>
        </w:rPr>
        <w:t xml:space="preserve">50 </w:t>
      </w:r>
      <w:proofErr w:type="spellStart"/>
      <w:r w:rsidRPr="001507F5">
        <w:rPr>
          <w:rFonts w:ascii="Arial" w:hAnsi="Arial" w:cs="Arial"/>
          <w:b/>
          <w:bCs/>
          <w:sz w:val="22"/>
          <w:szCs w:val="22"/>
        </w:rPr>
        <w:t>scholarship</w:t>
      </w:r>
      <w:proofErr w:type="spellEnd"/>
      <w:r w:rsidRPr="001507F5">
        <w:rPr>
          <w:rFonts w:ascii="Arial" w:hAnsi="Arial" w:cs="Arial"/>
          <w:b/>
          <w:bCs/>
          <w:sz w:val="22"/>
          <w:szCs w:val="22"/>
        </w:rPr>
        <w:t xml:space="preserve"> della durata di 3-8 settimane</w:t>
      </w:r>
      <w:r w:rsidRPr="001507F5">
        <w:rPr>
          <w:rFonts w:ascii="Arial" w:hAnsi="Arial" w:cs="Arial"/>
          <w:sz w:val="22"/>
          <w:szCs w:val="22"/>
        </w:rPr>
        <w:t xml:space="preserve">, </w:t>
      </w:r>
      <w:r w:rsidRPr="001507F5">
        <w:rPr>
          <w:rFonts w:ascii="Arial" w:hAnsi="Arial" w:cs="Arial"/>
          <w:b/>
          <w:bCs/>
          <w:sz w:val="22"/>
          <w:szCs w:val="22"/>
        </w:rPr>
        <w:t>con un incremento del 24% rispetto all’anno prima e del 76% rispetto alle prime partenze</w:t>
      </w:r>
      <w:r w:rsidRPr="001507F5">
        <w:rPr>
          <w:rFonts w:ascii="Arial" w:hAnsi="Arial" w:cs="Arial"/>
          <w:sz w:val="22"/>
          <w:szCs w:val="22"/>
        </w:rPr>
        <w:t xml:space="preserve">. </w:t>
      </w:r>
    </w:p>
    <w:p w:rsid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  <w:r w:rsidRPr="001507F5">
        <w:rPr>
          <w:rFonts w:ascii="Arial" w:hAnsi="Arial" w:cs="Arial"/>
          <w:sz w:val="22"/>
          <w:szCs w:val="22"/>
        </w:rPr>
        <w:t xml:space="preserve">Il Charity, oltre a rappresentare un’esperienza altamente formativa dal punto di vista della crescita personale, è stato modulato in modo da fornire un percorso coerente con gli studi: numerose destinazioni sono aperte solo a studenti di determinate facoltà, privilegiando percorsi </w:t>
      </w:r>
      <w:r w:rsidRPr="00984025">
        <w:rPr>
          <w:rFonts w:ascii="Arial" w:hAnsi="Arial" w:cs="Arial"/>
          <w:i/>
          <w:sz w:val="22"/>
          <w:szCs w:val="22"/>
        </w:rPr>
        <w:t>ad hoc</w:t>
      </w:r>
      <w:r w:rsidRPr="001507F5">
        <w:rPr>
          <w:rFonts w:ascii="Arial" w:hAnsi="Arial" w:cs="Arial"/>
          <w:sz w:val="22"/>
          <w:szCs w:val="22"/>
        </w:rPr>
        <w:t xml:space="preserve"> sulle discipline insegnate in Ateneo. In alcuni di questi casi, per offrire un’esperienza più completa, il periodo di permanenza all’estero è di due mesi. Secondo il professor </w:t>
      </w:r>
      <w:r w:rsidRPr="001507F5">
        <w:rPr>
          <w:rFonts w:ascii="Arial" w:hAnsi="Arial" w:cs="Arial"/>
          <w:b/>
          <w:sz w:val="22"/>
          <w:szCs w:val="22"/>
        </w:rPr>
        <w:t>Roberto</w:t>
      </w:r>
      <w:r w:rsidR="00BA3527" w:rsidRPr="00BA3527">
        <w:rPr>
          <w:rFonts w:ascii="Arial" w:hAnsi="Arial" w:cs="Arial"/>
          <w:sz w:val="22"/>
          <w:szCs w:val="22"/>
        </w:rPr>
        <w:t xml:space="preserve"> </w:t>
      </w:r>
      <w:r w:rsidRPr="001507F5">
        <w:rPr>
          <w:rFonts w:ascii="Arial" w:hAnsi="Arial" w:cs="Arial"/>
          <w:b/>
          <w:sz w:val="22"/>
          <w:szCs w:val="22"/>
        </w:rPr>
        <w:t>Cauda,</w:t>
      </w:r>
      <w:r w:rsidRPr="001507F5">
        <w:rPr>
          <w:rFonts w:ascii="Arial" w:hAnsi="Arial" w:cs="Arial"/>
          <w:sz w:val="22"/>
          <w:szCs w:val="22"/>
        </w:rPr>
        <w:t xml:space="preserve"> direttore del Cesi, «</w:t>
      </w:r>
      <w:r w:rsidRPr="001507F5">
        <w:rPr>
          <w:rFonts w:ascii="Arial" w:hAnsi="Arial" w:cs="Arial"/>
          <w:i/>
          <w:sz w:val="22"/>
          <w:szCs w:val="22"/>
        </w:rPr>
        <w:t>la solidarietà è un bene prezioso che va coltivato fin da studenti. Il Ce</w:t>
      </w:r>
      <w:r w:rsidR="00984025" w:rsidRPr="001507F5">
        <w:rPr>
          <w:rFonts w:ascii="Arial" w:hAnsi="Arial" w:cs="Arial"/>
          <w:i/>
          <w:sz w:val="22"/>
          <w:szCs w:val="22"/>
        </w:rPr>
        <w:t>si</w:t>
      </w:r>
      <w:r w:rsidRPr="001507F5">
        <w:rPr>
          <w:rFonts w:ascii="Arial" w:hAnsi="Arial" w:cs="Arial"/>
          <w:i/>
          <w:sz w:val="22"/>
          <w:szCs w:val="22"/>
        </w:rPr>
        <w:t>, attraverso il Charity Work Program, ha voluto investire nella cultura della solidarietà, che si caratterizza per essere “contagiosa”, promuovendone la diffusione tra gli studenti delle diverse facoltà dell’Ateneo</w:t>
      </w:r>
      <w:r w:rsidRPr="001507F5">
        <w:rPr>
          <w:rFonts w:ascii="Arial" w:hAnsi="Arial" w:cs="Arial"/>
          <w:sz w:val="22"/>
          <w:szCs w:val="22"/>
        </w:rPr>
        <w:t>».</w:t>
      </w: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</w:p>
    <w:p w:rsid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  <w:r w:rsidRPr="001507F5">
        <w:rPr>
          <w:rFonts w:ascii="Arial" w:hAnsi="Arial" w:cs="Arial"/>
          <w:sz w:val="22"/>
          <w:szCs w:val="22"/>
        </w:rPr>
        <w:lastRenderedPageBreak/>
        <w:t xml:space="preserve">Il Charity permette di sviluppare anche competenze professionali che fanno bene al Cv. Lo denota il progressivo aumento nel corso degli anni sia delle </w:t>
      </w:r>
      <w:proofErr w:type="spellStart"/>
      <w:r w:rsidRPr="001507F5">
        <w:rPr>
          <w:rFonts w:ascii="Arial" w:hAnsi="Arial" w:cs="Arial"/>
          <w:sz w:val="22"/>
          <w:szCs w:val="22"/>
        </w:rPr>
        <w:t>scholarship</w:t>
      </w:r>
      <w:proofErr w:type="spellEnd"/>
      <w:r w:rsidRPr="001507F5">
        <w:rPr>
          <w:rFonts w:ascii="Arial" w:hAnsi="Arial" w:cs="Arial"/>
          <w:sz w:val="22"/>
          <w:szCs w:val="22"/>
        </w:rPr>
        <w:t xml:space="preserve"> sia delle richieste di partecipazione degli studenti: </w:t>
      </w:r>
      <w:r w:rsidRPr="00984025">
        <w:rPr>
          <w:rFonts w:ascii="Arial" w:hAnsi="Arial" w:cs="Arial"/>
          <w:b/>
          <w:sz w:val="22"/>
          <w:szCs w:val="22"/>
        </w:rPr>
        <w:t xml:space="preserve">nel 2016 hanno preso parte alle selezioni 230 studenti </w:t>
      </w:r>
      <w:r w:rsidRPr="00984025">
        <w:rPr>
          <w:rFonts w:ascii="Arial" w:hAnsi="Arial" w:cs="Arial"/>
          <w:sz w:val="22"/>
          <w:szCs w:val="22"/>
        </w:rPr>
        <w:t>provenienti da tutte le facoltà e da tutte le sedi dell’Università Cattolica</w:t>
      </w:r>
      <w:r w:rsidRPr="001507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9062A" w:rsidRPr="001507F5" w:rsidRDefault="00D9062A" w:rsidP="001507F5">
      <w:pPr>
        <w:jc w:val="both"/>
        <w:rPr>
          <w:rFonts w:ascii="Arial" w:hAnsi="Arial" w:cs="Arial"/>
          <w:sz w:val="22"/>
          <w:szCs w:val="22"/>
        </w:rPr>
      </w:pPr>
    </w:p>
    <w:p w:rsidR="001507F5" w:rsidRPr="001507F5" w:rsidRDefault="001507F5" w:rsidP="001507F5">
      <w:pPr>
        <w:jc w:val="both"/>
        <w:rPr>
          <w:rFonts w:ascii="Arial" w:hAnsi="Arial" w:cs="Arial"/>
          <w:bCs/>
          <w:sz w:val="22"/>
          <w:szCs w:val="22"/>
        </w:rPr>
      </w:pPr>
      <w:r w:rsidRPr="001507F5">
        <w:rPr>
          <w:rFonts w:ascii="Arial" w:hAnsi="Arial" w:cs="Arial"/>
          <w:sz w:val="22"/>
          <w:szCs w:val="22"/>
        </w:rPr>
        <w:t>Nell’edizione di quest’anno è aumentato il</w:t>
      </w:r>
      <w:r w:rsidRPr="001507F5">
        <w:rPr>
          <w:rFonts w:ascii="Arial" w:hAnsi="Arial" w:cs="Arial"/>
          <w:bCs/>
          <w:sz w:val="22"/>
          <w:szCs w:val="22"/>
        </w:rPr>
        <w:t xml:space="preserve"> numero delle destinazioni</w:t>
      </w:r>
      <w:r w:rsidRPr="001507F5">
        <w:rPr>
          <w:rFonts w:ascii="Arial" w:hAnsi="Arial" w:cs="Arial"/>
          <w:sz w:val="22"/>
          <w:szCs w:val="22"/>
        </w:rPr>
        <w:t xml:space="preserve">: </w:t>
      </w:r>
      <w:r w:rsidRPr="001507F5">
        <w:rPr>
          <w:rFonts w:ascii="Arial" w:hAnsi="Arial" w:cs="Arial"/>
          <w:b/>
          <w:bCs/>
          <w:sz w:val="22"/>
          <w:szCs w:val="22"/>
        </w:rPr>
        <w:t>17 diversi progetti</w:t>
      </w:r>
      <w:r w:rsidRPr="001507F5">
        <w:rPr>
          <w:rFonts w:ascii="Arial" w:hAnsi="Arial" w:cs="Arial"/>
          <w:bCs/>
          <w:sz w:val="22"/>
          <w:szCs w:val="22"/>
        </w:rPr>
        <w:t xml:space="preserve"> </w:t>
      </w:r>
      <w:r w:rsidRPr="001507F5">
        <w:rPr>
          <w:rFonts w:ascii="Arial" w:hAnsi="Arial" w:cs="Arial"/>
          <w:sz w:val="22"/>
          <w:szCs w:val="22"/>
        </w:rPr>
        <w:t xml:space="preserve">in </w:t>
      </w:r>
      <w:r w:rsidRPr="00B14BD0">
        <w:rPr>
          <w:rFonts w:ascii="Arial" w:hAnsi="Arial" w:cs="Arial"/>
          <w:b/>
          <w:bCs/>
          <w:sz w:val="22"/>
          <w:szCs w:val="22"/>
        </w:rPr>
        <w:t>14 Paesi</w:t>
      </w:r>
      <w:r w:rsidRPr="001507F5">
        <w:rPr>
          <w:rFonts w:ascii="Arial" w:hAnsi="Arial" w:cs="Arial"/>
          <w:bCs/>
          <w:sz w:val="22"/>
          <w:szCs w:val="22"/>
        </w:rPr>
        <w:t xml:space="preserve"> </w:t>
      </w:r>
      <w:r w:rsidRPr="001507F5">
        <w:rPr>
          <w:rFonts w:ascii="Arial" w:hAnsi="Arial" w:cs="Arial"/>
          <w:sz w:val="22"/>
          <w:szCs w:val="22"/>
        </w:rPr>
        <w:t xml:space="preserve">ospiteranno gli studenti, comprendendo </w:t>
      </w:r>
      <w:r w:rsidRPr="00B14BD0">
        <w:rPr>
          <w:rFonts w:ascii="Arial" w:hAnsi="Arial" w:cs="Arial"/>
          <w:b/>
          <w:sz w:val="22"/>
          <w:szCs w:val="22"/>
        </w:rPr>
        <w:t xml:space="preserve">nuove </w:t>
      </w:r>
      <w:r w:rsidRPr="00B14BD0">
        <w:rPr>
          <w:rFonts w:ascii="Arial" w:hAnsi="Arial" w:cs="Arial"/>
          <w:b/>
          <w:bCs/>
          <w:sz w:val="22"/>
          <w:szCs w:val="22"/>
        </w:rPr>
        <w:t>mete</w:t>
      </w:r>
      <w:r w:rsidRPr="001507F5">
        <w:rPr>
          <w:rFonts w:ascii="Arial" w:hAnsi="Arial" w:cs="Arial"/>
          <w:bCs/>
          <w:sz w:val="22"/>
          <w:szCs w:val="22"/>
        </w:rPr>
        <w:t xml:space="preserve"> </w:t>
      </w:r>
      <w:r w:rsidRPr="001507F5">
        <w:rPr>
          <w:rFonts w:ascii="Arial" w:hAnsi="Arial" w:cs="Arial"/>
          <w:sz w:val="22"/>
          <w:szCs w:val="22"/>
        </w:rPr>
        <w:t xml:space="preserve">come </w:t>
      </w:r>
      <w:r w:rsidRPr="00B14BD0">
        <w:rPr>
          <w:rFonts w:ascii="Arial" w:hAnsi="Arial" w:cs="Arial"/>
          <w:b/>
          <w:bCs/>
          <w:sz w:val="22"/>
          <w:szCs w:val="22"/>
        </w:rPr>
        <w:t>Madagascar</w:t>
      </w:r>
      <w:r w:rsidRPr="00B14BD0">
        <w:rPr>
          <w:rFonts w:ascii="Arial" w:hAnsi="Arial" w:cs="Arial"/>
          <w:b/>
          <w:sz w:val="22"/>
          <w:szCs w:val="22"/>
        </w:rPr>
        <w:t xml:space="preserve"> e </w:t>
      </w:r>
      <w:r w:rsidRPr="00B14BD0">
        <w:rPr>
          <w:rFonts w:ascii="Arial" w:hAnsi="Arial" w:cs="Arial"/>
          <w:b/>
          <w:bCs/>
          <w:sz w:val="22"/>
          <w:szCs w:val="22"/>
        </w:rPr>
        <w:t>Senegal</w:t>
      </w:r>
      <w:r w:rsidRPr="00B14BD0">
        <w:rPr>
          <w:rFonts w:ascii="Arial" w:hAnsi="Arial" w:cs="Arial"/>
          <w:b/>
          <w:sz w:val="22"/>
          <w:szCs w:val="22"/>
        </w:rPr>
        <w:t xml:space="preserve"> </w:t>
      </w:r>
      <w:r w:rsidRPr="004748A3">
        <w:rPr>
          <w:rFonts w:ascii="Arial" w:hAnsi="Arial" w:cs="Arial"/>
          <w:sz w:val="22"/>
          <w:szCs w:val="22"/>
        </w:rPr>
        <w:t>(</w:t>
      </w:r>
      <w:r w:rsidRPr="00B14BD0">
        <w:rPr>
          <w:rFonts w:ascii="Arial" w:hAnsi="Arial" w:cs="Arial"/>
          <w:b/>
          <w:bCs/>
          <w:sz w:val="22"/>
          <w:szCs w:val="22"/>
        </w:rPr>
        <w:t>la prima volta in assoluto</w:t>
      </w:r>
      <w:r w:rsidRPr="004748A3">
        <w:rPr>
          <w:rFonts w:ascii="Arial" w:hAnsi="Arial" w:cs="Arial"/>
          <w:bCs/>
          <w:sz w:val="22"/>
          <w:szCs w:val="22"/>
        </w:rPr>
        <w:t>)</w:t>
      </w:r>
      <w:r w:rsidRPr="004748A3">
        <w:rPr>
          <w:rFonts w:ascii="Arial" w:hAnsi="Arial" w:cs="Arial"/>
          <w:sz w:val="22"/>
          <w:szCs w:val="22"/>
        </w:rPr>
        <w:t xml:space="preserve">, </w:t>
      </w:r>
      <w:r w:rsidRPr="00B14BD0">
        <w:rPr>
          <w:rFonts w:ascii="Arial" w:hAnsi="Arial" w:cs="Arial"/>
          <w:b/>
          <w:sz w:val="22"/>
          <w:szCs w:val="22"/>
        </w:rPr>
        <w:t xml:space="preserve">Brasile, </w:t>
      </w:r>
      <w:r w:rsidRPr="00B14BD0">
        <w:rPr>
          <w:rFonts w:ascii="Arial" w:hAnsi="Arial" w:cs="Arial"/>
          <w:b/>
          <w:bCs/>
          <w:sz w:val="22"/>
          <w:szCs w:val="22"/>
        </w:rPr>
        <w:t>Bolivia</w:t>
      </w:r>
      <w:r w:rsidRPr="00B14BD0">
        <w:rPr>
          <w:rFonts w:ascii="Arial" w:hAnsi="Arial" w:cs="Arial"/>
          <w:b/>
          <w:sz w:val="22"/>
          <w:szCs w:val="22"/>
        </w:rPr>
        <w:t xml:space="preserve">, </w:t>
      </w:r>
      <w:r w:rsidRPr="00B14BD0">
        <w:rPr>
          <w:rFonts w:ascii="Arial" w:hAnsi="Arial" w:cs="Arial"/>
          <w:b/>
          <w:bCs/>
          <w:sz w:val="22"/>
          <w:szCs w:val="22"/>
        </w:rPr>
        <w:t>Camerun</w:t>
      </w:r>
      <w:r w:rsidRPr="00B14BD0">
        <w:rPr>
          <w:rFonts w:ascii="Arial" w:hAnsi="Arial" w:cs="Arial"/>
          <w:b/>
          <w:sz w:val="22"/>
          <w:szCs w:val="22"/>
        </w:rPr>
        <w:t xml:space="preserve">, Etiopia, Gabon, India, Messico, </w:t>
      </w:r>
      <w:r w:rsidRPr="00B14BD0">
        <w:rPr>
          <w:rFonts w:ascii="Arial" w:hAnsi="Arial" w:cs="Arial"/>
          <w:b/>
          <w:bCs/>
          <w:sz w:val="22"/>
          <w:szCs w:val="22"/>
        </w:rPr>
        <w:t>Perù, Repubblica Democratica del Congo</w:t>
      </w:r>
      <w:r w:rsidRPr="00B14BD0">
        <w:rPr>
          <w:rFonts w:ascii="Arial" w:hAnsi="Arial" w:cs="Arial"/>
          <w:b/>
          <w:sz w:val="22"/>
          <w:szCs w:val="22"/>
        </w:rPr>
        <w:t>, Tanzania Terra Santa e Uganda</w:t>
      </w:r>
      <w:r w:rsidRPr="004748A3">
        <w:rPr>
          <w:rFonts w:ascii="Arial" w:hAnsi="Arial" w:cs="Arial"/>
          <w:sz w:val="22"/>
          <w:szCs w:val="22"/>
        </w:rPr>
        <w:t>.</w:t>
      </w: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  <w:r w:rsidRPr="001507F5">
        <w:rPr>
          <w:rFonts w:ascii="Arial" w:hAnsi="Arial" w:cs="Arial"/>
          <w:sz w:val="22"/>
          <w:szCs w:val="22"/>
        </w:rPr>
        <w:t xml:space="preserve">Per gli studenti iscritti alle facoltà di Psicologia o Scienze della Formazione sono previste destinazioni presso opere sociali come centri per la diagnosi precoce e riabilitazione di bambini con ritardo mentale, problemi nello sviluppo motorio, del linguaggio, cognitivo-comportamentale e sordità congenita in Bolivia presso la </w:t>
      </w:r>
      <w:proofErr w:type="spellStart"/>
      <w:r w:rsidRPr="001507F5">
        <w:rPr>
          <w:rFonts w:ascii="Arial" w:hAnsi="Arial" w:cs="Arial"/>
          <w:sz w:val="22"/>
          <w:szCs w:val="22"/>
        </w:rPr>
        <w:t>Fundación</w:t>
      </w:r>
      <w:proofErr w:type="spellEnd"/>
      <w:r w:rsidRPr="001507F5">
        <w:rPr>
          <w:rFonts w:ascii="Arial" w:hAnsi="Arial" w:cs="Arial"/>
          <w:sz w:val="22"/>
          <w:szCs w:val="22"/>
        </w:rPr>
        <w:t xml:space="preserve"> Mario Parma, a La Paz.</w:t>
      </w: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  <w:r w:rsidRPr="001507F5">
        <w:rPr>
          <w:rFonts w:ascii="Arial" w:hAnsi="Arial" w:cs="Arial"/>
          <w:sz w:val="22"/>
          <w:szCs w:val="22"/>
        </w:rPr>
        <w:t xml:space="preserve">Per la facoltà di Scienze politiche e sociali è previsto un periodo di assistenza presso il Centre de Promotion Sociale (CPS), sede principale del COE in Camerun che ha lo scopo di promuovere lo sviluppo umano, culturale e spirituale della popolazione locale, finalizzato al miglioramento delle condizioni di vita dei detenuti e alla promozione dei diritti dell’uomo. </w:t>
      </w: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  <w:r w:rsidRPr="001507F5">
        <w:rPr>
          <w:rFonts w:ascii="Arial" w:hAnsi="Arial" w:cs="Arial"/>
          <w:sz w:val="22"/>
          <w:szCs w:val="22"/>
        </w:rPr>
        <w:t>Per quanto riguarda Scienze agrarie, alimentari e ambientali è previsto un soggiorno presso l’</w:t>
      </w:r>
      <w:proofErr w:type="spellStart"/>
      <w:r w:rsidRPr="001507F5">
        <w:rPr>
          <w:rFonts w:ascii="Arial" w:hAnsi="Arial" w:cs="Arial"/>
          <w:sz w:val="22"/>
          <w:szCs w:val="22"/>
        </w:rPr>
        <w:t>Universidad</w:t>
      </w:r>
      <w:proofErr w:type="spellEnd"/>
      <w:r w:rsidRPr="001507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7F5">
        <w:rPr>
          <w:rFonts w:ascii="Arial" w:hAnsi="Arial" w:cs="Arial"/>
          <w:sz w:val="22"/>
          <w:szCs w:val="22"/>
        </w:rPr>
        <w:t>Católica</w:t>
      </w:r>
      <w:proofErr w:type="spellEnd"/>
      <w:r w:rsidRPr="001507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7F5">
        <w:rPr>
          <w:rFonts w:ascii="Arial" w:hAnsi="Arial" w:cs="Arial"/>
          <w:sz w:val="22"/>
          <w:szCs w:val="22"/>
        </w:rPr>
        <w:t>Sedes</w:t>
      </w:r>
      <w:proofErr w:type="spellEnd"/>
      <w:r w:rsidRPr="001507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07F5">
        <w:rPr>
          <w:rFonts w:ascii="Arial" w:hAnsi="Arial" w:cs="Arial"/>
          <w:sz w:val="22"/>
          <w:szCs w:val="22"/>
        </w:rPr>
        <w:t>Sapientiae</w:t>
      </w:r>
      <w:proofErr w:type="spellEnd"/>
      <w:r w:rsidRPr="001507F5">
        <w:rPr>
          <w:rFonts w:ascii="Arial" w:hAnsi="Arial" w:cs="Arial"/>
          <w:sz w:val="22"/>
          <w:szCs w:val="22"/>
        </w:rPr>
        <w:t xml:space="preserve"> di Lima all’interno della facoltà di Ingegneria agraria con lo scopo di rispondere alle esigenze di un contesto globalizzato e di soddisfare il crescente sviluppo dell’agricoltura nel Perù. </w:t>
      </w: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  <w:r w:rsidRPr="001507F5">
        <w:rPr>
          <w:rFonts w:ascii="Arial" w:hAnsi="Arial" w:cs="Arial"/>
          <w:sz w:val="22"/>
          <w:szCs w:val="22"/>
        </w:rPr>
        <w:t>Infine, gli iscritti alla facoltà di Medicina e Chirurgia affiancheranno i m</w:t>
      </w:r>
      <w:r w:rsidR="00A22F94">
        <w:rPr>
          <w:rFonts w:ascii="Arial" w:hAnsi="Arial" w:cs="Arial"/>
          <w:sz w:val="22"/>
          <w:szCs w:val="22"/>
        </w:rPr>
        <w:t xml:space="preserve">edici nell’attività ambulatoriale </w:t>
      </w:r>
      <w:r w:rsidRPr="001507F5">
        <w:rPr>
          <w:rFonts w:ascii="Arial" w:hAnsi="Arial" w:cs="Arial"/>
          <w:sz w:val="22"/>
          <w:szCs w:val="22"/>
        </w:rPr>
        <w:t xml:space="preserve">presso il Consolata Hospital </w:t>
      </w:r>
      <w:proofErr w:type="spellStart"/>
      <w:r w:rsidRPr="001507F5">
        <w:rPr>
          <w:rFonts w:ascii="Arial" w:hAnsi="Arial" w:cs="Arial"/>
          <w:sz w:val="22"/>
          <w:szCs w:val="22"/>
        </w:rPr>
        <w:t>Ikonda</w:t>
      </w:r>
      <w:proofErr w:type="spellEnd"/>
      <w:r w:rsidR="00A22F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2F94">
        <w:rPr>
          <w:rFonts w:ascii="Arial" w:hAnsi="Arial" w:cs="Arial"/>
          <w:sz w:val="22"/>
          <w:szCs w:val="22"/>
        </w:rPr>
        <w:t>inn</w:t>
      </w:r>
      <w:proofErr w:type="spellEnd"/>
      <w:r w:rsidR="00A22F94">
        <w:rPr>
          <w:rFonts w:ascii="Arial" w:hAnsi="Arial" w:cs="Arial"/>
          <w:sz w:val="22"/>
          <w:szCs w:val="22"/>
        </w:rPr>
        <w:t xml:space="preserve"> Tanzania</w:t>
      </w:r>
      <w:r w:rsidRPr="001507F5">
        <w:rPr>
          <w:rFonts w:ascii="Arial" w:hAnsi="Arial" w:cs="Arial"/>
          <w:sz w:val="22"/>
          <w:szCs w:val="22"/>
        </w:rPr>
        <w:t xml:space="preserve">, per offrire assistenza sanitaria di base alla popolazione della zona e promuovere l’accesso alle cure da parte delle persone bisognose con particolare attenzione ai bambini, alle donne e alle persone affette da malattie croniche. </w:t>
      </w: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</w:p>
    <w:p w:rsidR="00A22F94" w:rsidRDefault="00A22F94" w:rsidP="00E31BA1">
      <w:pPr>
        <w:jc w:val="both"/>
        <w:rPr>
          <w:rFonts w:ascii="Arial" w:hAnsi="Arial" w:cs="Arial"/>
          <w:sz w:val="22"/>
          <w:szCs w:val="22"/>
        </w:rPr>
      </w:pPr>
    </w:p>
    <w:p w:rsidR="00E31BA1" w:rsidRDefault="00351C92" w:rsidP="00E31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il programma</w:t>
      </w:r>
      <w:r w:rsidRPr="00351C92">
        <w:rPr>
          <w:rFonts w:ascii="Arial" w:hAnsi="Arial" w:cs="Arial"/>
          <w:b/>
          <w:sz w:val="22"/>
          <w:szCs w:val="22"/>
        </w:rPr>
        <w:t xml:space="preserve"> International </w:t>
      </w:r>
      <w:proofErr w:type="spellStart"/>
      <w:r w:rsidRPr="00351C92">
        <w:rPr>
          <w:rFonts w:ascii="Arial" w:hAnsi="Arial" w:cs="Arial"/>
          <w:b/>
          <w:sz w:val="22"/>
          <w:szCs w:val="22"/>
        </w:rPr>
        <w:t>Volunteering</w:t>
      </w:r>
      <w:proofErr w:type="spellEnd"/>
      <w:r w:rsidRPr="00351C9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="001507F5" w:rsidRPr="001507F5">
        <w:rPr>
          <w:rFonts w:ascii="Arial" w:hAnsi="Arial" w:cs="Arial"/>
          <w:sz w:val="22"/>
          <w:szCs w:val="22"/>
        </w:rPr>
        <w:t>’Università Cattolica</w:t>
      </w:r>
      <w:r w:rsidR="00E52BF5">
        <w:rPr>
          <w:rFonts w:ascii="Arial" w:hAnsi="Arial" w:cs="Arial"/>
          <w:sz w:val="22"/>
          <w:szCs w:val="22"/>
        </w:rPr>
        <w:t xml:space="preserve"> </w:t>
      </w:r>
      <w:r w:rsidR="00E31BA1">
        <w:rPr>
          <w:rFonts w:ascii="Arial" w:hAnsi="Arial" w:cs="Arial"/>
          <w:sz w:val="22"/>
          <w:szCs w:val="22"/>
        </w:rPr>
        <w:t xml:space="preserve">promuove </w:t>
      </w:r>
      <w:r>
        <w:rPr>
          <w:rFonts w:ascii="Arial" w:hAnsi="Arial" w:cs="Arial"/>
          <w:sz w:val="22"/>
          <w:szCs w:val="22"/>
        </w:rPr>
        <w:t>l</w:t>
      </w:r>
      <w:r w:rsidR="00E31BA1">
        <w:rPr>
          <w:rFonts w:ascii="Arial" w:hAnsi="Arial" w:cs="Arial"/>
          <w:sz w:val="22"/>
          <w:szCs w:val="22"/>
        </w:rPr>
        <w:t>’opportunità di coniugare il settore specifico di intervento dell’esperienza di volontariato (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Childcare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Orphanage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Assistance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, Community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Development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Environmental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Conservation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Health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Education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Special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Education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Sustainable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Agriculture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Teaching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Wildlife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Conservation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Women's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Development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Youth</w:t>
      </w:r>
      <w:proofErr w:type="spellEnd"/>
      <w:r w:rsidR="00E31BA1" w:rsidRPr="00E52BF5">
        <w:rPr>
          <w:rFonts w:ascii="Arial" w:hAnsi="Arial" w:cs="Arial"/>
          <w:sz w:val="22"/>
          <w:szCs w:val="22"/>
        </w:rPr>
        <w:t xml:space="preserve"> Sport </w:t>
      </w:r>
      <w:proofErr w:type="spellStart"/>
      <w:r w:rsidR="00E31BA1" w:rsidRPr="00E52BF5">
        <w:rPr>
          <w:rFonts w:ascii="Arial" w:hAnsi="Arial" w:cs="Arial"/>
          <w:sz w:val="22"/>
          <w:szCs w:val="22"/>
        </w:rPr>
        <w:t>Coaching</w:t>
      </w:r>
      <w:proofErr w:type="spellEnd"/>
      <w:r w:rsidR="00E31BA1">
        <w:rPr>
          <w:rFonts w:ascii="Arial" w:hAnsi="Arial" w:cs="Arial"/>
          <w:sz w:val="22"/>
          <w:szCs w:val="22"/>
        </w:rPr>
        <w:t>) con le varie destinazioni possibili (</w:t>
      </w:r>
      <w:r w:rsidR="00E31BA1">
        <w:rPr>
          <w:rFonts w:ascii="Arial" w:hAnsi="Arial" w:cs="Arial"/>
          <w:b/>
          <w:sz w:val="22"/>
          <w:szCs w:val="22"/>
        </w:rPr>
        <w:t>Ar</w:t>
      </w:r>
      <w:r w:rsidR="00E31BA1" w:rsidRPr="001507F5">
        <w:rPr>
          <w:rFonts w:ascii="Arial" w:hAnsi="Arial" w:cs="Arial"/>
          <w:b/>
          <w:sz w:val="22"/>
          <w:szCs w:val="22"/>
        </w:rPr>
        <w:t xml:space="preserve">gentina, Brasile, Costa Rica, Ecuador, Ghana, Guatemala, India, Sri Lanka, Tanzania, Tailandia e </w:t>
      </w:r>
      <w:r w:rsidR="00E31BA1" w:rsidRPr="001507F5">
        <w:rPr>
          <w:rFonts w:ascii="Arial" w:hAnsi="Arial" w:cs="Arial"/>
          <w:b/>
          <w:sz w:val="22"/>
          <w:szCs w:val="22"/>
        </w:rPr>
        <w:lastRenderedPageBreak/>
        <w:t>Vietnam</w:t>
      </w:r>
      <w:r w:rsidR="00E31BA1">
        <w:rPr>
          <w:rFonts w:ascii="Arial" w:hAnsi="Arial" w:cs="Arial"/>
          <w:b/>
          <w:sz w:val="22"/>
          <w:szCs w:val="22"/>
        </w:rPr>
        <w:t>)</w:t>
      </w:r>
      <w:r w:rsidR="00E31BA1">
        <w:rPr>
          <w:rFonts w:ascii="Arial" w:hAnsi="Arial" w:cs="Arial"/>
          <w:sz w:val="22"/>
          <w:szCs w:val="22"/>
        </w:rPr>
        <w:t>, indipendentemente dalla Facoltà di appartenenza.</w:t>
      </w:r>
      <w:r w:rsidR="00E849B7">
        <w:rPr>
          <w:rFonts w:ascii="Arial" w:hAnsi="Arial" w:cs="Arial"/>
          <w:sz w:val="22"/>
          <w:szCs w:val="22"/>
        </w:rPr>
        <w:t xml:space="preserve"> Il programma offre a 37 </w:t>
      </w:r>
      <w:r>
        <w:rPr>
          <w:rFonts w:ascii="Arial" w:hAnsi="Arial" w:cs="Arial"/>
          <w:sz w:val="22"/>
          <w:szCs w:val="22"/>
        </w:rPr>
        <w:t xml:space="preserve">studenti borse di studio parziali a copertura delle spese. </w:t>
      </w:r>
      <w:r w:rsidR="00E31BA1">
        <w:rPr>
          <w:rFonts w:ascii="Arial" w:hAnsi="Arial" w:cs="Arial"/>
          <w:sz w:val="22"/>
          <w:szCs w:val="22"/>
        </w:rPr>
        <w:tab/>
        <w:t xml:space="preserve"> </w:t>
      </w:r>
    </w:p>
    <w:p w:rsidR="00E31BA1" w:rsidRDefault="00E31BA1" w:rsidP="00E31BA1">
      <w:pPr>
        <w:jc w:val="both"/>
        <w:rPr>
          <w:rFonts w:ascii="Arial" w:hAnsi="Arial" w:cs="Arial"/>
          <w:sz w:val="22"/>
          <w:szCs w:val="22"/>
        </w:rPr>
      </w:pPr>
    </w:p>
    <w:p w:rsidR="00E31BA1" w:rsidRDefault="00E31BA1" w:rsidP="00E31BA1">
      <w:pPr>
        <w:jc w:val="both"/>
        <w:rPr>
          <w:rFonts w:ascii="Arial" w:hAnsi="Arial" w:cs="Arial"/>
          <w:sz w:val="22"/>
          <w:szCs w:val="22"/>
        </w:rPr>
      </w:pPr>
    </w:p>
    <w:p w:rsidR="001507F5" w:rsidRPr="001507F5" w:rsidRDefault="00172E67" w:rsidP="00E31BA1">
      <w:pPr>
        <w:jc w:val="both"/>
        <w:rPr>
          <w:rFonts w:ascii="Arial" w:hAnsi="Arial" w:cs="Arial"/>
          <w:sz w:val="22"/>
          <w:szCs w:val="22"/>
        </w:rPr>
      </w:pPr>
      <w:r w:rsidRPr="00172E67">
        <w:rPr>
          <w:rFonts w:ascii="Arial" w:hAnsi="Arial" w:cs="Arial"/>
          <w:sz w:val="22"/>
          <w:szCs w:val="22"/>
        </w:rPr>
        <w:t>Infine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07F5" w:rsidRPr="001507F5">
        <w:rPr>
          <w:rFonts w:ascii="Arial" w:hAnsi="Arial" w:cs="Arial"/>
          <w:b/>
          <w:sz w:val="22"/>
          <w:szCs w:val="22"/>
        </w:rPr>
        <w:t>Mission</w:t>
      </w:r>
      <w:proofErr w:type="spellEnd"/>
      <w:r w:rsidR="001507F5" w:rsidRPr="001507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507F5" w:rsidRPr="001507F5">
        <w:rPr>
          <w:rFonts w:ascii="Arial" w:hAnsi="Arial" w:cs="Arial"/>
          <w:b/>
          <w:sz w:val="22"/>
          <w:szCs w:val="22"/>
        </w:rPr>
        <w:t>Exposure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172E67">
        <w:rPr>
          <w:rFonts w:ascii="Arial" w:hAnsi="Arial" w:cs="Arial"/>
          <w:sz w:val="22"/>
          <w:szCs w:val="22"/>
        </w:rPr>
        <w:t>- i</w:t>
      </w:r>
      <w:r w:rsidRPr="001507F5">
        <w:rPr>
          <w:rFonts w:ascii="Arial" w:hAnsi="Arial" w:cs="Arial"/>
          <w:sz w:val="22"/>
          <w:szCs w:val="22"/>
        </w:rPr>
        <w:t xml:space="preserve">deato dal Centro Pastorale e dal </w:t>
      </w:r>
      <w:proofErr w:type="spellStart"/>
      <w:r w:rsidRPr="001507F5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si</w:t>
      </w:r>
      <w:r w:rsidRPr="001507F5">
        <w:rPr>
          <w:rFonts w:ascii="Arial" w:hAnsi="Arial" w:cs="Arial"/>
          <w:sz w:val="22"/>
          <w:szCs w:val="22"/>
        </w:rPr>
        <w:t>I</w:t>
      </w:r>
      <w:proofErr w:type="spellEnd"/>
      <w:r w:rsidRPr="001507F5">
        <w:rPr>
          <w:rFonts w:ascii="Arial" w:hAnsi="Arial" w:cs="Arial"/>
          <w:sz w:val="22"/>
          <w:szCs w:val="22"/>
        </w:rPr>
        <w:t>, in collaborazione con il PIME</w:t>
      </w:r>
      <w:r>
        <w:rPr>
          <w:rFonts w:ascii="Arial" w:hAnsi="Arial" w:cs="Arial"/>
          <w:sz w:val="22"/>
          <w:szCs w:val="22"/>
        </w:rPr>
        <w:t xml:space="preserve"> -</w:t>
      </w:r>
      <w:r w:rsidR="001507F5" w:rsidRPr="001507F5">
        <w:rPr>
          <w:rFonts w:ascii="Arial" w:hAnsi="Arial" w:cs="Arial"/>
          <w:sz w:val="22"/>
          <w:szCs w:val="22"/>
        </w:rPr>
        <w:t xml:space="preserve"> offre</w:t>
      </w:r>
      <w:r w:rsidR="00E849B7">
        <w:rPr>
          <w:rFonts w:ascii="Arial" w:hAnsi="Arial" w:cs="Arial"/>
          <w:sz w:val="22"/>
          <w:szCs w:val="22"/>
        </w:rPr>
        <w:t xml:space="preserve"> un’esperienza di missione a un totale di 10 </w:t>
      </w:r>
      <w:r w:rsidR="001507F5" w:rsidRPr="001507F5">
        <w:rPr>
          <w:rFonts w:ascii="Arial" w:hAnsi="Arial" w:cs="Arial"/>
          <w:sz w:val="22"/>
          <w:szCs w:val="22"/>
        </w:rPr>
        <w:t xml:space="preserve">studenti delle facoltà di Economia, Psicologia, Scienze della formazione e Scienze politiche e sociali del campus di Milano. </w:t>
      </w:r>
      <w:r w:rsidR="001507F5" w:rsidRPr="00A144EC">
        <w:rPr>
          <w:rFonts w:ascii="Arial" w:hAnsi="Arial" w:cs="Arial"/>
          <w:sz w:val="22"/>
          <w:szCs w:val="22"/>
        </w:rPr>
        <w:t xml:space="preserve">Sono </w:t>
      </w:r>
      <w:r w:rsidR="001507F5" w:rsidRPr="00A144EC">
        <w:rPr>
          <w:rFonts w:ascii="Arial" w:hAnsi="Arial" w:cs="Arial"/>
          <w:b/>
          <w:sz w:val="22"/>
          <w:szCs w:val="22"/>
        </w:rPr>
        <w:t>circa 100 gli studenti che negli ultimi sei anni</w:t>
      </w:r>
      <w:r w:rsidR="001507F5" w:rsidRPr="001507F5">
        <w:rPr>
          <w:rFonts w:ascii="Arial" w:hAnsi="Arial" w:cs="Arial"/>
          <w:sz w:val="22"/>
          <w:szCs w:val="22"/>
        </w:rPr>
        <w:t xml:space="preserve"> hanno vissuto questo tipo di esperienza.</w:t>
      </w:r>
      <w:r w:rsidR="001507F5">
        <w:rPr>
          <w:rFonts w:ascii="Arial" w:hAnsi="Arial" w:cs="Arial"/>
          <w:sz w:val="22"/>
          <w:szCs w:val="22"/>
        </w:rPr>
        <w:t xml:space="preserve"> Quest’anno i p</w:t>
      </w:r>
      <w:r w:rsidR="00A144EC">
        <w:rPr>
          <w:rFonts w:ascii="Arial" w:hAnsi="Arial" w:cs="Arial"/>
          <w:sz w:val="22"/>
          <w:szCs w:val="22"/>
        </w:rPr>
        <w:t>aesi coinvolti</w:t>
      </w:r>
      <w:r w:rsidR="001507F5" w:rsidRPr="001507F5">
        <w:rPr>
          <w:rFonts w:ascii="Arial" w:hAnsi="Arial" w:cs="Arial"/>
          <w:sz w:val="22"/>
          <w:szCs w:val="22"/>
        </w:rPr>
        <w:t xml:space="preserve"> sono </w:t>
      </w:r>
      <w:r w:rsidR="001507F5" w:rsidRPr="001507F5">
        <w:rPr>
          <w:rFonts w:ascii="Arial" w:hAnsi="Arial" w:cs="Arial"/>
          <w:b/>
          <w:sz w:val="22"/>
          <w:szCs w:val="22"/>
        </w:rPr>
        <w:t>Bangladesh, Brasile, Burkina Faso, Cina, Colombia, Filippine, India, Mozambico, Perù, Territori Palestinesi</w:t>
      </w:r>
      <w:r w:rsidR="001507F5" w:rsidRPr="001507F5">
        <w:rPr>
          <w:rFonts w:ascii="Arial" w:hAnsi="Arial" w:cs="Arial"/>
          <w:sz w:val="22"/>
          <w:szCs w:val="22"/>
        </w:rPr>
        <w:t>.</w:t>
      </w:r>
    </w:p>
    <w:p w:rsidR="001507F5" w:rsidRPr="001507F5" w:rsidRDefault="001507F5" w:rsidP="001507F5">
      <w:pPr>
        <w:jc w:val="both"/>
        <w:rPr>
          <w:rFonts w:ascii="Arial" w:hAnsi="Arial" w:cs="Arial"/>
          <w:sz w:val="22"/>
          <w:szCs w:val="22"/>
        </w:rPr>
      </w:pPr>
    </w:p>
    <w:p w:rsidR="00D9062A" w:rsidRPr="001507F5" w:rsidRDefault="00D9062A" w:rsidP="00D9062A">
      <w:pPr>
        <w:jc w:val="both"/>
        <w:rPr>
          <w:rFonts w:ascii="Arial" w:hAnsi="Arial" w:cs="Arial"/>
          <w:sz w:val="22"/>
          <w:szCs w:val="22"/>
        </w:rPr>
      </w:pPr>
      <w:r w:rsidRPr="001507F5">
        <w:rPr>
          <w:rFonts w:ascii="Arial" w:hAnsi="Arial" w:cs="Arial"/>
          <w:sz w:val="22"/>
          <w:szCs w:val="22"/>
        </w:rPr>
        <w:t>«</w:t>
      </w:r>
      <w:r w:rsidRPr="001507F5">
        <w:rPr>
          <w:rFonts w:ascii="Arial" w:hAnsi="Arial" w:cs="Arial"/>
          <w:i/>
          <w:sz w:val="22"/>
          <w:szCs w:val="22"/>
        </w:rPr>
        <w:t xml:space="preserve">Il </w:t>
      </w:r>
      <w:r>
        <w:rPr>
          <w:rFonts w:ascii="Arial" w:hAnsi="Arial" w:cs="Arial"/>
          <w:i/>
          <w:iCs/>
          <w:sz w:val="22"/>
          <w:szCs w:val="22"/>
        </w:rPr>
        <w:t>Volontariato internazionale</w:t>
      </w:r>
      <w:r w:rsidRPr="001507F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dà</w:t>
      </w:r>
      <w:r w:rsidRPr="001507F5">
        <w:rPr>
          <w:rFonts w:ascii="Arial" w:hAnsi="Arial" w:cs="Arial"/>
          <w:i/>
          <w:sz w:val="22"/>
          <w:szCs w:val="22"/>
        </w:rPr>
        <w:t xml:space="preserve"> agli studenti la possibilità di fare nuove esperienze utili per operare in qualsiasi ambito, grazie a due fattori: le capacità acquisite, a seguito di attività svolte in contesti internazionali complessi, e l’educazione umana ricevuta, proprio in virtù del confronto con diverse realtà. Solidarietà, lavoro di squadra e flessibilità nell’affrontare situazioni di ogni tipo sono attitudini sempre più ricercate nel mondo del lavoro</w:t>
      </w:r>
      <w:r w:rsidRPr="001507F5">
        <w:rPr>
          <w:rFonts w:ascii="Arial" w:hAnsi="Arial" w:cs="Arial"/>
          <w:sz w:val="22"/>
          <w:szCs w:val="22"/>
        </w:rPr>
        <w:t xml:space="preserve">», dichiara </w:t>
      </w:r>
      <w:r w:rsidRPr="001507F5">
        <w:rPr>
          <w:rFonts w:ascii="Arial" w:hAnsi="Arial" w:cs="Arial"/>
          <w:b/>
          <w:bCs/>
          <w:sz w:val="22"/>
          <w:szCs w:val="22"/>
        </w:rPr>
        <w:t>Pier Sandro Cocconcelli</w:t>
      </w:r>
      <w:r w:rsidRPr="001507F5">
        <w:rPr>
          <w:rFonts w:ascii="Arial" w:hAnsi="Arial" w:cs="Arial"/>
          <w:sz w:val="22"/>
          <w:szCs w:val="22"/>
        </w:rPr>
        <w:t>, delegato del Rettore per l’Internazionalizzazione.</w:t>
      </w:r>
    </w:p>
    <w:p w:rsidR="00D9062A" w:rsidRPr="001507F5" w:rsidRDefault="00D9062A" w:rsidP="001507F5">
      <w:pPr>
        <w:jc w:val="both"/>
        <w:rPr>
          <w:rFonts w:ascii="Arial" w:hAnsi="Arial" w:cs="Arial"/>
          <w:sz w:val="22"/>
          <w:szCs w:val="22"/>
        </w:rPr>
      </w:pPr>
    </w:p>
    <w:p w:rsidR="003A7055" w:rsidRPr="001507F5" w:rsidRDefault="003A7055" w:rsidP="001507F5">
      <w:pPr>
        <w:jc w:val="both"/>
        <w:rPr>
          <w:rFonts w:ascii="Garamond" w:hAnsi="Garamond"/>
          <w:sz w:val="22"/>
          <w:szCs w:val="22"/>
        </w:rPr>
      </w:pPr>
    </w:p>
    <w:p w:rsidR="003A7055" w:rsidRDefault="003A7055" w:rsidP="003A7055">
      <w:pPr>
        <w:jc w:val="both"/>
        <w:rPr>
          <w:rFonts w:ascii="Garamond" w:hAnsi="Garamond"/>
          <w:sz w:val="22"/>
          <w:szCs w:val="22"/>
        </w:rPr>
      </w:pPr>
    </w:p>
    <w:p w:rsidR="003A7055" w:rsidRPr="001507F5" w:rsidRDefault="003A7055" w:rsidP="003A7055">
      <w:pPr>
        <w:pStyle w:val="Paragrafobase"/>
        <w:suppressAutoHyphens/>
        <w:jc w:val="both"/>
        <w:rPr>
          <w:rFonts w:ascii="Arial" w:hAnsi="Arial" w:cs="Arial"/>
          <w:sz w:val="20"/>
          <w:szCs w:val="20"/>
        </w:rPr>
      </w:pPr>
      <w:r w:rsidRPr="001507F5">
        <w:rPr>
          <w:rFonts w:ascii="Arial" w:hAnsi="Arial" w:cs="Arial"/>
          <w:b/>
          <w:bCs/>
          <w:sz w:val="20"/>
          <w:szCs w:val="20"/>
        </w:rPr>
        <w:t xml:space="preserve">Ufficio stampa Milano: </w:t>
      </w:r>
      <w:r w:rsidRPr="001507F5">
        <w:rPr>
          <w:rFonts w:ascii="Arial" w:hAnsi="Arial" w:cs="Arial"/>
          <w:sz w:val="20"/>
          <w:szCs w:val="20"/>
        </w:rPr>
        <w:t>ufficio.stampa-mi@unicatt.it - tel. 02 72342307</w:t>
      </w:r>
    </w:p>
    <w:p w:rsidR="003A7055" w:rsidRPr="001507F5" w:rsidRDefault="003A7055" w:rsidP="003A7055">
      <w:pPr>
        <w:pStyle w:val="Paragrafobase"/>
        <w:suppressAutoHyphens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507F5">
        <w:rPr>
          <w:rFonts w:ascii="Arial" w:hAnsi="Arial" w:cs="Arial"/>
          <w:b/>
          <w:bCs/>
          <w:sz w:val="20"/>
          <w:szCs w:val="20"/>
          <w:lang w:val="en-US"/>
        </w:rPr>
        <w:t>Referente</w:t>
      </w:r>
      <w:proofErr w:type="spellEnd"/>
      <w:r w:rsidRPr="001507F5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 w:rsidR="0056409A" w:rsidRPr="001507F5">
        <w:rPr>
          <w:rFonts w:ascii="Arial" w:hAnsi="Arial" w:cs="Arial"/>
          <w:b/>
          <w:bCs/>
          <w:sz w:val="20"/>
          <w:szCs w:val="20"/>
          <w:lang w:val="en-US"/>
        </w:rPr>
        <w:t>Katia</w:t>
      </w:r>
      <w:proofErr w:type="spellEnd"/>
      <w:r w:rsidR="0056409A" w:rsidRPr="001507F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56409A" w:rsidRPr="001507F5">
        <w:rPr>
          <w:rFonts w:ascii="Arial" w:hAnsi="Arial" w:cs="Arial"/>
          <w:b/>
          <w:bCs/>
          <w:sz w:val="20"/>
          <w:szCs w:val="20"/>
          <w:lang w:val="en-US"/>
        </w:rPr>
        <w:t>Biondi</w:t>
      </w:r>
      <w:proofErr w:type="spellEnd"/>
      <w:r w:rsidRPr="001507F5">
        <w:rPr>
          <w:rFonts w:ascii="Arial" w:hAnsi="Arial" w:cs="Arial"/>
          <w:sz w:val="20"/>
          <w:szCs w:val="20"/>
          <w:lang w:val="en-US"/>
        </w:rPr>
        <w:t xml:space="preserve"> - cell. 335 </w:t>
      </w:r>
      <w:r w:rsidR="0056409A" w:rsidRPr="001507F5">
        <w:rPr>
          <w:rFonts w:ascii="Arial" w:hAnsi="Arial" w:cs="Arial"/>
          <w:sz w:val="20"/>
          <w:szCs w:val="20"/>
          <w:lang w:val="en-US"/>
        </w:rPr>
        <w:t>1376604</w:t>
      </w:r>
    </w:p>
    <w:p w:rsidR="00A45255" w:rsidRPr="001507F5" w:rsidRDefault="003A7055" w:rsidP="001C692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507F5">
        <w:rPr>
          <w:rFonts w:ascii="Arial" w:hAnsi="Arial" w:cs="Arial"/>
          <w:b/>
          <w:bCs/>
          <w:sz w:val="20"/>
          <w:szCs w:val="20"/>
          <w:lang w:val="en-US"/>
        </w:rPr>
        <w:t xml:space="preserve">Area </w:t>
      </w:r>
      <w:proofErr w:type="spellStart"/>
      <w:r w:rsidRPr="001507F5">
        <w:rPr>
          <w:rFonts w:ascii="Arial" w:hAnsi="Arial" w:cs="Arial"/>
          <w:b/>
          <w:bCs/>
          <w:sz w:val="20"/>
          <w:szCs w:val="20"/>
          <w:lang w:val="en-US"/>
        </w:rPr>
        <w:t>stampa</w:t>
      </w:r>
      <w:proofErr w:type="spellEnd"/>
      <w:r w:rsidRPr="001507F5">
        <w:rPr>
          <w:rFonts w:ascii="Arial" w:hAnsi="Arial" w:cs="Arial"/>
          <w:b/>
          <w:bCs/>
          <w:sz w:val="20"/>
          <w:szCs w:val="20"/>
          <w:lang w:val="en-US"/>
        </w:rPr>
        <w:t xml:space="preserve"> online: </w:t>
      </w:r>
      <w:r w:rsidRPr="001507F5">
        <w:rPr>
          <w:rFonts w:ascii="Arial" w:hAnsi="Arial" w:cs="Arial"/>
          <w:sz w:val="20"/>
          <w:szCs w:val="20"/>
          <w:lang w:val="en-US"/>
        </w:rPr>
        <w:t>http://areastampa.unicatt.it</w:t>
      </w:r>
    </w:p>
    <w:p w:rsidR="003A7055" w:rsidRDefault="003A7055">
      <w:pPr>
        <w:rPr>
          <w:rFonts w:ascii="Arial" w:hAnsi="Arial" w:cs="Arial"/>
          <w:sz w:val="20"/>
          <w:szCs w:val="20"/>
          <w:lang w:val="en-US"/>
        </w:rPr>
      </w:pPr>
    </w:p>
    <w:p w:rsidR="006C1F19" w:rsidRDefault="006C1F19">
      <w:pPr>
        <w:rPr>
          <w:rFonts w:ascii="Arial" w:hAnsi="Arial" w:cs="Arial"/>
          <w:sz w:val="20"/>
          <w:szCs w:val="20"/>
          <w:lang w:val="en-US"/>
        </w:rPr>
      </w:pPr>
    </w:p>
    <w:p w:rsidR="006C1F19" w:rsidRPr="006C1F19" w:rsidRDefault="006C1F19" w:rsidP="006C1F19">
      <w:pPr>
        <w:pStyle w:val="Paragrafoelenco"/>
        <w:rPr>
          <w:rFonts w:ascii="Arial" w:hAnsi="Arial" w:cs="Arial"/>
          <w:sz w:val="20"/>
          <w:szCs w:val="20"/>
        </w:rPr>
      </w:pPr>
    </w:p>
    <w:sectPr w:rsidR="006C1F19" w:rsidRPr="006C1F19" w:rsidSect="00A45255">
      <w:headerReference w:type="default" r:id="rId8"/>
      <w:headerReference w:type="first" r:id="rId9"/>
      <w:pgSz w:w="11906" w:h="16838" w:code="9"/>
      <w:pgMar w:top="3289" w:right="1985" w:bottom="2268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C09" w:rsidRDefault="00CC2C09">
      <w:r>
        <w:separator/>
      </w:r>
    </w:p>
  </w:endnote>
  <w:endnote w:type="continuationSeparator" w:id="0">
    <w:p w:rsidR="00CC2C09" w:rsidRDefault="00CC2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C09" w:rsidRDefault="00CC2C09">
      <w:r>
        <w:separator/>
      </w:r>
    </w:p>
  </w:footnote>
  <w:footnote w:type="continuationSeparator" w:id="0">
    <w:p w:rsidR="00CC2C09" w:rsidRDefault="00CC2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6B" w:rsidRDefault="00351C9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33" name="Immagine 33" descr="049680-Comunicato stampa fogli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049680-Comunicato stampa foglio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6B" w:rsidRDefault="00351C92">
    <w:pPr>
      <w:pStyle w:val="Intestazione"/>
      <w:ind w:left="-162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32" name="Immagine 32" descr="049680-Comunicato stampa fogli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049680-Comunicato stampa foglio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0A24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1344A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18123E3"/>
    <w:multiLevelType w:val="hybridMultilevel"/>
    <w:tmpl w:val="E2FC8686"/>
    <w:lvl w:ilvl="0" w:tplc="B3D2F04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3718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8AA4BA6"/>
    <w:multiLevelType w:val="hybridMultilevel"/>
    <w:tmpl w:val="C616B304"/>
    <w:lvl w:ilvl="0" w:tplc="003C6F1A"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141BAF"/>
    <w:multiLevelType w:val="hybridMultilevel"/>
    <w:tmpl w:val="884A254E"/>
    <w:lvl w:ilvl="0" w:tplc="543CE52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2B5F21"/>
    <w:multiLevelType w:val="hybridMultilevel"/>
    <w:tmpl w:val="C6289DC2"/>
    <w:lvl w:ilvl="0" w:tplc="66A05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ACE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5A8C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4F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EC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7E3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267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08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24AF8"/>
    <w:multiLevelType w:val="multilevel"/>
    <w:tmpl w:val="FFA4FDB2"/>
    <w:lvl w:ilvl="0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0E5CBE"/>
    <w:multiLevelType w:val="hybridMultilevel"/>
    <w:tmpl w:val="06984F96"/>
    <w:lvl w:ilvl="0" w:tplc="3C92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75872"/>
    <w:multiLevelType w:val="hybridMultilevel"/>
    <w:tmpl w:val="BD5AD822"/>
    <w:lvl w:ilvl="0" w:tplc="E4041A8C"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680C52"/>
    <w:multiLevelType w:val="hybridMultilevel"/>
    <w:tmpl w:val="B874AF48"/>
    <w:lvl w:ilvl="0" w:tplc="2452CB64">
      <w:numFmt w:val="bullet"/>
      <w:lvlText w:val="-"/>
      <w:lvlJc w:val="left"/>
      <w:pPr>
        <w:tabs>
          <w:tab w:val="num" w:pos="284"/>
        </w:tabs>
        <w:ind w:left="567" w:hanging="20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63946"/>
    <w:multiLevelType w:val="hybridMultilevel"/>
    <w:tmpl w:val="FFA4FDB2"/>
    <w:lvl w:ilvl="0" w:tplc="E89C518C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833D3E"/>
    <w:multiLevelType w:val="hybridMultilevel"/>
    <w:tmpl w:val="49E8BBE0"/>
    <w:lvl w:ilvl="0" w:tplc="9B5CB160"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6448FF"/>
    <w:multiLevelType w:val="multilevel"/>
    <w:tmpl w:val="884A254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54332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3D2115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9"/>
  </w:num>
  <w:num w:numId="5">
    <w:abstractNumId w:val="3"/>
  </w:num>
  <w:num w:numId="6">
    <w:abstractNumId w:val="2"/>
  </w:num>
  <w:num w:numId="7">
    <w:abstractNumId w:val="14"/>
  </w:num>
  <w:num w:numId="8">
    <w:abstractNumId w:val="11"/>
  </w:num>
  <w:num w:numId="9">
    <w:abstractNumId w:val="7"/>
  </w:num>
  <w:num w:numId="10">
    <w:abstractNumId w:val="12"/>
  </w:num>
  <w:num w:numId="11">
    <w:abstractNumId w:val="1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7410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511508"/>
    <w:rsid w:val="00097F30"/>
    <w:rsid w:val="000B1C68"/>
    <w:rsid w:val="000F4893"/>
    <w:rsid w:val="0011546A"/>
    <w:rsid w:val="001507F5"/>
    <w:rsid w:val="00172E67"/>
    <w:rsid w:val="001C692B"/>
    <w:rsid w:val="001D1C35"/>
    <w:rsid w:val="001F4F07"/>
    <w:rsid w:val="00274572"/>
    <w:rsid w:val="002A6C38"/>
    <w:rsid w:val="002C4E68"/>
    <w:rsid w:val="00351C92"/>
    <w:rsid w:val="003A7055"/>
    <w:rsid w:val="003B0AD7"/>
    <w:rsid w:val="003B2C51"/>
    <w:rsid w:val="003E5C5B"/>
    <w:rsid w:val="00427047"/>
    <w:rsid w:val="004748A3"/>
    <w:rsid w:val="00482085"/>
    <w:rsid w:val="004F11D4"/>
    <w:rsid w:val="004F3F1B"/>
    <w:rsid w:val="00511508"/>
    <w:rsid w:val="005611BF"/>
    <w:rsid w:val="0056409A"/>
    <w:rsid w:val="0058055E"/>
    <w:rsid w:val="005B7E50"/>
    <w:rsid w:val="00671E95"/>
    <w:rsid w:val="006802E5"/>
    <w:rsid w:val="00681743"/>
    <w:rsid w:val="00684FAE"/>
    <w:rsid w:val="006C1F19"/>
    <w:rsid w:val="006F28AF"/>
    <w:rsid w:val="006F388B"/>
    <w:rsid w:val="007F6A32"/>
    <w:rsid w:val="00823291"/>
    <w:rsid w:val="00834296"/>
    <w:rsid w:val="008A3F27"/>
    <w:rsid w:val="008F3F74"/>
    <w:rsid w:val="00984025"/>
    <w:rsid w:val="00A144EC"/>
    <w:rsid w:val="00A22F94"/>
    <w:rsid w:val="00A45255"/>
    <w:rsid w:val="00A61D16"/>
    <w:rsid w:val="00AC5E93"/>
    <w:rsid w:val="00B14BD0"/>
    <w:rsid w:val="00B3576D"/>
    <w:rsid w:val="00B47C53"/>
    <w:rsid w:val="00B53274"/>
    <w:rsid w:val="00B96D4C"/>
    <w:rsid w:val="00BA3527"/>
    <w:rsid w:val="00BA66F0"/>
    <w:rsid w:val="00BC1E87"/>
    <w:rsid w:val="00BF7E04"/>
    <w:rsid w:val="00C337B4"/>
    <w:rsid w:val="00C43B6B"/>
    <w:rsid w:val="00C70CDA"/>
    <w:rsid w:val="00CA136C"/>
    <w:rsid w:val="00CB3466"/>
    <w:rsid w:val="00CB3467"/>
    <w:rsid w:val="00CC2C09"/>
    <w:rsid w:val="00CE02DD"/>
    <w:rsid w:val="00D239C3"/>
    <w:rsid w:val="00D9062A"/>
    <w:rsid w:val="00D90DAD"/>
    <w:rsid w:val="00DF367A"/>
    <w:rsid w:val="00E31BA1"/>
    <w:rsid w:val="00E40669"/>
    <w:rsid w:val="00E52BF5"/>
    <w:rsid w:val="00E849B7"/>
    <w:rsid w:val="00EE7FBA"/>
    <w:rsid w:val="00EF43D7"/>
    <w:rsid w:val="00F43058"/>
    <w:rsid w:val="00F9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D16"/>
    <w:rPr>
      <w:sz w:val="24"/>
      <w:szCs w:val="24"/>
    </w:rPr>
  </w:style>
  <w:style w:type="paragraph" w:styleId="Titolo1">
    <w:name w:val="heading 1"/>
    <w:basedOn w:val="Normale"/>
    <w:next w:val="Normale"/>
    <w:qFormat/>
    <w:rsid w:val="00A61D16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A61D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61D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61D1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61D16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A61D16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Trebuche">
    <w:name w:val="Trebuche"/>
    <w:basedOn w:val="Intestazione"/>
    <w:rsid w:val="00A61D16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  <w:rsid w:val="00A61D16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foelenco">
    <w:name w:val="List Paragraph"/>
    <w:basedOn w:val="Normale"/>
    <w:uiPriority w:val="34"/>
    <w:qFormat/>
    <w:rsid w:val="006C1F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B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Trebuche">
    <w:name w:val="Trebuche"/>
    <w:basedOn w:val="Intestazione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foelenco">
    <w:name w:val="List Paragraph"/>
    <w:basedOn w:val="Normale"/>
    <w:uiPriority w:val="34"/>
    <w:qFormat/>
    <w:rsid w:val="006C1F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B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439">
          <w:marLeft w:val="0"/>
          <w:marRight w:val="0"/>
          <w:marTop w:val="150"/>
          <w:marBottom w:val="0"/>
          <w:divBdr>
            <w:top w:val="single" w:sz="6" w:space="4" w:color="C3A67F"/>
            <w:left w:val="single" w:sz="6" w:space="4" w:color="C3A67F"/>
            <w:bottom w:val="single" w:sz="6" w:space="4" w:color="C3A67F"/>
            <w:right w:val="single" w:sz="6" w:space="4" w:color="C3A67F"/>
          </w:divBdr>
          <w:divsChild>
            <w:div w:id="1255162588">
              <w:marLeft w:val="0"/>
              <w:marRight w:val="3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4081">
                  <w:marLeft w:val="0"/>
                  <w:marRight w:val="0"/>
                  <w:marTop w:val="0"/>
                  <w:marBottom w:val="300"/>
                  <w:divBdr>
                    <w:top w:val="single" w:sz="6" w:space="3" w:color="F7F2E6"/>
                    <w:left w:val="single" w:sz="6" w:space="3" w:color="F7F2E6"/>
                    <w:bottom w:val="single" w:sz="6" w:space="3" w:color="F7F2E6"/>
                    <w:right w:val="single" w:sz="6" w:space="3" w:color="F7F2E6"/>
                  </w:divBdr>
                  <w:divsChild>
                    <w:div w:id="676420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B223-FF6A-4DCF-99B3-19F8FE02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M&amp;A srl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Gianmario Colafati</dc:creator>
  <cp:lastModifiedBy>Anna Meini</cp:lastModifiedBy>
  <cp:revision>3</cp:revision>
  <cp:lastPrinted>2016-05-11T07:40:00Z</cp:lastPrinted>
  <dcterms:created xsi:type="dcterms:W3CDTF">2016-05-11T07:40:00Z</dcterms:created>
  <dcterms:modified xsi:type="dcterms:W3CDTF">2016-05-11T07:41:00Z</dcterms:modified>
</cp:coreProperties>
</file>