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0DE91" w14:textId="77777777" w:rsidR="00EC0C1C" w:rsidRPr="002843B3" w:rsidRDefault="00EC0C1C" w:rsidP="004D2521">
      <w:pPr>
        <w:suppressAutoHyphens/>
        <w:rPr>
          <w:b/>
          <w:color w:val="005EB8" w:themeColor="accent1"/>
          <w:sz w:val="48"/>
          <w:szCs w:val="48"/>
        </w:rPr>
      </w:pPr>
      <w:r w:rsidRPr="002843B3">
        <w:rPr>
          <w:b/>
          <w:color w:val="005EB8" w:themeColor="accent1"/>
          <w:sz w:val="48"/>
          <w:szCs w:val="48"/>
        </w:rPr>
        <w:t>Press Release</w:t>
      </w:r>
    </w:p>
    <w:p w14:paraId="66771AD1" w14:textId="77777777" w:rsidR="00EC0C1C" w:rsidRPr="002843B3" w:rsidRDefault="00EC0C1C" w:rsidP="004D2521">
      <w:pPr>
        <w:suppressAutoHyphens/>
      </w:pPr>
    </w:p>
    <w:p w14:paraId="024CC255" w14:textId="63905FD0" w:rsidR="00E76029" w:rsidRDefault="007D5AE6" w:rsidP="004D2521">
      <w:pPr>
        <w:keepNext/>
        <w:keepLines/>
        <w:tabs>
          <w:tab w:val="left" w:pos="3705"/>
        </w:tabs>
        <w:suppressAutoHyphens/>
        <w:spacing w:before="480" w:line="240" w:lineRule="auto"/>
        <w:jc w:val="both"/>
        <w:outlineLvl w:val="0"/>
        <w:rPr>
          <w:rFonts w:eastAsia="Times New Roman" w:cs="Times New Roman"/>
          <w:b/>
          <w:bCs/>
          <w:color w:val="005EB8"/>
          <w:sz w:val="28"/>
          <w:szCs w:val="28"/>
          <w:lang w:eastAsia="en-GB"/>
        </w:rPr>
      </w:pPr>
      <w:r>
        <w:rPr>
          <w:rFonts w:eastAsia="Times New Roman" w:cs="Times New Roman"/>
          <w:b/>
          <w:bCs/>
          <w:color w:val="005EB8"/>
          <w:sz w:val="28"/>
          <w:szCs w:val="28"/>
          <w:lang w:eastAsia="en-GB"/>
        </w:rPr>
        <w:t xml:space="preserve">Amadeus maintains track record of growth with strong performance in 2014 </w:t>
      </w:r>
    </w:p>
    <w:p w14:paraId="55C7FAC3" w14:textId="3ABC39FA" w:rsidR="004E4D32" w:rsidRPr="004E4D32" w:rsidRDefault="001C318A" w:rsidP="004D2521">
      <w:pPr>
        <w:keepNext/>
        <w:keepLines/>
        <w:tabs>
          <w:tab w:val="left" w:pos="3705"/>
        </w:tabs>
        <w:suppressAutoHyphens/>
        <w:spacing w:before="480" w:line="240" w:lineRule="auto"/>
        <w:outlineLvl w:val="0"/>
        <w:rPr>
          <w:rFonts w:eastAsia="Times New Roman" w:cs="Times New Roman"/>
          <w:b/>
          <w:bCs/>
          <w:color w:val="005EB8"/>
          <w:sz w:val="20"/>
          <w:szCs w:val="22"/>
          <w:lang w:eastAsia="en-GB"/>
        </w:rPr>
      </w:pPr>
      <w:r>
        <w:rPr>
          <w:rFonts w:eastAsia="Times New Roman" w:cs="Times New Roman"/>
          <w:b/>
          <w:bCs/>
          <w:color w:val="005EB8"/>
          <w:sz w:val="20"/>
          <w:szCs w:val="22"/>
          <w:lang w:eastAsia="en-GB"/>
        </w:rPr>
        <w:t xml:space="preserve">Distribution and IT Solutions businesses </w:t>
      </w:r>
      <w:r w:rsidR="00B06625">
        <w:rPr>
          <w:rFonts w:eastAsia="Times New Roman" w:cs="Times New Roman"/>
          <w:b/>
          <w:bCs/>
          <w:color w:val="005EB8"/>
          <w:sz w:val="20"/>
          <w:szCs w:val="22"/>
          <w:lang w:eastAsia="en-GB"/>
        </w:rPr>
        <w:t xml:space="preserve">improve </w:t>
      </w:r>
      <w:r>
        <w:rPr>
          <w:rFonts w:eastAsia="Times New Roman" w:cs="Times New Roman"/>
          <w:b/>
          <w:bCs/>
          <w:color w:val="005EB8"/>
          <w:sz w:val="20"/>
          <w:szCs w:val="22"/>
          <w:lang w:eastAsia="en-GB"/>
        </w:rPr>
        <w:t>operational</w:t>
      </w:r>
      <w:r w:rsidR="00A15C55">
        <w:rPr>
          <w:rFonts w:eastAsia="Times New Roman" w:cs="Times New Roman"/>
          <w:b/>
          <w:bCs/>
          <w:color w:val="005EB8"/>
          <w:sz w:val="20"/>
          <w:szCs w:val="22"/>
          <w:lang w:eastAsia="en-GB"/>
        </w:rPr>
        <w:t xml:space="preserve"> and financial performance</w:t>
      </w:r>
    </w:p>
    <w:p w14:paraId="6BB3C5AE" w14:textId="77777777" w:rsidR="001C318A" w:rsidRDefault="001C318A" w:rsidP="004D2521">
      <w:pPr>
        <w:suppressAutoHyphens/>
        <w:spacing w:line="240" w:lineRule="auto"/>
        <w:rPr>
          <w:rFonts w:eastAsia="Times New Roman" w:cs="Times New Roman"/>
          <w:b/>
          <w:bCs/>
          <w:color w:val="005EB8"/>
          <w:sz w:val="20"/>
          <w:szCs w:val="22"/>
          <w:lang w:eastAsia="en-GB"/>
        </w:rPr>
      </w:pPr>
    </w:p>
    <w:p w14:paraId="3EF26A62" w14:textId="42C71B85" w:rsidR="003C4C93" w:rsidRDefault="007137DB" w:rsidP="004D2521">
      <w:pPr>
        <w:suppressAutoHyphens/>
        <w:spacing w:line="240" w:lineRule="auto"/>
        <w:rPr>
          <w:rFonts w:eastAsia="Times New Roman" w:cs="Times New Roman"/>
          <w:b/>
          <w:bCs/>
          <w:color w:val="005EB8"/>
          <w:sz w:val="20"/>
          <w:szCs w:val="22"/>
          <w:lang w:eastAsia="en-GB"/>
        </w:rPr>
      </w:pPr>
      <w:r>
        <w:rPr>
          <w:rFonts w:eastAsia="Times New Roman" w:cs="Times New Roman"/>
          <w:b/>
          <w:bCs/>
          <w:color w:val="005EB8"/>
          <w:sz w:val="20"/>
          <w:szCs w:val="22"/>
          <w:lang w:eastAsia="en-GB"/>
        </w:rPr>
        <w:t xml:space="preserve">Results driven by </w:t>
      </w:r>
      <w:r w:rsidR="00FB4BFB">
        <w:rPr>
          <w:rFonts w:eastAsia="Times New Roman" w:cs="Times New Roman"/>
          <w:b/>
          <w:bCs/>
          <w:color w:val="005EB8"/>
          <w:sz w:val="20"/>
          <w:szCs w:val="22"/>
          <w:lang w:eastAsia="en-GB"/>
        </w:rPr>
        <w:t xml:space="preserve">market share gains </w:t>
      </w:r>
      <w:r w:rsidR="001C318A">
        <w:rPr>
          <w:rFonts w:eastAsia="Times New Roman" w:cs="Times New Roman"/>
          <w:b/>
          <w:bCs/>
          <w:color w:val="005EB8"/>
          <w:sz w:val="20"/>
          <w:szCs w:val="22"/>
          <w:lang w:eastAsia="en-GB"/>
        </w:rPr>
        <w:t xml:space="preserve">and </w:t>
      </w:r>
      <w:r w:rsidR="002D24AB">
        <w:rPr>
          <w:rFonts w:eastAsia="Times New Roman" w:cs="Times New Roman"/>
          <w:b/>
          <w:bCs/>
          <w:color w:val="005EB8"/>
          <w:sz w:val="20"/>
          <w:szCs w:val="22"/>
          <w:lang w:eastAsia="en-GB"/>
        </w:rPr>
        <w:t>consolidation of</w:t>
      </w:r>
      <w:r w:rsidR="001C318A">
        <w:rPr>
          <w:rFonts w:eastAsia="Times New Roman" w:cs="Times New Roman"/>
          <w:b/>
          <w:bCs/>
          <w:color w:val="005EB8"/>
          <w:sz w:val="20"/>
          <w:szCs w:val="22"/>
          <w:lang w:eastAsia="en-GB"/>
        </w:rPr>
        <w:t xml:space="preserve"> acquisitions </w:t>
      </w:r>
    </w:p>
    <w:p w14:paraId="34035048" w14:textId="77777777" w:rsidR="001C318A" w:rsidRPr="002843B3" w:rsidRDefault="001C318A" w:rsidP="004D2521">
      <w:pPr>
        <w:suppressAutoHyphens/>
        <w:spacing w:line="240" w:lineRule="auto"/>
        <w:rPr>
          <w:rFonts w:eastAsia="Times New Roman" w:cs="Times New Roman"/>
          <w:sz w:val="22"/>
          <w:szCs w:val="22"/>
          <w:lang w:eastAsia="en-GB"/>
        </w:rPr>
      </w:pPr>
    </w:p>
    <w:p w14:paraId="74E7FC27" w14:textId="1FC730DD" w:rsidR="003C4C93" w:rsidRPr="002843B3" w:rsidRDefault="00265E24" w:rsidP="004D2521">
      <w:pPr>
        <w:suppressAutoHyphens/>
        <w:spacing w:line="240" w:lineRule="auto"/>
        <w:rPr>
          <w:rFonts w:eastAsia="Times New Roman" w:cs="Times New Roman"/>
          <w:b/>
          <w:bCs/>
          <w:sz w:val="21"/>
          <w:szCs w:val="21"/>
          <w:lang w:eastAsia="en-GB"/>
        </w:rPr>
      </w:pPr>
      <w:r>
        <w:rPr>
          <w:rFonts w:eastAsia="Times New Roman" w:cs="Times New Roman"/>
          <w:b/>
          <w:bCs/>
          <w:sz w:val="21"/>
          <w:szCs w:val="21"/>
          <w:lang w:eastAsia="en-GB"/>
        </w:rPr>
        <w:t>Full year</w:t>
      </w:r>
      <w:r w:rsidR="001625B0">
        <w:rPr>
          <w:rFonts w:eastAsia="Times New Roman" w:cs="Times New Roman"/>
          <w:b/>
          <w:bCs/>
          <w:sz w:val="21"/>
          <w:szCs w:val="21"/>
          <w:lang w:eastAsia="en-GB"/>
        </w:rPr>
        <w:t xml:space="preserve"> </w:t>
      </w:r>
      <w:r w:rsidR="003C4C93" w:rsidRPr="002843B3">
        <w:rPr>
          <w:rFonts w:eastAsia="Times New Roman" w:cs="Times New Roman"/>
          <w:b/>
          <w:bCs/>
          <w:sz w:val="21"/>
          <w:szCs w:val="21"/>
          <w:lang w:eastAsia="en-GB"/>
        </w:rPr>
        <w:t>highlights (</w:t>
      </w:r>
      <w:r>
        <w:rPr>
          <w:rFonts w:eastAsia="Times New Roman" w:cs="Times New Roman"/>
          <w:b/>
          <w:bCs/>
          <w:sz w:val="21"/>
          <w:szCs w:val="21"/>
          <w:lang w:eastAsia="en-GB"/>
        </w:rPr>
        <w:t>twelve months</w:t>
      </w:r>
      <w:r w:rsidR="001C318A">
        <w:rPr>
          <w:rFonts w:eastAsia="Times New Roman" w:cs="Times New Roman"/>
          <w:b/>
          <w:bCs/>
          <w:sz w:val="21"/>
          <w:szCs w:val="21"/>
          <w:lang w:eastAsia="en-GB"/>
        </w:rPr>
        <w:t xml:space="preserve"> ended December 31</w:t>
      </w:r>
      <w:r w:rsidR="003C4C93" w:rsidRPr="002843B3">
        <w:rPr>
          <w:rFonts w:eastAsia="Times New Roman" w:cs="Times New Roman"/>
          <w:b/>
          <w:bCs/>
          <w:sz w:val="21"/>
          <w:szCs w:val="21"/>
          <w:lang w:eastAsia="en-GB"/>
        </w:rPr>
        <w:t>, 201</w:t>
      </w:r>
      <w:r w:rsidR="001625B0">
        <w:rPr>
          <w:rFonts w:eastAsia="Times New Roman" w:cs="Times New Roman"/>
          <w:b/>
          <w:bCs/>
          <w:sz w:val="21"/>
          <w:szCs w:val="21"/>
          <w:lang w:eastAsia="en-GB"/>
        </w:rPr>
        <w:t>4</w:t>
      </w:r>
      <w:r w:rsidR="003C4C93" w:rsidRPr="002843B3">
        <w:rPr>
          <w:rFonts w:eastAsia="Times New Roman" w:cs="Times New Roman"/>
          <w:b/>
          <w:bCs/>
          <w:sz w:val="21"/>
          <w:szCs w:val="21"/>
          <w:lang w:eastAsia="en-GB"/>
        </w:rPr>
        <w:t>)</w:t>
      </w:r>
    </w:p>
    <w:p w14:paraId="02C15A1C" w14:textId="77777777" w:rsidR="003C4C93" w:rsidRPr="002843B3" w:rsidRDefault="003C4C93" w:rsidP="004D2521">
      <w:pPr>
        <w:suppressAutoHyphens/>
        <w:spacing w:line="240" w:lineRule="auto"/>
        <w:rPr>
          <w:rFonts w:eastAsia="Times New Roman" w:cs="Times New Roman"/>
          <w:b/>
          <w:bCs/>
          <w:sz w:val="22"/>
          <w:szCs w:val="22"/>
          <w:lang w:eastAsia="en-GB"/>
        </w:rPr>
      </w:pPr>
    </w:p>
    <w:p w14:paraId="4EAA940D" w14:textId="0F31800B" w:rsidR="00CE143D" w:rsidRPr="005605AD" w:rsidRDefault="001625B0" w:rsidP="004D2521">
      <w:pPr>
        <w:pStyle w:val="ListBullet"/>
        <w:suppressAutoHyphens/>
        <w:rPr>
          <w:lang w:val="en-US"/>
        </w:rPr>
      </w:pPr>
      <w:r w:rsidRPr="005605AD">
        <w:rPr>
          <w:lang w:val="en-US"/>
        </w:rPr>
        <w:t>Rev</w:t>
      </w:r>
      <w:r w:rsidR="005605AD" w:rsidRPr="005605AD">
        <w:rPr>
          <w:lang w:val="en-US"/>
        </w:rPr>
        <w:t>e</w:t>
      </w:r>
      <w:r w:rsidRPr="005605AD">
        <w:rPr>
          <w:lang w:val="en-US"/>
        </w:rPr>
        <w:t xml:space="preserve">nue </w:t>
      </w:r>
      <w:r w:rsidR="00AA4ABE" w:rsidRPr="005605AD">
        <w:rPr>
          <w:lang w:val="en-US"/>
        </w:rPr>
        <w:t xml:space="preserve">increased </w:t>
      </w:r>
      <w:r w:rsidR="00722C99">
        <w:rPr>
          <w:lang w:val="en-US"/>
        </w:rPr>
        <w:t>10</w:t>
      </w:r>
      <w:r w:rsidR="00AA4ABE" w:rsidRPr="005605AD">
        <w:rPr>
          <w:lang w:val="en-US"/>
        </w:rPr>
        <w:t>.</w:t>
      </w:r>
      <w:r w:rsidR="00722C99">
        <w:rPr>
          <w:lang w:val="en-US"/>
        </w:rPr>
        <w:t>1</w:t>
      </w:r>
      <w:r w:rsidRPr="005605AD">
        <w:rPr>
          <w:lang w:val="en-US"/>
        </w:rPr>
        <w:t>%</w:t>
      </w:r>
      <w:r w:rsidR="003C4C93" w:rsidRPr="005605AD">
        <w:rPr>
          <w:lang w:val="en-US"/>
        </w:rPr>
        <w:t>,</w:t>
      </w:r>
      <w:r w:rsidRPr="005605AD">
        <w:rPr>
          <w:lang w:val="en-US"/>
        </w:rPr>
        <w:t xml:space="preserve"> to €</w:t>
      </w:r>
      <w:r w:rsidR="00722C99">
        <w:rPr>
          <w:lang w:val="en-US"/>
        </w:rPr>
        <w:t>3</w:t>
      </w:r>
      <w:r w:rsidR="006676B4">
        <w:rPr>
          <w:lang w:val="en-US"/>
        </w:rPr>
        <w:t>,</w:t>
      </w:r>
      <w:r w:rsidR="00722C99">
        <w:rPr>
          <w:lang w:val="en-US"/>
        </w:rPr>
        <w:t>417</w:t>
      </w:r>
      <w:r w:rsidR="006676B4">
        <w:rPr>
          <w:lang w:val="en-US"/>
        </w:rPr>
        <w:t>.</w:t>
      </w:r>
      <w:r w:rsidR="00722C99">
        <w:rPr>
          <w:lang w:val="en-US"/>
        </w:rPr>
        <w:t>7</w:t>
      </w:r>
      <w:r w:rsidRPr="005605AD">
        <w:rPr>
          <w:lang w:val="en-US"/>
        </w:rPr>
        <w:t xml:space="preserve"> million. Excluding the acquisitions of </w:t>
      </w:r>
      <w:proofErr w:type="spellStart"/>
      <w:r w:rsidRPr="005605AD">
        <w:rPr>
          <w:lang w:val="en-US"/>
        </w:rPr>
        <w:t>Newmarket</w:t>
      </w:r>
      <w:proofErr w:type="spellEnd"/>
      <w:r w:rsidRPr="005605AD">
        <w:rPr>
          <w:lang w:val="en-US"/>
        </w:rPr>
        <w:t xml:space="preserve"> </w:t>
      </w:r>
      <w:r w:rsidR="003E2650" w:rsidRPr="005605AD">
        <w:rPr>
          <w:lang w:val="en-US"/>
        </w:rPr>
        <w:t>International</w:t>
      </w:r>
      <w:r w:rsidR="004F11FB">
        <w:rPr>
          <w:lang w:val="en-US"/>
        </w:rPr>
        <w:t xml:space="preserve">, </w:t>
      </w:r>
      <w:r w:rsidRPr="005605AD">
        <w:rPr>
          <w:lang w:val="en-US"/>
        </w:rPr>
        <w:t>UFIS</w:t>
      </w:r>
      <w:r w:rsidR="004F11FB">
        <w:rPr>
          <w:lang w:val="en-US"/>
        </w:rPr>
        <w:t xml:space="preserve"> Airport Solutions, and i</w:t>
      </w:r>
      <w:proofErr w:type="gramStart"/>
      <w:r w:rsidR="004F11FB">
        <w:rPr>
          <w:lang w:val="en-US"/>
        </w:rPr>
        <w:t>:FAO</w:t>
      </w:r>
      <w:proofErr w:type="gramEnd"/>
      <w:r w:rsidR="004F11FB">
        <w:rPr>
          <w:lang w:val="en-US"/>
        </w:rPr>
        <w:t xml:space="preserve"> </w:t>
      </w:r>
      <w:r w:rsidR="00B06625">
        <w:rPr>
          <w:lang w:val="en-US"/>
        </w:rPr>
        <w:t>Group</w:t>
      </w:r>
      <w:r w:rsidRPr="005605AD">
        <w:rPr>
          <w:lang w:val="en-US"/>
        </w:rPr>
        <w:t xml:space="preserve">, comparable growth stood at </w:t>
      </w:r>
      <w:r w:rsidR="00722C99">
        <w:rPr>
          <w:lang w:val="en-US"/>
        </w:rPr>
        <w:t>7</w:t>
      </w:r>
      <w:r w:rsidR="00570981" w:rsidRPr="005605AD">
        <w:rPr>
          <w:lang w:val="en-US"/>
        </w:rPr>
        <w:t>.</w:t>
      </w:r>
      <w:r w:rsidR="00722C99">
        <w:rPr>
          <w:lang w:val="en-US"/>
        </w:rPr>
        <w:t>5</w:t>
      </w:r>
      <w:r w:rsidRPr="005605AD">
        <w:rPr>
          <w:lang w:val="en-US"/>
        </w:rPr>
        <w:t>%</w:t>
      </w:r>
      <w:r w:rsidR="00CE143D" w:rsidRPr="005605AD">
        <w:rPr>
          <w:lang w:val="en-US"/>
        </w:rPr>
        <w:t>.</w:t>
      </w:r>
    </w:p>
    <w:p w14:paraId="00FE9331" w14:textId="269713A7" w:rsidR="003C4C93" w:rsidRPr="005605AD" w:rsidRDefault="003C4C93" w:rsidP="004D2521">
      <w:pPr>
        <w:pStyle w:val="ListBullet"/>
        <w:suppressAutoHyphens/>
        <w:rPr>
          <w:lang w:val="en-US"/>
        </w:rPr>
      </w:pPr>
      <w:r w:rsidRPr="005605AD">
        <w:rPr>
          <w:lang w:val="en-US"/>
        </w:rPr>
        <w:t xml:space="preserve">EBITDA grew </w:t>
      </w:r>
      <w:r w:rsidR="006676B4">
        <w:rPr>
          <w:lang w:val="en-US"/>
        </w:rPr>
        <w:t>9.</w:t>
      </w:r>
      <w:r w:rsidR="00722C99">
        <w:rPr>
          <w:lang w:val="en-US"/>
        </w:rPr>
        <w:t>9</w:t>
      </w:r>
      <w:r w:rsidRPr="005605AD">
        <w:rPr>
          <w:lang w:val="en-US"/>
        </w:rPr>
        <w:t xml:space="preserve">%, to </w:t>
      </w:r>
      <w:r w:rsidR="008F3CFC" w:rsidRPr="005605AD">
        <w:rPr>
          <w:lang w:val="en-US"/>
        </w:rPr>
        <w:t>€</w:t>
      </w:r>
      <w:r w:rsidR="006676B4">
        <w:rPr>
          <w:lang w:val="en-US"/>
        </w:rPr>
        <w:t>1,</w:t>
      </w:r>
      <w:r w:rsidR="00722C99">
        <w:rPr>
          <w:lang w:val="en-US"/>
        </w:rPr>
        <w:t>306</w:t>
      </w:r>
      <w:r w:rsidR="006676B4">
        <w:rPr>
          <w:lang w:val="en-US"/>
        </w:rPr>
        <w:t>.</w:t>
      </w:r>
      <w:r w:rsidR="00722C99">
        <w:rPr>
          <w:lang w:val="en-US"/>
        </w:rPr>
        <w:t>0</w:t>
      </w:r>
      <w:r w:rsidRPr="005605AD">
        <w:rPr>
          <w:lang w:val="en-US"/>
        </w:rPr>
        <w:t xml:space="preserve"> million</w:t>
      </w:r>
      <w:r w:rsidR="00CE143D" w:rsidRPr="005605AD">
        <w:rPr>
          <w:lang w:val="en-US"/>
        </w:rPr>
        <w:t>. Excluding acquisitions, comparable growth</w:t>
      </w:r>
      <w:r w:rsidR="00636DE0" w:rsidRPr="005605AD">
        <w:rPr>
          <w:lang w:val="en-US"/>
        </w:rPr>
        <w:t xml:space="preserve"> reached </w:t>
      </w:r>
      <w:r w:rsidR="006676B4">
        <w:rPr>
          <w:lang w:val="en-US"/>
        </w:rPr>
        <w:t>7.</w:t>
      </w:r>
      <w:r w:rsidR="00722C99">
        <w:rPr>
          <w:lang w:val="en-US"/>
        </w:rPr>
        <w:t>7</w:t>
      </w:r>
      <w:r w:rsidR="00CE143D" w:rsidRPr="005605AD">
        <w:rPr>
          <w:lang w:val="en-US"/>
        </w:rPr>
        <w:t>%</w:t>
      </w:r>
      <w:r w:rsidR="008F3CFC" w:rsidRPr="005605AD">
        <w:rPr>
          <w:lang w:val="en-US"/>
        </w:rPr>
        <w:t>.</w:t>
      </w:r>
    </w:p>
    <w:p w14:paraId="41616876" w14:textId="7909E24F" w:rsidR="003C4C93" w:rsidRPr="005605AD" w:rsidRDefault="00A716E2" w:rsidP="004D2521">
      <w:pPr>
        <w:pStyle w:val="ListBullet"/>
        <w:suppressAutoHyphens/>
        <w:rPr>
          <w:lang w:val="en-US"/>
        </w:rPr>
      </w:pPr>
      <w:r w:rsidRPr="005605AD">
        <w:rPr>
          <w:lang w:val="en-US"/>
        </w:rPr>
        <w:t>In the Distribution business, t</w:t>
      </w:r>
      <w:r w:rsidR="003C4C93" w:rsidRPr="005605AD">
        <w:rPr>
          <w:lang w:val="en-US"/>
        </w:rPr>
        <w:t>otal air travel agency bookings</w:t>
      </w:r>
      <w:r w:rsidR="003A222A" w:rsidRPr="005605AD">
        <w:rPr>
          <w:lang w:val="en-US"/>
        </w:rPr>
        <w:t xml:space="preserve"> </w:t>
      </w:r>
      <w:r w:rsidR="007D5AE6">
        <w:rPr>
          <w:lang w:val="en-US"/>
        </w:rPr>
        <w:t xml:space="preserve">increased </w:t>
      </w:r>
      <w:r w:rsidR="00722C99">
        <w:rPr>
          <w:lang w:val="en-US"/>
        </w:rPr>
        <w:t>5.2</w:t>
      </w:r>
      <w:r w:rsidR="00491182" w:rsidRPr="005605AD">
        <w:rPr>
          <w:lang w:val="en-US"/>
        </w:rPr>
        <w:t xml:space="preserve">%, to </w:t>
      </w:r>
      <w:r w:rsidR="00722C99">
        <w:rPr>
          <w:lang w:val="en-US"/>
        </w:rPr>
        <w:t>466.5</w:t>
      </w:r>
      <w:r w:rsidR="00491182" w:rsidRPr="005605AD">
        <w:rPr>
          <w:lang w:val="en-US"/>
        </w:rPr>
        <w:t xml:space="preserve"> million</w:t>
      </w:r>
      <w:r w:rsidR="008F3CFC" w:rsidRPr="005605AD">
        <w:rPr>
          <w:lang w:val="en-US"/>
        </w:rPr>
        <w:t>.</w:t>
      </w:r>
    </w:p>
    <w:p w14:paraId="50F15068" w14:textId="74A6B317" w:rsidR="00A716E2" w:rsidRPr="005605AD" w:rsidRDefault="00A716E2" w:rsidP="004D2521">
      <w:pPr>
        <w:pStyle w:val="ListBullet"/>
        <w:suppressAutoHyphens/>
        <w:rPr>
          <w:lang w:val="en-US"/>
        </w:rPr>
      </w:pPr>
      <w:r w:rsidRPr="005605AD">
        <w:rPr>
          <w:lang w:val="en-US"/>
        </w:rPr>
        <w:t xml:space="preserve">In the IT </w:t>
      </w:r>
      <w:r w:rsidR="00EB0EFB" w:rsidRPr="005605AD">
        <w:rPr>
          <w:lang w:val="en-US"/>
        </w:rPr>
        <w:t xml:space="preserve">Solutions </w:t>
      </w:r>
      <w:r w:rsidRPr="005605AD">
        <w:rPr>
          <w:lang w:val="en-US"/>
        </w:rPr>
        <w:t xml:space="preserve">business, </w:t>
      </w:r>
      <w:r w:rsidR="003C4C93" w:rsidRPr="005605AD">
        <w:rPr>
          <w:lang w:val="en-US"/>
        </w:rPr>
        <w:t>Passengers Boarded</w:t>
      </w:r>
      <w:r w:rsidR="00DD10EE">
        <w:rPr>
          <w:rStyle w:val="EndnoteReference"/>
          <w:lang w:val="en-US"/>
        </w:rPr>
        <w:endnoteReference w:id="1"/>
      </w:r>
      <w:r w:rsidR="00DB3E80">
        <w:rPr>
          <w:lang w:val="en-US"/>
        </w:rPr>
        <w:t xml:space="preserve"> </w:t>
      </w:r>
      <w:r w:rsidR="00AA4ABE" w:rsidRPr="005605AD">
        <w:rPr>
          <w:lang w:val="en-US"/>
        </w:rPr>
        <w:t xml:space="preserve">increased </w:t>
      </w:r>
      <w:r w:rsidR="00722C99">
        <w:rPr>
          <w:lang w:val="en-US"/>
        </w:rPr>
        <w:t>12.9</w:t>
      </w:r>
      <w:r w:rsidR="00491182" w:rsidRPr="005605AD">
        <w:rPr>
          <w:lang w:val="en-US"/>
        </w:rPr>
        <w:t xml:space="preserve">%, to </w:t>
      </w:r>
      <w:r w:rsidR="00722C99">
        <w:rPr>
          <w:lang w:val="en-US"/>
        </w:rPr>
        <w:t>695</w:t>
      </w:r>
      <w:r w:rsidR="00A950E0">
        <w:rPr>
          <w:lang w:val="en-US"/>
        </w:rPr>
        <w:t>.</w:t>
      </w:r>
      <w:r w:rsidR="00722C99">
        <w:rPr>
          <w:lang w:val="en-US"/>
        </w:rPr>
        <w:t>4</w:t>
      </w:r>
      <w:r w:rsidR="00491182" w:rsidRPr="005605AD">
        <w:rPr>
          <w:lang w:val="en-US"/>
        </w:rPr>
        <w:t xml:space="preserve"> million</w:t>
      </w:r>
      <w:r w:rsidR="008F3CFC" w:rsidRPr="005605AD">
        <w:rPr>
          <w:lang w:val="en-US"/>
        </w:rPr>
        <w:t>.</w:t>
      </w:r>
    </w:p>
    <w:p w14:paraId="26522815" w14:textId="77777777" w:rsidR="00FA62DA" w:rsidRDefault="00FA62DA" w:rsidP="004D2521">
      <w:pPr>
        <w:suppressAutoHyphens/>
        <w:rPr>
          <w:i/>
          <w:lang w:val="en-US"/>
        </w:rPr>
      </w:pPr>
    </w:p>
    <w:p w14:paraId="148BB0A4" w14:textId="7E4A6055" w:rsidR="003C4C93" w:rsidRPr="002843B3" w:rsidRDefault="00FA62DA" w:rsidP="004D2521">
      <w:pPr>
        <w:suppressAutoHyphens/>
        <w:rPr>
          <w:lang w:val="en-US"/>
        </w:rPr>
      </w:pPr>
      <w:r>
        <w:rPr>
          <w:i/>
          <w:lang w:val="en-US"/>
        </w:rPr>
        <w:t>February</w:t>
      </w:r>
      <w:r w:rsidR="0022393F">
        <w:rPr>
          <w:i/>
          <w:lang w:val="en-US"/>
        </w:rPr>
        <w:t xml:space="preserve">, </w:t>
      </w:r>
      <w:r>
        <w:rPr>
          <w:i/>
          <w:lang w:val="en-US"/>
        </w:rPr>
        <w:t>27</w:t>
      </w:r>
      <w:r w:rsidR="003C4C93" w:rsidRPr="002843B3">
        <w:rPr>
          <w:i/>
          <w:lang w:val="en-US"/>
        </w:rPr>
        <w:t>:</w:t>
      </w:r>
      <w:r w:rsidR="003C4C93" w:rsidRPr="002843B3">
        <w:rPr>
          <w:lang w:val="en-US"/>
        </w:rPr>
        <w:t xml:space="preserve"> Amadeus IT Holding, S.A., a leading technology partner for the global travel industry, reports year-on-year financial and operating results for </w:t>
      </w:r>
      <w:r w:rsidR="008C48AF">
        <w:rPr>
          <w:lang w:val="en-US"/>
        </w:rPr>
        <w:t xml:space="preserve">the </w:t>
      </w:r>
      <w:r>
        <w:rPr>
          <w:lang w:val="en-US"/>
        </w:rPr>
        <w:t>full year</w:t>
      </w:r>
      <w:r w:rsidR="006676B4">
        <w:rPr>
          <w:lang w:val="en-US"/>
        </w:rPr>
        <w:t xml:space="preserve"> of </w:t>
      </w:r>
      <w:r w:rsidR="00CE143D">
        <w:rPr>
          <w:lang w:val="en-US"/>
        </w:rPr>
        <w:t xml:space="preserve"> 2014</w:t>
      </w:r>
      <w:r w:rsidR="00226EFA" w:rsidRPr="002843B3">
        <w:rPr>
          <w:lang w:val="en-US"/>
        </w:rPr>
        <w:t xml:space="preserve"> (</w:t>
      </w:r>
      <w:r>
        <w:rPr>
          <w:lang w:val="en-US"/>
        </w:rPr>
        <w:t>twelve months ended December 31</w:t>
      </w:r>
      <w:r w:rsidR="00E74BA2">
        <w:rPr>
          <w:lang w:val="en-US"/>
        </w:rPr>
        <w:t>,</w:t>
      </w:r>
      <w:r w:rsidR="00CE143D">
        <w:rPr>
          <w:lang w:val="en-US"/>
        </w:rPr>
        <w:t xml:space="preserve"> 2014</w:t>
      </w:r>
      <w:r w:rsidR="003C4C93" w:rsidRPr="002843B3">
        <w:rPr>
          <w:lang w:val="en-US"/>
        </w:rPr>
        <w:t>).</w:t>
      </w:r>
      <w:r w:rsidR="00825558" w:rsidRPr="002843B3">
        <w:rPr>
          <w:lang w:val="en-US"/>
        </w:rPr>
        <w:t xml:space="preserve"> </w:t>
      </w:r>
      <w:r w:rsidR="003C4C93" w:rsidRPr="002843B3">
        <w:rPr>
          <w:lang w:val="en-US"/>
        </w:rPr>
        <w:t xml:space="preserve">Adjusted profit for the </w:t>
      </w:r>
      <w:r w:rsidR="00CE143D">
        <w:rPr>
          <w:lang w:val="en-US"/>
        </w:rPr>
        <w:t>period</w:t>
      </w:r>
      <w:r w:rsidR="005A64DB">
        <w:rPr>
          <w:lang w:val="en-US"/>
        </w:rPr>
        <w:t xml:space="preserve">, </w:t>
      </w:r>
      <w:r w:rsidR="00AA4ABE">
        <w:rPr>
          <w:lang w:val="en-US"/>
        </w:rPr>
        <w:t>including M</w:t>
      </w:r>
      <w:r w:rsidR="005A64DB">
        <w:rPr>
          <w:lang w:val="en-US"/>
        </w:rPr>
        <w:t>&amp;A activit</w:t>
      </w:r>
      <w:r w:rsidR="00120113">
        <w:rPr>
          <w:lang w:val="en-US"/>
        </w:rPr>
        <w:t>ies</w:t>
      </w:r>
      <w:r w:rsidR="005A64DB">
        <w:rPr>
          <w:lang w:val="en-US"/>
        </w:rPr>
        <w:t>,</w:t>
      </w:r>
      <w:r w:rsidR="00CE143D">
        <w:rPr>
          <w:lang w:val="en-US"/>
        </w:rPr>
        <w:t xml:space="preserve"> </w:t>
      </w:r>
      <w:r w:rsidR="003C4C93" w:rsidRPr="002843B3">
        <w:rPr>
          <w:lang w:val="en-US"/>
        </w:rPr>
        <w:t xml:space="preserve">grew </w:t>
      </w:r>
      <w:r>
        <w:rPr>
          <w:lang w:val="en-US"/>
        </w:rPr>
        <w:t>9</w:t>
      </w:r>
      <w:r w:rsidR="00A950E0">
        <w:rPr>
          <w:lang w:val="en-US"/>
        </w:rPr>
        <w:t>.</w:t>
      </w:r>
      <w:r>
        <w:rPr>
          <w:lang w:val="en-US"/>
        </w:rPr>
        <w:t>9</w:t>
      </w:r>
      <w:r w:rsidR="00C710A8">
        <w:rPr>
          <w:lang w:val="en-US"/>
        </w:rPr>
        <w:t>%</w:t>
      </w:r>
      <w:r w:rsidR="00BD3CFA">
        <w:rPr>
          <w:lang w:val="en-US"/>
        </w:rPr>
        <w:t xml:space="preserve"> to </w:t>
      </w:r>
      <w:r w:rsidR="003C4C93" w:rsidRPr="002843B3">
        <w:rPr>
          <w:lang w:val="en-US"/>
        </w:rPr>
        <w:t>€</w:t>
      </w:r>
      <w:r>
        <w:rPr>
          <w:lang w:val="en-US"/>
        </w:rPr>
        <w:t>681</w:t>
      </w:r>
      <w:r w:rsidR="00A950E0">
        <w:rPr>
          <w:lang w:val="en-US"/>
        </w:rPr>
        <w:t>.</w:t>
      </w:r>
      <w:r>
        <w:rPr>
          <w:lang w:val="en-US"/>
        </w:rPr>
        <w:t>1</w:t>
      </w:r>
      <w:r w:rsidR="003C4C93" w:rsidRPr="002843B3">
        <w:rPr>
          <w:lang w:val="en-US"/>
        </w:rPr>
        <w:t xml:space="preserve"> million. </w:t>
      </w:r>
      <w:r w:rsidR="00BD3CFA">
        <w:rPr>
          <w:lang w:val="en-US"/>
        </w:rPr>
        <w:t>This was</w:t>
      </w:r>
      <w:r w:rsidR="00636DE0">
        <w:rPr>
          <w:lang w:val="en-US"/>
        </w:rPr>
        <w:t xml:space="preserve"> backed by</w:t>
      </w:r>
      <w:r w:rsidR="003C4C93" w:rsidRPr="002843B3">
        <w:rPr>
          <w:lang w:val="en-US"/>
        </w:rPr>
        <w:t xml:space="preserve"> an increase in revenue of </w:t>
      </w:r>
      <w:r>
        <w:rPr>
          <w:lang w:val="en-US"/>
        </w:rPr>
        <w:t>10</w:t>
      </w:r>
      <w:r w:rsidR="00A950E0">
        <w:rPr>
          <w:lang w:val="en-US"/>
        </w:rPr>
        <w:t>.</w:t>
      </w:r>
      <w:r w:rsidR="00722C99">
        <w:rPr>
          <w:lang w:val="en-US"/>
        </w:rPr>
        <w:t>1</w:t>
      </w:r>
      <w:r w:rsidR="00BD3CFA">
        <w:rPr>
          <w:lang w:val="en-US"/>
        </w:rPr>
        <w:t>%</w:t>
      </w:r>
      <w:r w:rsidR="003C4C93" w:rsidRPr="002843B3">
        <w:rPr>
          <w:lang w:val="en-US"/>
        </w:rPr>
        <w:t>, to €</w:t>
      </w:r>
      <w:r>
        <w:rPr>
          <w:lang w:val="en-US"/>
        </w:rPr>
        <w:t>3</w:t>
      </w:r>
      <w:r w:rsidR="00A950E0">
        <w:rPr>
          <w:lang w:val="en-US"/>
        </w:rPr>
        <w:t>,</w:t>
      </w:r>
      <w:r>
        <w:rPr>
          <w:lang w:val="en-US"/>
        </w:rPr>
        <w:t>417</w:t>
      </w:r>
      <w:r w:rsidR="00A950E0">
        <w:rPr>
          <w:lang w:val="en-US"/>
        </w:rPr>
        <w:t>.</w:t>
      </w:r>
      <w:r>
        <w:rPr>
          <w:lang w:val="en-US"/>
        </w:rPr>
        <w:t>7</w:t>
      </w:r>
      <w:r w:rsidR="003C4C93" w:rsidRPr="002843B3">
        <w:rPr>
          <w:lang w:val="en-US"/>
        </w:rPr>
        <w:t xml:space="preserve"> million, and </w:t>
      </w:r>
      <w:r w:rsidR="00924B02">
        <w:rPr>
          <w:lang w:val="en-US"/>
        </w:rPr>
        <w:t xml:space="preserve">EBITDA growth of </w:t>
      </w:r>
      <w:r w:rsidR="00A950E0">
        <w:rPr>
          <w:lang w:val="en-US"/>
        </w:rPr>
        <w:t>9.</w:t>
      </w:r>
      <w:r>
        <w:rPr>
          <w:lang w:val="en-US"/>
        </w:rPr>
        <w:t>9</w:t>
      </w:r>
      <w:r w:rsidR="003C4C93" w:rsidRPr="002843B3">
        <w:rPr>
          <w:lang w:val="en-US"/>
        </w:rPr>
        <w:t>%, to €</w:t>
      </w:r>
      <w:r w:rsidR="00A950E0">
        <w:rPr>
          <w:lang w:val="en-US"/>
        </w:rPr>
        <w:t>1,</w:t>
      </w:r>
      <w:r>
        <w:rPr>
          <w:lang w:val="en-US"/>
        </w:rPr>
        <w:t>306</w:t>
      </w:r>
      <w:r w:rsidR="00A950E0">
        <w:rPr>
          <w:lang w:val="en-US"/>
        </w:rPr>
        <w:t>.</w:t>
      </w:r>
      <w:r>
        <w:rPr>
          <w:lang w:val="en-US"/>
        </w:rPr>
        <w:t>0</w:t>
      </w:r>
      <w:r w:rsidR="003C4C93" w:rsidRPr="002843B3">
        <w:rPr>
          <w:lang w:val="en-US"/>
        </w:rPr>
        <w:t xml:space="preserve"> million.</w:t>
      </w:r>
    </w:p>
    <w:p w14:paraId="4E043F98" w14:textId="77777777" w:rsidR="00862464" w:rsidRDefault="00862464" w:rsidP="004D2521">
      <w:pPr>
        <w:suppressAutoHyphens/>
        <w:autoSpaceDE w:val="0"/>
        <w:autoSpaceDN w:val="0"/>
        <w:adjustRightInd w:val="0"/>
        <w:spacing w:line="240" w:lineRule="auto"/>
        <w:rPr>
          <w:rFonts w:ascii="Tms Rmn" w:hAnsi="Tms Rmn"/>
          <w:sz w:val="24"/>
          <w:szCs w:val="24"/>
          <w:lang w:val="en-US"/>
        </w:rPr>
      </w:pPr>
    </w:p>
    <w:p w14:paraId="14089705" w14:textId="16DA70FB" w:rsidR="00825558" w:rsidRPr="002843B3" w:rsidRDefault="00825558" w:rsidP="004D2521">
      <w:pPr>
        <w:suppressAutoHyphens/>
        <w:rPr>
          <w:b/>
          <w:lang w:val="en-US"/>
        </w:rPr>
      </w:pPr>
      <w:r w:rsidRPr="002843B3">
        <w:rPr>
          <w:b/>
          <w:lang w:val="en-US"/>
        </w:rPr>
        <w:t xml:space="preserve">Luis </w:t>
      </w:r>
      <w:proofErr w:type="spellStart"/>
      <w:r w:rsidRPr="002843B3">
        <w:rPr>
          <w:b/>
          <w:lang w:val="en-US"/>
        </w:rPr>
        <w:t>Maroto</w:t>
      </w:r>
      <w:proofErr w:type="spellEnd"/>
      <w:r w:rsidRPr="002843B3">
        <w:rPr>
          <w:b/>
          <w:lang w:val="en-US"/>
        </w:rPr>
        <w:t xml:space="preserve">, </w:t>
      </w:r>
      <w:proofErr w:type="gramStart"/>
      <w:r w:rsidR="003069A3" w:rsidRPr="002843B3">
        <w:rPr>
          <w:b/>
          <w:lang w:val="en-US"/>
        </w:rPr>
        <w:t>President</w:t>
      </w:r>
      <w:r w:rsidR="00386AE2">
        <w:rPr>
          <w:b/>
          <w:lang w:val="en-US"/>
        </w:rPr>
        <w:t xml:space="preserve"> </w:t>
      </w:r>
      <w:r w:rsidR="003069A3">
        <w:rPr>
          <w:b/>
          <w:lang w:val="en-US"/>
        </w:rPr>
        <w:t>&amp;</w:t>
      </w:r>
      <w:proofErr w:type="gramEnd"/>
      <w:r w:rsidR="00386AE2">
        <w:rPr>
          <w:b/>
          <w:lang w:val="en-US"/>
        </w:rPr>
        <w:t xml:space="preserve"> </w:t>
      </w:r>
      <w:r w:rsidRPr="002843B3">
        <w:rPr>
          <w:b/>
          <w:lang w:val="en-US"/>
        </w:rPr>
        <w:t>CEO of Amadeus, commented:</w:t>
      </w:r>
    </w:p>
    <w:p w14:paraId="28964467" w14:textId="77777777" w:rsidR="00825558" w:rsidRDefault="00825558" w:rsidP="004D2521">
      <w:pPr>
        <w:suppressAutoHyphens/>
        <w:rPr>
          <w:lang w:val="en-US"/>
        </w:rPr>
      </w:pPr>
    </w:p>
    <w:p w14:paraId="0E42E83B" w14:textId="065E9584" w:rsidR="001442EC" w:rsidRDefault="001442EC" w:rsidP="004D2521">
      <w:pPr>
        <w:suppressAutoHyphens/>
        <w:rPr>
          <w:lang w:val="en-US"/>
        </w:rPr>
      </w:pPr>
      <w:r>
        <w:rPr>
          <w:lang w:val="en-US"/>
        </w:rPr>
        <w:t>“Amadeus</w:t>
      </w:r>
      <w:r w:rsidR="00A347E6">
        <w:rPr>
          <w:lang w:val="en-US"/>
        </w:rPr>
        <w:t xml:space="preserve">’ results and </w:t>
      </w:r>
      <w:r w:rsidR="00BA7557">
        <w:rPr>
          <w:lang w:val="en-US"/>
        </w:rPr>
        <w:t>focus</w:t>
      </w:r>
      <w:r w:rsidR="00935768">
        <w:rPr>
          <w:lang w:val="en-US"/>
        </w:rPr>
        <w:t xml:space="preserve"> </w:t>
      </w:r>
      <w:r w:rsidR="00A347E6">
        <w:rPr>
          <w:lang w:val="en-US"/>
        </w:rPr>
        <w:t xml:space="preserve">clearly indicate that we remain a trusted partner at the heart of the travel industry. Our </w:t>
      </w:r>
      <w:r>
        <w:rPr>
          <w:lang w:val="en-US"/>
        </w:rPr>
        <w:t>core businesses continued to showcase strength</w:t>
      </w:r>
      <w:r w:rsidR="00A347E6">
        <w:rPr>
          <w:lang w:val="en-US"/>
        </w:rPr>
        <w:t xml:space="preserve">, with </w:t>
      </w:r>
      <w:r w:rsidR="00FB4BFB">
        <w:rPr>
          <w:lang w:val="en-US"/>
        </w:rPr>
        <w:t xml:space="preserve">market share gains in </w:t>
      </w:r>
      <w:r>
        <w:rPr>
          <w:lang w:val="en-US"/>
        </w:rPr>
        <w:t>Distribution especially in North America and Asia</w:t>
      </w:r>
      <w:r w:rsidR="00DB3E80">
        <w:rPr>
          <w:lang w:val="en-US"/>
        </w:rPr>
        <w:t>-</w:t>
      </w:r>
      <w:r>
        <w:rPr>
          <w:lang w:val="en-US"/>
        </w:rPr>
        <w:t xml:space="preserve">Pacific. Our long-term commitment to low-cost and hybrid carriers gained further momentum, with </w:t>
      </w:r>
      <w:r w:rsidR="002F6C65">
        <w:rPr>
          <w:lang w:val="en-US"/>
        </w:rPr>
        <w:t>a 16% booking increase year</w:t>
      </w:r>
      <w:r w:rsidR="005A6F3D">
        <w:rPr>
          <w:lang w:val="en-US"/>
        </w:rPr>
        <w:t>-</w:t>
      </w:r>
      <w:r w:rsidR="002F6C65">
        <w:rPr>
          <w:lang w:val="en-US"/>
        </w:rPr>
        <w:t>on</w:t>
      </w:r>
      <w:r w:rsidR="005A6F3D">
        <w:rPr>
          <w:lang w:val="en-US"/>
        </w:rPr>
        <w:t>-</w:t>
      </w:r>
      <w:r w:rsidR="002F6C65">
        <w:rPr>
          <w:lang w:val="en-US"/>
        </w:rPr>
        <w:t xml:space="preserve">year </w:t>
      </w:r>
      <w:r>
        <w:rPr>
          <w:lang w:val="en-US"/>
        </w:rPr>
        <w:t xml:space="preserve">and a landmark partnership with </w:t>
      </w:r>
      <w:proofErr w:type="spellStart"/>
      <w:r>
        <w:rPr>
          <w:lang w:val="en-US"/>
        </w:rPr>
        <w:t>Ryanair</w:t>
      </w:r>
      <w:proofErr w:type="spellEnd"/>
      <w:r>
        <w:rPr>
          <w:lang w:val="en-US"/>
        </w:rPr>
        <w:t>.</w:t>
      </w:r>
    </w:p>
    <w:p w14:paraId="37D3E9FD" w14:textId="77777777" w:rsidR="001442EC" w:rsidRDefault="001442EC" w:rsidP="004D2521">
      <w:pPr>
        <w:suppressAutoHyphens/>
        <w:rPr>
          <w:lang w:val="en-US"/>
        </w:rPr>
      </w:pPr>
    </w:p>
    <w:p w14:paraId="57C45E7C" w14:textId="18E56906" w:rsidR="001442EC" w:rsidRDefault="001442EC" w:rsidP="004D2521">
      <w:pPr>
        <w:suppressAutoHyphens/>
      </w:pPr>
      <w:r>
        <w:rPr>
          <w:lang w:val="en-US"/>
        </w:rPr>
        <w:t>“Asia</w:t>
      </w:r>
      <w:r w:rsidR="005A6F3D">
        <w:rPr>
          <w:lang w:val="en-US"/>
        </w:rPr>
        <w:t>-</w:t>
      </w:r>
      <w:r>
        <w:rPr>
          <w:lang w:val="en-US"/>
        </w:rPr>
        <w:t>Pacific continued to be the main driver of growth</w:t>
      </w:r>
      <w:r w:rsidR="00A347E6">
        <w:rPr>
          <w:lang w:val="en-US"/>
        </w:rPr>
        <w:t xml:space="preserve"> for IT Solutions</w:t>
      </w:r>
      <w:r>
        <w:rPr>
          <w:lang w:val="en-US"/>
        </w:rPr>
        <w:t xml:space="preserve">, </w:t>
      </w:r>
      <w:r w:rsidR="002F6C65">
        <w:rPr>
          <w:lang w:val="en-US"/>
        </w:rPr>
        <w:t>supported</w:t>
      </w:r>
      <w:r>
        <w:rPr>
          <w:lang w:val="en-US"/>
        </w:rPr>
        <w:t xml:space="preserve"> by the migration of Korean Air later in the year</w:t>
      </w:r>
      <w:r w:rsidR="003C27FD">
        <w:rPr>
          <w:lang w:val="en-US"/>
        </w:rPr>
        <w:t>.</w:t>
      </w:r>
      <w:r>
        <w:rPr>
          <w:lang w:val="en-US"/>
        </w:rPr>
        <w:t xml:space="preserve"> </w:t>
      </w:r>
      <w:r w:rsidR="003C27FD">
        <w:rPr>
          <w:lang w:val="en-US"/>
        </w:rPr>
        <w:t>T</w:t>
      </w:r>
      <w:r>
        <w:rPr>
          <w:lang w:val="en-US"/>
        </w:rPr>
        <w:t xml:space="preserve">his will </w:t>
      </w:r>
      <w:r w:rsidR="002F6C65">
        <w:rPr>
          <w:lang w:val="en-US"/>
        </w:rPr>
        <w:t>expand</w:t>
      </w:r>
      <w:r>
        <w:rPr>
          <w:lang w:val="en-US"/>
        </w:rPr>
        <w:t xml:space="preserve"> further w</w:t>
      </w:r>
      <w:r w:rsidR="002F6C65">
        <w:rPr>
          <w:lang w:val="en-US"/>
        </w:rPr>
        <w:t>ith</w:t>
      </w:r>
      <w:r>
        <w:rPr>
          <w:lang w:val="en-US"/>
        </w:rPr>
        <w:t xml:space="preserve"> </w:t>
      </w:r>
      <w:r w:rsidR="002F6C65">
        <w:rPr>
          <w:lang w:val="en-US"/>
        </w:rPr>
        <w:t xml:space="preserve">the scheduled migration of </w:t>
      </w:r>
      <w:r w:rsidR="003C27FD" w:rsidRPr="003C27FD">
        <w:rPr>
          <w:lang w:val="en-US"/>
        </w:rPr>
        <w:t xml:space="preserve">a number of Asian carriers </w:t>
      </w:r>
      <w:r w:rsidR="003C27FD">
        <w:rPr>
          <w:lang w:val="en-US"/>
        </w:rPr>
        <w:t xml:space="preserve">in the coming years, </w:t>
      </w:r>
      <w:r w:rsidR="003C27FD" w:rsidRPr="003C27FD">
        <w:rPr>
          <w:lang w:val="en-US"/>
        </w:rPr>
        <w:t xml:space="preserve">such as Japan Airlines </w:t>
      </w:r>
      <w:r w:rsidR="003C27FD">
        <w:rPr>
          <w:lang w:val="en-US"/>
        </w:rPr>
        <w:t xml:space="preserve">and </w:t>
      </w:r>
      <w:r w:rsidR="003C27FD" w:rsidRPr="003C27FD">
        <w:rPr>
          <w:lang w:val="en-US"/>
        </w:rPr>
        <w:t xml:space="preserve">the international passengers business </w:t>
      </w:r>
      <w:r w:rsidR="003C27FD">
        <w:rPr>
          <w:lang w:val="en-US"/>
        </w:rPr>
        <w:t>of All Nippon Airways</w:t>
      </w:r>
      <w:r>
        <w:rPr>
          <w:lang w:val="en-US"/>
        </w:rPr>
        <w:t xml:space="preserve">. </w:t>
      </w:r>
      <w:r w:rsidR="002F6C65">
        <w:rPr>
          <w:lang w:val="en-US"/>
        </w:rPr>
        <w:t xml:space="preserve">Our continued efforts and focus on </w:t>
      </w:r>
      <w:r>
        <w:rPr>
          <w:lang w:val="en-US"/>
        </w:rPr>
        <w:t xml:space="preserve">North America </w:t>
      </w:r>
      <w:r w:rsidR="002F6C65">
        <w:rPr>
          <w:lang w:val="en-US"/>
        </w:rPr>
        <w:t xml:space="preserve">led to </w:t>
      </w:r>
      <w:r>
        <w:rPr>
          <w:lang w:val="en-US"/>
        </w:rPr>
        <w:t xml:space="preserve">the groundbreaking Southwest Airlines domestic contract. We now expect </w:t>
      </w:r>
      <w:r w:rsidR="003C27FD" w:rsidRPr="00EB7D85">
        <w:rPr>
          <w:lang w:val="en-US"/>
        </w:rPr>
        <w:t>annual contracted</w:t>
      </w:r>
      <w:r w:rsidR="003C27FD">
        <w:rPr>
          <w:lang w:val="en-US"/>
        </w:rPr>
        <w:t xml:space="preserve"> </w:t>
      </w:r>
      <w:r>
        <w:rPr>
          <w:lang w:val="en-US"/>
        </w:rPr>
        <w:t xml:space="preserve">PBs of </w:t>
      </w:r>
      <w:r w:rsidR="00DB3E80">
        <w:rPr>
          <w:lang w:val="en-US"/>
        </w:rPr>
        <w:t xml:space="preserve">close to </w:t>
      </w:r>
      <w:r>
        <w:rPr>
          <w:lang w:val="en-US"/>
        </w:rPr>
        <w:t>one billion</w:t>
      </w:r>
      <w:r w:rsidR="00DD10EE">
        <w:rPr>
          <w:rStyle w:val="EndnoteReference"/>
          <w:lang w:val="en-US"/>
        </w:rPr>
        <w:endnoteReference w:id="2"/>
      </w:r>
      <w:r>
        <w:rPr>
          <w:lang w:val="en-US"/>
        </w:rPr>
        <w:t xml:space="preserve"> by 2017, an increase of 44% over 2014. </w:t>
      </w:r>
    </w:p>
    <w:p w14:paraId="23699124" w14:textId="77777777" w:rsidR="001442EC" w:rsidRDefault="001442EC" w:rsidP="004D2521">
      <w:pPr>
        <w:suppressAutoHyphens/>
      </w:pPr>
    </w:p>
    <w:p w14:paraId="11425B93" w14:textId="491CDE13" w:rsidR="001442EC" w:rsidRDefault="00A347E6" w:rsidP="004D2521">
      <w:pPr>
        <w:suppressAutoHyphens/>
        <w:rPr>
          <w:lang w:val="en-US"/>
        </w:rPr>
      </w:pPr>
      <w:r>
        <w:rPr>
          <w:lang w:val="en-US"/>
        </w:rPr>
        <w:t>“Furthermore, o</w:t>
      </w:r>
      <w:r w:rsidR="001442EC">
        <w:rPr>
          <w:lang w:val="en-US"/>
        </w:rPr>
        <w:t xml:space="preserve">ur recent strategic acquisitions – </w:t>
      </w:r>
      <w:proofErr w:type="spellStart"/>
      <w:r w:rsidR="001442EC">
        <w:rPr>
          <w:lang w:val="en-US"/>
        </w:rPr>
        <w:t>Newmarket</w:t>
      </w:r>
      <w:proofErr w:type="spellEnd"/>
      <w:r w:rsidR="001442EC">
        <w:rPr>
          <w:lang w:val="en-US"/>
        </w:rPr>
        <w:t xml:space="preserve"> International in the </w:t>
      </w:r>
      <w:r w:rsidR="005A6F3D">
        <w:rPr>
          <w:lang w:val="en-US"/>
        </w:rPr>
        <w:t xml:space="preserve">hotel </w:t>
      </w:r>
      <w:r w:rsidR="001442EC">
        <w:rPr>
          <w:lang w:val="en-US"/>
        </w:rPr>
        <w:t xml:space="preserve">IT space, UFIS in the </w:t>
      </w:r>
      <w:r w:rsidR="005A6F3D">
        <w:rPr>
          <w:lang w:val="en-US"/>
        </w:rPr>
        <w:t xml:space="preserve">airport </w:t>
      </w:r>
      <w:r w:rsidR="001442EC">
        <w:rPr>
          <w:lang w:val="en-US"/>
        </w:rPr>
        <w:t>IT business and i</w:t>
      </w:r>
      <w:proofErr w:type="gramStart"/>
      <w:r w:rsidR="001442EC">
        <w:rPr>
          <w:lang w:val="en-US"/>
        </w:rPr>
        <w:t>:FAO</w:t>
      </w:r>
      <w:proofErr w:type="gramEnd"/>
      <w:r w:rsidR="001442EC">
        <w:rPr>
          <w:lang w:val="en-US"/>
        </w:rPr>
        <w:t xml:space="preserve"> in the </w:t>
      </w:r>
      <w:r w:rsidR="005A6F3D">
        <w:rPr>
          <w:lang w:val="en-US"/>
        </w:rPr>
        <w:t xml:space="preserve">corporate travel </w:t>
      </w:r>
      <w:r w:rsidR="001442EC">
        <w:rPr>
          <w:lang w:val="en-US"/>
        </w:rPr>
        <w:t>IT segment – are already contributing positively.</w:t>
      </w:r>
    </w:p>
    <w:p w14:paraId="57110B9E" w14:textId="77777777" w:rsidR="008F2EC0" w:rsidRDefault="008F2EC0" w:rsidP="004D2521">
      <w:pPr>
        <w:suppressAutoHyphens/>
        <w:rPr>
          <w:lang w:val="en-US"/>
        </w:rPr>
      </w:pPr>
    </w:p>
    <w:p w14:paraId="0EE42093" w14:textId="00895C94" w:rsidR="001442EC" w:rsidRPr="001442EC" w:rsidRDefault="00A347E6" w:rsidP="004D2521">
      <w:pPr>
        <w:suppressAutoHyphens/>
        <w:rPr>
          <w:lang w:val="en-US"/>
        </w:rPr>
      </w:pPr>
      <w:r>
        <w:rPr>
          <w:lang w:val="en-US"/>
        </w:rPr>
        <w:t>“</w:t>
      </w:r>
      <w:r w:rsidR="008F2EC0">
        <w:rPr>
          <w:lang w:val="en-US"/>
        </w:rPr>
        <w:t>I am confident that i</w:t>
      </w:r>
      <w:r w:rsidR="001442EC">
        <w:rPr>
          <w:lang w:val="en-US"/>
        </w:rPr>
        <w:t>n 2015</w:t>
      </w:r>
      <w:r w:rsidR="00386AE2">
        <w:rPr>
          <w:lang w:val="en-US"/>
        </w:rPr>
        <w:t xml:space="preserve">, our people, our technology and </w:t>
      </w:r>
      <w:r w:rsidR="001442EC">
        <w:rPr>
          <w:lang w:val="en-US"/>
        </w:rPr>
        <w:t>the strength and resilience of our business model</w:t>
      </w:r>
      <w:r w:rsidR="008D54B4">
        <w:rPr>
          <w:lang w:val="en-US"/>
        </w:rPr>
        <w:t xml:space="preserve"> </w:t>
      </w:r>
      <w:r w:rsidR="008F2EC0">
        <w:rPr>
          <w:lang w:val="en-US"/>
        </w:rPr>
        <w:t xml:space="preserve">will allow us to make further progress </w:t>
      </w:r>
      <w:r w:rsidR="008D54B4">
        <w:rPr>
          <w:lang w:val="en-US"/>
        </w:rPr>
        <w:t xml:space="preserve">and </w:t>
      </w:r>
      <w:r w:rsidR="008F2EC0">
        <w:rPr>
          <w:lang w:val="en-US"/>
        </w:rPr>
        <w:t xml:space="preserve">we </w:t>
      </w:r>
      <w:r w:rsidR="008D54B4">
        <w:rPr>
          <w:lang w:val="en-US"/>
        </w:rPr>
        <w:t xml:space="preserve">expect </w:t>
      </w:r>
      <w:r>
        <w:rPr>
          <w:lang w:val="en-US"/>
        </w:rPr>
        <w:t xml:space="preserve">continued </w:t>
      </w:r>
      <w:r w:rsidR="008D54B4">
        <w:rPr>
          <w:lang w:val="en-US"/>
        </w:rPr>
        <w:t xml:space="preserve">growth for </w:t>
      </w:r>
      <w:r>
        <w:rPr>
          <w:lang w:val="en-US"/>
        </w:rPr>
        <w:t>our core businesses</w:t>
      </w:r>
      <w:r w:rsidR="001442EC">
        <w:rPr>
          <w:lang w:val="en-US"/>
        </w:rPr>
        <w:t>.”</w:t>
      </w:r>
    </w:p>
    <w:p w14:paraId="7B75186F" w14:textId="472FC26F" w:rsidR="00B4209E" w:rsidRPr="001442EC" w:rsidRDefault="00B4209E" w:rsidP="004D2521">
      <w:pPr>
        <w:suppressAutoHyphens/>
        <w:rPr>
          <w:lang w:val="en-IE"/>
        </w:rPr>
      </w:pPr>
    </w:p>
    <w:p w14:paraId="3F4104CA" w14:textId="2F9E67A9" w:rsidR="007D603D" w:rsidRDefault="007D603D" w:rsidP="004D2521">
      <w:pPr>
        <w:suppressAutoHyphens/>
        <w:rPr>
          <w:lang w:val="en-US"/>
        </w:rPr>
      </w:pPr>
    </w:p>
    <w:p w14:paraId="27D7D8C4" w14:textId="77777777" w:rsidR="00A347E6" w:rsidRDefault="00A347E6" w:rsidP="004D2521">
      <w:pPr>
        <w:suppressAutoHyphens/>
        <w:rPr>
          <w:b/>
          <w:lang w:val="en-US"/>
        </w:rPr>
      </w:pPr>
      <w:r>
        <w:rPr>
          <w:b/>
          <w:lang w:val="en-US"/>
        </w:rPr>
        <w:br w:type="page"/>
      </w:r>
    </w:p>
    <w:p w14:paraId="3C61892F" w14:textId="5F1E48B3" w:rsidR="00B00762" w:rsidRPr="002843B3" w:rsidRDefault="003A7EA9" w:rsidP="004D2521">
      <w:pPr>
        <w:suppressAutoHyphens/>
        <w:rPr>
          <w:b/>
          <w:lang w:val="en-US"/>
        </w:rPr>
      </w:pPr>
      <w:r>
        <w:rPr>
          <w:b/>
          <w:lang w:val="en-US"/>
        </w:rPr>
        <w:lastRenderedPageBreak/>
        <w:t>F</w:t>
      </w:r>
      <w:r w:rsidR="00B00762" w:rsidRPr="002843B3">
        <w:rPr>
          <w:b/>
          <w:lang w:val="en-US"/>
        </w:rPr>
        <w:t>inancial highlights</w:t>
      </w:r>
    </w:p>
    <w:p w14:paraId="04D894B6" w14:textId="77777777" w:rsidR="00B00762" w:rsidRPr="002843B3" w:rsidRDefault="00B00762" w:rsidP="004D2521">
      <w:pPr>
        <w:suppressAutoHyphens/>
        <w:rPr>
          <w:lang w:val="en-US"/>
        </w:rPr>
      </w:pPr>
    </w:p>
    <w:p w14:paraId="03CDCC48" w14:textId="4106977D" w:rsidR="003C4C93" w:rsidRDefault="003C4C93" w:rsidP="004D2521">
      <w:pPr>
        <w:suppressAutoHyphens/>
        <w:rPr>
          <w:lang w:val="en-US"/>
        </w:rPr>
      </w:pPr>
      <w:r w:rsidRPr="002843B3">
        <w:rPr>
          <w:lang w:val="en-US"/>
        </w:rPr>
        <w:t xml:space="preserve">Consolidated net financial debt </w:t>
      </w:r>
      <w:r w:rsidR="004B1F5B">
        <w:rPr>
          <w:lang w:val="en-US"/>
        </w:rPr>
        <w:t xml:space="preserve">stood at </w:t>
      </w:r>
      <w:r w:rsidRPr="002843B3">
        <w:rPr>
          <w:lang w:val="en-US"/>
        </w:rPr>
        <w:t>€</w:t>
      </w:r>
      <w:r w:rsidR="0004127C">
        <w:rPr>
          <w:lang w:val="en-US"/>
        </w:rPr>
        <w:t>1,</w:t>
      </w:r>
      <w:r w:rsidR="00FA62DA">
        <w:rPr>
          <w:lang w:val="en-US"/>
        </w:rPr>
        <w:t>738</w:t>
      </w:r>
      <w:r w:rsidR="0004127C">
        <w:rPr>
          <w:lang w:val="en-US"/>
        </w:rPr>
        <w:t>.</w:t>
      </w:r>
      <w:r w:rsidR="00FA62DA">
        <w:rPr>
          <w:lang w:val="en-US"/>
        </w:rPr>
        <w:t>5</w:t>
      </w:r>
      <w:r w:rsidRPr="002843B3">
        <w:rPr>
          <w:lang w:val="en-US"/>
        </w:rPr>
        <w:t xml:space="preserve"> million</w:t>
      </w:r>
      <w:r w:rsidR="008F2EC0">
        <w:rPr>
          <w:lang w:val="en-US"/>
        </w:rPr>
        <w:t xml:space="preserve"> at</w:t>
      </w:r>
      <w:r w:rsidRPr="002843B3">
        <w:rPr>
          <w:lang w:val="en-US"/>
        </w:rPr>
        <w:t xml:space="preserve"> </w:t>
      </w:r>
      <w:r w:rsidR="00FA62DA">
        <w:rPr>
          <w:lang w:val="en-US"/>
        </w:rPr>
        <w:t>December 31</w:t>
      </w:r>
      <w:r w:rsidRPr="002843B3">
        <w:rPr>
          <w:lang w:val="en-US"/>
        </w:rPr>
        <w:t>, 201</w:t>
      </w:r>
      <w:r w:rsidR="004B1F5B">
        <w:rPr>
          <w:lang w:val="en-US"/>
        </w:rPr>
        <w:t>4</w:t>
      </w:r>
      <w:r w:rsidR="00AB2658">
        <w:rPr>
          <w:lang w:val="en-US"/>
        </w:rPr>
        <w:t>,</w:t>
      </w:r>
      <w:r w:rsidR="004B1F5B">
        <w:rPr>
          <w:lang w:val="en-US"/>
        </w:rPr>
        <w:t xml:space="preserve"> representing 1.</w:t>
      </w:r>
      <w:r w:rsidR="00FA62DA">
        <w:rPr>
          <w:lang w:val="en-US"/>
        </w:rPr>
        <w:t>32</w:t>
      </w:r>
      <w:r w:rsidR="00CE4733">
        <w:rPr>
          <w:lang w:val="en-US"/>
        </w:rPr>
        <w:t>x</w:t>
      </w:r>
      <w:r w:rsidR="004B1F5B">
        <w:rPr>
          <w:lang w:val="en-US"/>
        </w:rPr>
        <w:t xml:space="preserve"> the ratio </w:t>
      </w:r>
      <w:r w:rsidRPr="002843B3">
        <w:rPr>
          <w:lang w:val="en-US"/>
        </w:rPr>
        <w:t xml:space="preserve">of </w:t>
      </w:r>
      <w:r w:rsidR="008C5679" w:rsidRPr="002843B3">
        <w:rPr>
          <w:lang w:val="en-US"/>
        </w:rPr>
        <w:t xml:space="preserve">covenant net </w:t>
      </w:r>
      <w:r w:rsidRPr="002843B3">
        <w:rPr>
          <w:lang w:val="en-US"/>
        </w:rPr>
        <w:t>debt to the last twelve months’ covenant EBITDA.</w:t>
      </w:r>
      <w:r w:rsidR="00FA62DA">
        <w:rPr>
          <w:lang w:val="en-US"/>
        </w:rPr>
        <w:t xml:space="preserve"> </w:t>
      </w:r>
    </w:p>
    <w:p w14:paraId="0922A88C" w14:textId="77777777" w:rsidR="004C7450" w:rsidRDefault="004C7450" w:rsidP="004D2521">
      <w:pPr>
        <w:suppressAutoHyphens/>
        <w:rPr>
          <w:lang w:val="en-US"/>
        </w:rPr>
      </w:pPr>
    </w:p>
    <w:p w14:paraId="47F9CE5A" w14:textId="183CB332" w:rsidR="00FA62DA" w:rsidRDefault="00FA62DA" w:rsidP="004D2521">
      <w:pPr>
        <w:suppressAutoHyphens/>
        <w:rPr>
          <w:lang w:val="en-US"/>
        </w:rPr>
      </w:pPr>
      <w:r w:rsidRPr="00FA62DA">
        <w:rPr>
          <w:lang w:val="en-US"/>
        </w:rPr>
        <w:t xml:space="preserve">The Board of Directors of Amadeus at </w:t>
      </w:r>
      <w:r w:rsidR="00935768">
        <w:rPr>
          <w:lang w:val="en-US"/>
        </w:rPr>
        <w:t>its</w:t>
      </w:r>
      <w:r w:rsidR="00935768" w:rsidRPr="00FA62DA">
        <w:rPr>
          <w:lang w:val="en-US"/>
        </w:rPr>
        <w:t xml:space="preserve"> </w:t>
      </w:r>
      <w:r w:rsidRPr="00FA62DA">
        <w:rPr>
          <w:lang w:val="en-US"/>
        </w:rPr>
        <w:t>meeting of 11 December 2014 agreed to</w:t>
      </w:r>
      <w:r>
        <w:rPr>
          <w:lang w:val="en-US"/>
        </w:rPr>
        <w:t xml:space="preserve"> </w:t>
      </w:r>
      <w:r w:rsidRPr="00FA62DA">
        <w:rPr>
          <w:lang w:val="en-US"/>
        </w:rPr>
        <w:t xml:space="preserve">undertake a share buy-back </w:t>
      </w:r>
      <w:proofErr w:type="spellStart"/>
      <w:r w:rsidRPr="00FA62DA">
        <w:rPr>
          <w:lang w:val="en-US"/>
        </w:rPr>
        <w:t>programme</w:t>
      </w:r>
      <w:proofErr w:type="spellEnd"/>
      <w:r w:rsidRPr="00FA62DA">
        <w:rPr>
          <w:lang w:val="en-US"/>
        </w:rPr>
        <w:t xml:space="preserve">, in accordance with the </w:t>
      </w:r>
      <w:proofErr w:type="spellStart"/>
      <w:r w:rsidRPr="00FA62DA">
        <w:rPr>
          <w:lang w:val="en-US"/>
        </w:rPr>
        <w:t>authorisation</w:t>
      </w:r>
      <w:proofErr w:type="spellEnd"/>
      <w:r w:rsidRPr="00FA62DA">
        <w:rPr>
          <w:lang w:val="en-US"/>
        </w:rPr>
        <w:t xml:space="preserve"> granted by the Annual General Shareholders Meeting held on 20 June 2013, in order to reduce the share capital of the Company (subject to </w:t>
      </w:r>
      <w:r w:rsidR="00935768">
        <w:rPr>
          <w:lang w:val="en-US"/>
        </w:rPr>
        <w:t>approval</w:t>
      </w:r>
      <w:r w:rsidR="00935768" w:rsidRPr="00FA62DA">
        <w:rPr>
          <w:lang w:val="en-US"/>
        </w:rPr>
        <w:t xml:space="preserve"> </w:t>
      </w:r>
      <w:r w:rsidRPr="00FA62DA">
        <w:rPr>
          <w:lang w:val="en-US"/>
        </w:rPr>
        <w:t xml:space="preserve">at the Annual General Shareholders Meeting in June 2015). The </w:t>
      </w:r>
      <w:proofErr w:type="spellStart"/>
      <w:r w:rsidRPr="00FA62DA">
        <w:rPr>
          <w:lang w:val="en-US"/>
        </w:rPr>
        <w:t>programme</w:t>
      </w:r>
      <w:proofErr w:type="spellEnd"/>
      <w:r w:rsidRPr="00FA62DA">
        <w:rPr>
          <w:lang w:val="en-US"/>
        </w:rPr>
        <w:t xml:space="preserve"> will remain in force until May 29, 2015 and the maximum investment will be €320 million, not exceeding 2.79% of the share capital of the Company (or 12,500,000 shares).</w:t>
      </w:r>
    </w:p>
    <w:p w14:paraId="1225ABF3" w14:textId="77777777" w:rsidR="008D5036" w:rsidRDefault="008D5036" w:rsidP="004D2521">
      <w:pPr>
        <w:suppressAutoHyphens/>
        <w:rPr>
          <w:lang w:val="en-US"/>
        </w:rPr>
      </w:pPr>
    </w:p>
    <w:p w14:paraId="4A424884" w14:textId="6B96A5C1" w:rsidR="008D5036" w:rsidRPr="00FA62DA" w:rsidRDefault="008D5036" w:rsidP="004D2521">
      <w:pPr>
        <w:suppressAutoHyphens/>
        <w:rPr>
          <w:lang w:val="en-US"/>
        </w:rPr>
      </w:pPr>
      <w:r>
        <w:t>At the same meeting t</w:t>
      </w:r>
      <w:r w:rsidRPr="00C21AEA">
        <w:t xml:space="preserve">he Board of Directors also proposed a 50% pay-out </w:t>
      </w:r>
      <w:r w:rsidR="00BA7557">
        <w:t>target</w:t>
      </w:r>
      <w:r w:rsidR="00BA7557" w:rsidRPr="00C21AEA">
        <w:t xml:space="preserve"> </w:t>
      </w:r>
      <w:r w:rsidRPr="00C21AEA">
        <w:t>ratio for 2014. Accordingly, the Board of Directors will submit a final gross dividend of €0.70 per share from the 2014 reported profit to the General Shareholders Meeting for approval</w:t>
      </w:r>
      <w:r>
        <w:t xml:space="preserve"> in June 2015</w:t>
      </w:r>
      <w:r w:rsidRPr="00C21AEA">
        <w:t xml:space="preserve">, </w:t>
      </w:r>
      <w:r>
        <w:t xml:space="preserve">representing </w:t>
      </w:r>
      <w:r w:rsidRPr="00C21AEA">
        <w:t>an increase of 12% vs. the 2013 dividend.  An interim gross dividend of €0.32 per share was paid in January 2015.</w:t>
      </w:r>
    </w:p>
    <w:p w14:paraId="10061750" w14:textId="77777777" w:rsidR="004C7450" w:rsidRPr="004C7450" w:rsidRDefault="004C7450" w:rsidP="004D2521">
      <w:pPr>
        <w:suppressAutoHyphens/>
      </w:pPr>
    </w:p>
    <w:p w14:paraId="4FD8754E" w14:textId="77777777" w:rsidR="009D5AF6" w:rsidRDefault="009D5AF6" w:rsidP="004D2521">
      <w:pPr>
        <w:suppressAutoHyphens/>
        <w:rPr>
          <w:rFonts w:eastAsiaTheme="majorEastAsia" w:cstheme="majorBidi"/>
          <w:b/>
          <w:bCs/>
          <w:color w:val="005EB8" w:themeColor="accent1"/>
          <w:sz w:val="22"/>
        </w:rPr>
      </w:pPr>
      <w:r>
        <w:br w:type="page"/>
      </w:r>
    </w:p>
    <w:p w14:paraId="54B9241D" w14:textId="6AFB9037" w:rsidR="00852267" w:rsidRPr="002843B3" w:rsidRDefault="00852267" w:rsidP="004D2521">
      <w:pPr>
        <w:pStyle w:val="Heading3"/>
        <w:suppressAutoHyphens/>
      </w:pPr>
      <w:r w:rsidRPr="002843B3">
        <w:lastRenderedPageBreak/>
        <w:t>Business highlights</w:t>
      </w:r>
      <w:r w:rsidR="000309FF">
        <w:t xml:space="preserve"> </w:t>
      </w:r>
      <w:r w:rsidR="00A15C55">
        <w:t>during</w:t>
      </w:r>
      <w:r w:rsidR="000309FF">
        <w:t xml:space="preserve"> the </w:t>
      </w:r>
      <w:r w:rsidR="006062C4">
        <w:t xml:space="preserve">full year </w:t>
      </w:r>
      <w:r w:rsidR="000309FF">
        <w:t xml:space="preserve"> </w:t>
      </w:r>
    </w:p>
    <w:p w14:paraId="5DAB5462" w14:textId="77777777" w:rsidR="00852267" w:rsidRPr="002843B3" w:rsidRDefault="00852267" w:rsidP="004D2521">
      <w:pPr>
        <w:suppressAutoHyphens/>
      </w:pPr>
    </w:p>
    <w:p w14:paraId="10D12A5E" w14:textId="77777777" w:rsidR="00852267" w:rsidRPr="002843B3" w:rsidRDefault="00A022E5" w:rsidP="004D2521">
      <w:pPr>
        <w:suppressAutoHyphens/>
        <w:rPr>
          <w:b/>
        </w:rPr>
      </w:pPr>
      <w:r w:rsidRPr="002843B3">
        <w:rPr>
          <w:b/>
        </w:rPr>
        <w:t>Distribution</w:t>
      </w:r>
    </w:p>
    <w:p w14:paraId="435307CE" w14:textId="77777777" w:rsidR="00A022E5" w:rsidRPr="002843B3" w:rsidRDefault="00A022E5" w:rsidP="004D2521">
      <w:pPr>
        <w:suppressAutoHyphens/>
      </w:pPr>
    </w:p>
    <w:p w14:paraId="635F3164" w14:textId="21195159" w:rsidR="00A022E5" w:rsidRPr="002843B3" w:rsidRDefault="00A022E5" w:rsidP="004D2521">
      <w:pPr>
        <w:pStyle w:val="ListBullet"/>
        <w:suppressAutoHyphens/>
        <w:rPr>
          <w:lang w:val="en-US"/>
        </w:rPr>
      </w:pPr>
      <w:r w:rsidRPr="002843B3">
        <w:rPr>
          <w:lang w:val="en-US"/>
        </w:rPr>
        <w:t xml:space="preserve">Revenue </w:t>
      </w:r>
      <w:r w:rsidR="006D13D3" w:rsidRPr="002843B3">
        <w:rPr>
          <w:lang w:val="en-US"/>
        </w:rPr>
        <w:t>increased</w:t>
      </w:r>
      <w:r w:rsidR="006D13D3">
        <w:rPr>
          <w:lang w:val="en-US"/>
        </w:rPr>
        <w:t xml:space="preserve"> </w:t>
      </w:r>
      <w:r w:rsidR="006062C4">
        <w:rPr>
          <w:lang w:val="en-US"/>
        </w:rPr>
        <w:t>5.9</w:t>
      </w:r>
      <w:r w:rsidR="00EC2E24" w:rsidRPr="002843B3">
        <w:rPr>
          <w:lang w:val="en-US"/>
        </w:rPr>
        <w:t xml:space="preserve">%, </w:t>
      </w:r>
      <w:r w:rsidR="00A53949" w:rsidRPr="002843B3">
        <w:rPr>
          <w:lang w:val="en-US"/>
        </w:rPr>
        <w:t>to €</w:t>
      </w:r>
      <w:r w:rsidR="006B0AC7">
        <w:rPr>
          <w:lang w:val="en-US"/>
        </w:rPr>
        <w:t>2,455.1</w:t>
      </w:r>
      <w:r w:rsidR="00A53949" w:rsidRPr="002843B3">
        <w:rPr>
          <w:lang w:val="en-US"/>
        </w:rPr>
        <w:t xml:space="preserve"> million</w:t>
      </w:r>
      <w:r w:rsidR="006062C4">
        <w:rPr>
          <w:lang w:val="en-US"/>
        </w:rPr>
        <w:t xml:space="preserve"> (including M&amp;A activity)</w:t>
      </w:r>
    </w:p>
    <w:p w14:paraId="55F6B513" w14:textId="259A4182" w:rsidR="00EC2E24" w:rsidRPr="002843B3" w:rsidRDefault="00EC2E24" w:rsidP="004D2521">
      <w:pPr>
        <w:pStyle w:val="ListBullet"/>
        <w:suppressAutoHyphens/>
        <w:rPr>
          <w:lang w:val="en-US"/>
        </w:rPr>
      </w:pPr>
      <w:r w:rsidRPr="002843B3">
        <w:rPr>
          <w:lang w:val="en-US"/>
        </w:rPr>
        <w:t>Air travel agency booki</w:t>
      </w:r>
      <w:r w:rsidR="00A53949" w:rsidRPr="002843B3">
        <w:rPr>
          <w:lang w:val="en-US"/>
        </w:rPr>
        <w:t xml:space="preserve">ngs rose </w:t>
      </w:r>
      <w:r w:rsidR="006062C4">
        <w:rPr>
          <w:lang w:val="en-US"/>
        </w:rPr>
        <w:t>5.2</w:t>
      </w:r>
      <w:r w:rsidR="00A53949" w:rsidRPr="002843B3">
        <w:rPr>
          <w:lang w:val="en-US"/>
        </w:rPr>
        <w:t xml:space="preserve">%, to </w:t>
      </w:r>
      <w:r w:rsidR="006062C4">
        <w:rPr>
          <w:lang w:val="en-US"/>
        </w:rPr>
        <w:t>466.5</w:t>
      </w:r>
      <w:r w:rsidR="00A53949" w:rsidRPr="002843B3">
        <w:rPr>
          <w:lang w:val="en-US"/>
        </w:rPr>
        <w:t xml:space="preserve"> million</w:t>
      </w:r>
    </w:p>
    <w:p w14:paraId="748D7B62" w14:textId="4115B498" w:rsidR="00EC2E24" w:rsidRPr="002843B3" w:rsidRDefault="00384FF5" w:rsidP="004D2521">
      <w:pPr>
        <w:pStyle w:val="ListBullet"/>
        <w:suppressAutoHyphens/>
        <w:rPr>
          <w:lang w:val="en-US"/>
        </w:rPr>
      </w:pPr>
      <w:r w:rsidRPr="002843B3">
        <w:rPr>
          <w:lang w:val="en-US"/>
        </w:rPr>
        <w:t xml:space="preserve">Market share expanded by </w:t>
      </w:r>
      <w:r w:rsidR="00391575">
        <w:rPr>
          <w:lang w:val="en-US"/>
        </w:rPr>
        <w:t>0.</w:t>
      </w:r>
      <w:r w:rsidR="006062C4">
        <w:rPr>
          <w:lang w:val="en-US"/>
        </w:rPr>
        <w:t>7</w:t>
      </w:r>
      <w:r w:rsidRPr="002843B3">
        <w:rPr>
          <w:lang w:val="en-US"/>
        </w:rPr>
        <w:t xml:space="preserve"> percentage points, reac</w:t>
      </w:r>
      <w:r w:rsidR="003A756E" w:rsidRPr="002843B3">
        <w:rPr>
          <w:lang w:val="en-US"/>
        </w:rPr>
        <w:t>h</w:t>
      </w:r>
      <w:r w:rsidRPr="002843B3">
        <w:rPr>
          <w:lang w:val="en-US"/>
        </w:rPr>
        <w:t xml:space="preserve">ing </w:t>
      </w:r>
      <w:r w:rsidR="007358BB">
        <w:rPr>
          <w:lang w:val="en-US"/>
        </w:rPr>
        <w:t>40.</w:t>
      </w:r>
      <w:r w:rsidR="006062C4">
        <w:rPr>
          <w:lang w:val="en-US"/>
        </w:rPr>
        <w:t>7</w:t>
      </w:r>
      <w:r w:rsidRPr="002843B3">
        <w:rPr>
          <w:lang w:val="en-US"/>
        </w:rPr>
        <w:t>%</w:t>
      </w:r>
    </w:p>
    <w:p w14:paraId="72C34480" w14:textId="77777777" w:rsidR="00A022E5" w:rsidRPr="002843B3" w:rsidRDefault="00A022E5" w:rsidP="004D2521">
      <w:pPr>
        <w:suppressAutoHyphens/>
        <w:rPr>
          <w:lang w:val="en-US"/>
        </w:rPr>
      </w:pPr>
    </w:p>
    <w:p w14:paraId="103E221C" w14:textId="6AAEF66B" w:rsidR="00F65671" w:rsidRDefault="00B10CE1" w:rsidP="00F65671">
      <w:pPr>
        <w:rPr>
          <w:color w:val="000000"/>
          <w:lang w:val="en-IE"/>
        </w:rPr>
      </w:pPr>
      <w:r>
        <w:t>Amadeus continued to outperform the industry in 2014</w:t>
      </w:r>
      <w:r w:rsidR="00AC06ED">
        <w:t>, where</w:t>
      </w:r>
      <w:r>
        <w:t xml:space="preserve"> </w:t>
      </w:r>
      <w:r w:rsidR="00AC06ED" w:rsidRPr="00E20A99">
        <w:t xml:space="preserve">total </w:t>
      </w:r>
      <w:r w:rsidRPr="00E20A99">
        <w:t xml:space="preserve">air bookings through travel agencies grew by </w:t>
      </w:r>
      <w:r w:rsidR="00AC06ED" w:rsidRPr="00E20A99">
        <w:t>3.2</w:t>
      </w:r>
      <w:r w:rsidRPr="00E20A99">
        <w:t>% during last year. Air travel agency bookings through the Amadeus system increased by 5.2%, which led to further gains in market share</w:t>
      </w:r>
      <w:r w:rsidRPr="00AC06ED">
        <w:t>:</w:t>
      </w:r>
      <w:r>
        <w:t xml:space="preserve"> a</w:t>
      </w:r>
      <w:r w:rsidRPr="00A31345">
        <w:t>s of December 31, 2014 our global market share was 40.</w:t>
      </w:r>
      <w:r>
        <w:t>7</w:t>
      </w:r>
      <w:r w:rsidRPr="00A31345">
        <w:t xml:space="preserve">%, </w:t>
      </w:r>
      <w:r>
        <w:t>0.7</w:t>
      </w:r>
      <w:r w:rsidRPr="00A31345">
        <w:t xml:space="preserve"> p.p. higher than that of 2013.</w:t>
      </w:r>
      <w:r>
        <w:t xml:space="preserve"> </w:t>
      </w:r>
      <w:r w:rsidR="00F65671">
        <w:rPr>
          <w:color w:val="000000"/>
        </w:rPr>
        <w:t xml:space="preserve">Both Asia and Pacific and North America were the regions with highest volume increase for Amadeus, both driven by industry growth and market share gains. In particular, the migration of travel agencies from </w:t>
      </w:r>
      <w:proofErr w:type="spellStart"/>
      <w:r w:rsidR="00F65671">
        <w:rPr>
          <w:color w:val="000000"/>
        </w:rPr>
        <w:t>Topas</w:t>
      </w:r>
      <w:proofErr w:type="spellEnd"/>
      <w:r w:rsidR="00F65671">
        <w:rPr>
          <w:color w:val="000000"/>
        </w:rPr>
        <w:t xml:space="preserve"> to our platform at the end of the third quarter of 2014 supported our booking increase in that region.</w:t>
      </w:r>
    </w:p>
    <w:p w14:paraId="10582798" w14:textId="63BFB604" w:rsidR="006062C4" w:rsidRPr="002F3D58" w:rsidRDefault="006062C4" w:rsidP="004D2521">
      <w:pPr>
        <w:suppressAutoHyphens/>
        <w:jc w:val="both"/>
        <w:rPr>
          <w:lang w:val="en-IE"/>
        </w:rPr>
      </w:pPr>
    </w:p>
    <w:p w14:paraId="5578B640" w14:textId="77777777" w:rsidR="00B2123A" w:rsidRDefault="00B2123A" w:rsidP="004D2521">
      <w:pPr>
        <w:suppressAutoHyphens/>
      </w:pPr>
    </w:p>
    <w:tbl>
      <w:tblPr>
        <w:tblW w:w="10206" w:type="dxa"/>
        <w:tblInd w:w="108" w:type="dxa"/>
        <w:tblLook w:val="04A0" w:firstRow="1" w:lastRow="0" w:firstColumn="1" w:lastColumn="0" w:noHBand="0" w:noVBand="1"/>
      </w:tblPr>
      <w:tblGrid>
        <w:gridCol w:w="2964"/>
        <w:gridCol w:w="1472"/>
        <w:gridCol w:w="1472"/>
        <w:gridCol w:w="1472"/>
        <w:gridCol w:w="1472"/>
        <w:gridCol w:w="1472"/>
      </w:tblGrid>
      <w:tr w:rsidR="003C27FD" w:rsidRPr="00A31345" w14:paraId="72D6D759" w14:textId="77777777" w:rsidTr="00D63966">
        <w:trPr>
          <w:trHeight w:val="624"/>
        </w:trPr>
        <w:tc>
          <w:tcPr>
            <w:tcW w:w="2964" w:type="dxa"/>
            <w:tcBorders>
              <w:top w:val="nil"/>
              <w:left w:val="nil"/>
              <w:bottom w:val="nil"/>
              <w:right w:val="single" w:sz="8" w:space="0" w:color="FFFFFF"/>
            </w:tcBorders>
            <w:shd w:val="clear" w:color="000000" w:fill="005EB8"/>
            <w:vAlign w:val="center"/>
            <w:hideMark/>
          </w:tcPr>
          <w:p w14:paraId="30509561" w14:textId="77777777" w:rsidR="003C27FD" w:rsidRPr="00A31345" w:rsidRDefault="003C27FD" w:rsidP="004D2521">
            <w:pPr>
              <w:suppressAutoHyphens/>
              <w:spacing w:line="240" w:lineRule="auto"/>
              <w:rPr>
                <w:rFonts w:cs="Arial"/>
                <w:b/>
                <w:bCs/>
                <w:color w:val="FFFFFF"/>
              </w:rPr>
            </w:pPr>
            <w:r w:rsidRPr="00A31345">
              <w:rPr>
                <w:rFonts w:cs="Arial"/>
                <w:b/>
                <w:bCs/>
                <w:color w:val="FFFFFF"/>
              </w:rPr>
              <w:t>Amadeus Air TA Bookings</w:t>
            </w:r>
            <w:r w:rsidRPr="00A31345">
              <w:rPr>
                <w:rFonts w:cs="Arial"/>
                <w:b/>
                <w:bCs/>
                <w:color w:val="FFFFFF"/>
              </w:rPr>
              <w:br/>
            </w:r>
            <w:r w:rsidRPr="00A31345">
              <w:rPr>
                <w:rFonts w:cs="Arial"/>
                <w:b/>
                <w:bCs/>
                <w:i/>
                <w:iCs/>
                <w:color w:val="FFFFFF"/>
              </w:rPr>
              <w:t>Figures in million</w:t>
            </w:r>
          </w:p>
        </w:tc>
        <w:tc>
          <w:tcPr>
            <w:tcW w:w="1472" w:type="dxa"/>
            <w:tcBorders>
              <w:top w:val="nil"/>
              <w:left w:val="nil"/>
              <w:bottom w:val="nil"/>
              <w:right w:val="single" w:sz="8" w:space="0" w:color="FFFFFF"/>
            </w:tcBorders>
            <w:shd w:val="clear" w:color="000000" w:fill="00A9E0"/>
            <w:vAlign w:val="center"/>
            <w:hideMark/>
          </w:tcPr>
          <w:p w14:paraId="1E7F7E9C" w14:textId="77777777" w:rsidR="003C27FD" w:rsidRPr="00A31345" w:rsidRDefault="003C27FD" w:rsidP="004D2521">
            <w:pPr>
              <w:suppressAutoHyphens/>
              <w:spacing w:line="240" w:lineRule="auto"/>
              <w:jc w:val="center"/>
              <w:rPr>
                <w:rFonts w:cs="Arial"/>
                <w:b/>
                <w:bCs/>
                <w:color w:val="FFFFFF"/>
              </w:rPr>
            </w:pPr>
            <w:r w:rsidRPr="00A31345">
              <w:rPr>
                <w:rFonts w:cs="Arial"/>
                <w:b/>
                <w:bCs/>
                <w:color w:val="FFFFFF"/>
              </w:rPr>
              <w:t>Full year 2014</w:t>
            </w:r>
          </w:p>
        </w:tc>
        <w:tc>
          <w:tcPr>
            <w:tcW w:w="1472" w:type="dxa"/>
            <w:tcBorders>
              <w:top w:val="nil"/>
              <w:left w:val="nil"/>
              <w:bottom w:val="nil"/>
              <w:right w:val="single" w:sz="8" w:space="0" w:color="FFFFFF"/>
            </w:tcBorders>
            <w:shd w:val="clear" w:color="000000" w:fill="00A9E0"/>
            <w:vAlign w:val="center"/>
            <w:hideMark/>
          </w:tcPr>
          <w:p w14:paraId="1C28EE61" w14:textId="77777777" w:rsidR="003C27FD" w:rsidRPr="00A31345" w:rsidRDefault="003C27FD" w:rsidP="004D2521">
            <w:pPr>
              <w:suppressAutoHyphens/>
              <w:spacing w:line="240" w:lineRule="auto"/>
              <w:jc w:val="center"/>
              <w:rPr>
                <w:rFonts w:cs="Arial"/>
                <w:b/>
                <w:bCs/>
                <w:color w:val="FFFFFF"/>
              </w:rPr>
            </w:pPr>
            <w:r w:rsidRPr="00A31345">
              <w:rPr>
                <w:rFonts w:cs="Arial"/>
                <w:b/>
                <w:bCs/>
                <w:color w:val="FFFFFF"/>
              </w:rPr>
              <w:t>% of Total</w:t>
            </w:r>
          </w:p>
        </w:tc>
        <w:tc>
          <w:tcPr>
            <w:tcW w:w="1472" w:type="dxa"/>
            <w:tcBorders>
              <w:top w:val="nil"/>
              <w:left w:val="nil"/>
              <w:bottom w:val="nil"/>
              <w:right w:val="single" w:sz="8" w:space="0" w:color="FFFFFF"/>
            </w:tcBorders>
            <w:shd w:val="clear" w:color="000000" w:fill="00A9E0"/>
            <w:vAlign w:val="center"/>
            <w:hideMark/>
          </w:tcPr>
          <w:p w14:paraId="694DD28E" w14:textId="77777777" w:rsidR="003C27FD" w:rsidRPr="00A31345" w:rsidRDefault="003C27FD" w:rsidP="004D2521">
            <w:pPr>
              <w:suppressAutoHyphens/>
              <w:spacing w:line="240" w:lineRule="auto"/>
              <w:jc w:val="center"/>
              <w:rPr>
                <w:rFonts w:cs="Arial"/>
                <w:b/>
                <w:bCs/>
                <w:color w:val="FFFFFF"/>
              </w:rPr>
            </w:pPr>
            <w:r w:rsidRPr="00A31345">
              <w:rPr>
                <w:rFonts w:cs="Arial"/>
                <w:b/>
                <w:bCs/>
                <w:color w:val="FFFFFF"/>
              </w:rPr>
              <w:t>Full year 2013</w:t>
            </w:r>
          </w:p>
        </w:tc>
        <w:tc>
          <w:tcPr>
            <w:tcW w:w="1472" w:type="dxa"/>
            <w:tcBorders>
              <w:top w:val="nil"/>
              <w:left w:val="nil"/>
              <w:bottom w:val="nil"/>
              <w:right w:val="single" w:sz="8" w:space="0" w:color="FFFFFF"/>
            </w:tcBorders>
            <w:shd w:val="clear" w:color="000000" w:fill="00A9E0"/>
            <w:vAlign w:val="center"/>
            <w:hideMark/>
          </w:tcPr>
          <w:p w14:paraId="69939130" w14:textId="77777777" w:rsidR="003C27FD" w:rsidRPr="00A31345" w:rsidRDefault="003C27FD" w:rsidP="004D2521">
            <w:pPr>
              <w:suppressAutoHyphens/>
              <w:spacing w:line="240" w:lineRule="auto"/>
              <w:jc w:val="center"/>
              <w:rPr>
                <w:rFonts w:cs="Arial"/>
                <w:b/>
                <w:bCs/>
                <w:color w:val="FFFFFF"/>
              </w:rPr>
            </w:pPr>
            <w:r w:rsidRPr="00A31345">
              <w:rPr>
                <w:rFonts w:cs="Arial"/>
                <w:b/>
                <w:bCs/>
                <w:color w:val="FFFFFF"/>
              </w:rPr>
              <w:t>% of Total</w:t>
            </w:r>
          </w:p>
        </w:tc>
        <w:tc>
          <w:tcPr>
            <w:tcW w:w="1472" w:type="dxa"/>
            <w:tcBorders>
              <w:top w:val="nil"/>
              <w:left w:val="nil"/>
              <w:bottom w:val="nil"/>
              <w:right w:val="nil"/>
            </w:tcBorders>
            <w:shd w:val="clear" w:color="000000" w:fill="00A9E0"/>
            <w:vAlign w:val="center"/>
            <w:hideMark/>
          </w:tcPr>
          <w:p w14:paraId="5D35C516" w14:textId="77777777" w:rsidR="003C27FD" w:rsidRPr="00A31345" w:rsidRDefault="003C27FD" w:rsidP="004D2521">
            <w:pPr>
              <w:suppressAutoHyphens/>
              <w:spacing w:line="240" w:lineRule="auto"/>
              <w:jc w:val="center"/>
              <w:rPr>
                <w:rFonts w:cs="Arial"/>
                <w:b/>
                <w:bCs/>
                <w:color w:val="FFFFFF"/>
              </w:rPr>
            </w:pPr>
            <w:r w:rsidRPr="00A31345">
              <w:rPr>
                <w:rFonts w:cs="Arial"/>
                <w:b/>
                <w:bCs/>
                <w:color w:val="FFFFFF"/>
              </w:rPr>
              <w:t>% Change</w:t>
            </w:r>
          </w:p>
        </w:tc>
      </w:tr>
      <w:tr w:rsidR="003C27FD" w14:paraId="500C1094" w14:textId="77777777" w:rsidTr="00D63966">
        <w:trPr>
          <w:trHeight w:val="113"/>
        </w:trPr>
        <w:tc>
          <w:tcPr>
            <w:tcW w:w="2964" w:type="dxa"/>
            <w:tcBorders>
              <w:top w:val="nil"/>
              <w:left w:val="nil"/>
              <w:bottom w:val="nil"/>
              <w:right w:val="single" w:sz="8" w:space="0" w:color="FFFFFF"/>
            </w:tcBorders>
            <w:shd w:val="clear" w:color="000000" w:fill="FFFFFF"/>
            <w:noWrap/>
            <w:vAlign w:val="center"/>
          </w:tcPr>
          <w:p w14:paraId="371062ED" w14:textId="77777777" w:rsidR="003C27FD" w:rsidRPr="00A31345" w:rsidRDefault="003C27FD" w:rsidP="004D2521">
            <w:pPr>
              <w:suppressAutoHyphens/>
              <w:spacing w:line="240" w:lineRule="auto"/>
              <w:rPr>
                <w:rFonts w:eastAsia="Times New Roman" w:cs="Arial"/>
                <w:color w:val="005EB8"/>
              </w:rPr>
            </w:pPr>
          </w:p>
        </w:tc>
        <w:tc>
          <w:tcPr>
            <w:tcW w:w="1472" w:type="dxa"/>
            <w:tcBorders>
              <w:top w:val="nil"/>
              <w:left w:val="nil"/>
              <w:bottom w:val="nil"/>
              <w:right w:val="single" w:sz="8" w:space="0" w:color="FFFFFF"/>
            </w:tcBorders>
            <w:shd w:val="clear" w:color="auto" w:fill="D7D2CB" w:themeFill="background2"/>
            <w:noWrap/>
            <w:vAlign w:val="center"/>
          </w:tcPr>
          <w:p w14:paraId="0AAFDFAA" w14:textId="77777777" w:rsidR="003C27FD" w:rsidRDefault="003C27FD" w:rsidP="004D2521">
            <w:pPr>
              <w:suppressAutoHyphens/>
              <w:spacing w:line="240" w:lineRule="auto"/>
              <w:jc w:val="right"/>
              <w:rPr>
                <w:rFonts w:cs="Arial"/>
                <w:color w:val="005EB8"/>
              </w:rPr>
            </w:pPr>
          </w:p>
        </w:tc>
        <w:tc>
          <w:tcPr>
            <w:tcW w:w="1472" w:type="dxa"/>
            <w:tcBorders>
              <w:top w:val="nil"/>
              <w:left w:val="nil"/>
              <w:bottom w:val="nil"/>
              <w:right w:val="single" w:sz="8" w:space="0" w:color="FFFFFF"/>
            </w:tcBorders>
            <w:shd w:val="clear" w:color="auto" w:fill="D7D2CB" w:themeFill="background2"/>
            <w:noWrap/>
            <w:vAlign w:val="center"/>
          </w:tcPr>
          <w:p w14:paraId="18242DC4" w14:textId="77777777" w:rsidR="003C27FD" w:rsidRDefault="003C27FD" w:rsidP="004D2521">
            <w:pPr>
              <w:suppressAutoHyphens/>
              <w:spacing w:line="240" w:lineRule="auto"/>
              <w:jc w:val="right"/>
              <w:rPr>
                <w:rFonts w:cs="Arial"/>
                <w:color w:val="005EB8"/>
              </w:rPr>
            </w:pPr>
          </w:p>
        </w:tc>
        <w:tc>
          <w:tcPr>
            <w:tcW w:w="1472" w:type="dxa"/>
            <w:tcBorders>
              <w:top w:val="nil"/>
              <w:left w:val="nil"/>
              <w:bottom w:val="nil"/>
              <w:right w:val="single" w:sz="8" w:space="0" w:color="FFFFFF"/>
            </w:tcBorders>
            <w:shd w:val="clear" w:color="auto" w:fill="auto"/>
            <w:noWrap/>
            <w:vAlign w:val="center"/>
          </w:tcPr>
          <w:p w14:paraId="3EFC63BD" w14:textId="77777777" w:rsidR="003C27FD" w:rsidRPr="00A31345" w:rsidRDefault="003C27FD" w:rsidP="004D2521">
            <w:pPr>
              <w:suppressAutoHyphens/>
              <w:spacing w:line="240" w:lineRule="auto"/>
              <w:jc w:val="right"/>
              <w:rPr>
                <w:rFonts w:cs="Arial"/>
                <w:color w:val="005EB8"/>
              </w:rPr>
            </w:pPr>
          </w:p>
        </w:tc>
        <w:tc>
          <w:tcPr>
            <w:tcW w:w="1472" w:type="dxa"/>
            <w:tcBorders>
              <w:top w:val="nil"/>
              <w:left w:val="nil"/>
              <w:bottom w:val="nil"/>
              <w:right w:val="single" w:sz="8" w:space="0" w:color="FFFFFF"/>
            </w:tcBorders>
            <w:shd w:val="clear" w:color="auto" w:fill="FFFFFF" w:themeFill="background1"/>
            <w:noWrap/>
            <w:vAlign w:val="center"/>
          </w:tcPr>
          <w:p w14:paraId="738B1197" w14:textId="77777777" w:rsidR="003C27FD" w:rsidRPr="00A31345" w:rsidRDefault="003C27FD" w:rsidP="004D2521">
            <w:pPr>
              <w:suppressAutoHyphens/>
              <w:spacing w:line="240" w:lineRule="auto"/>
              <w:jc w:val="right"/>
              <w:rPr>
                <w:rFonts w:cs="Arial"/>
                <w:color w:val="005EB8"/>
              </w:rPr>
            </w:pPr>
          </w:p>
        </w:tc>
        <w:tc>
          <w:tcPr>
            <w:tcW w:w="1472" w:type="dxa"/>
            <w:tcBorders>
              <w:top w:val="nil"/>
              <w:left w:val="nil"/>
              <w:bottom w:val="nil"/>
              <w:right w:val="nil"/>
            </w:tcBorders>
            <w:shd w:val="clear" w:color="auto" w:fill="D7D2CB" w:themeFill="background2"/>
            <w:noWrap/>
            <w:vAlign w:val="center"/>
          </w:tcPr>
          <w:p w14:paraId="392EB615" w14:textId="77777777" w:rsidR="003C27FD" w:rsidRDefault="003C27FD" w:rsidP="004D2521">
            <w:pPr>
              <w:suppressAutoHyphens/>
              <w:spacing w:line="240" w:lineRule="auto"/>
              <w:jc w:val="right"/>
              <w:rPr>
                <w:rFonts w:cs="Arial"/>
                <w:color w:val="005EB8"/>
              </w:rPr>
            </w:pPr>
          </w:p>
        </w:tc>
      </w:tr>
      <w:tr w:rsidR="003C27FD" w:rsidRPr="00A31345" w14:paraId="341F48D9"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79E4EC82" w14:textId="77777777" w:rsidR="003C27FD" w:rsidRPr="00A31345" w:rsidRDefault="003C27FD" w:rsidP="004D2521">
            <w:pPr>
              <w:suppressAutoHyphens/>
              <w:spacing w:line="240" w:lineRule="auto"/>
              <w:rPr>
                <w:rFonts w:eastAsia="Times New Roman" w:cs="Arial"/>
                <w:color w:val="005EB8"/>
              </w:rPr>
            </w:pPr>
            <w:r w:rsidRPr="00A31345">
              <w:rPr>
                <w:rFonts w:eastAsia="Times New Roman" w:cs="Arial"/>
                <w:color w:val="005EB8"/>
              </w:rPr>
              <w:t>Western Europe</w:t>
            </w:r>
          </w:p>
        </w:tc>
        <w:tc>
          <w:tcPr>
            <w:tcW w:w="1472" w:type="dxa"/>
            <w:tcBorders>
              <w:top w:val="nil"/>
              <w:left w:val="nil"/>
              <w:bottom w:val="nil"/>
              <w:right w:val="single" w:sz="8" w:space="0" w:color="FFFFFF"/>
            </w:tcBorders>
            <w:shd w:val="clear" w:color="auto" w:fill="D7D2CB" w:themeFill="background2"/>
            <w:noWrap/>
            <w:vAlign w:val="center"/>
          </w:tcPr>
          <w:p w14:paraId="5E5222E6" w14:textId="77777777" w:rsidR="003C27FD" w:rsidRPr="00A31345" w:rsidRDefault="003C27FD" w:rsidP="004D2521">
            <w:pPr>
              <w:suppressAutoHyphens/>
              <w:spacing w:line="240" w:lineRule="auto"/>
              <w:jc w:val="right"/>
              <w:rPr>
                <w:rFonts w:cs="Arial"/>
                <w:color w:val="005EB8"/>
              </w:rPr>
            </w:pPr>
            <w:r>
              <w:rPr>
                <w:rFonts w:cs="Arial"/>
                <w:color w:val="005EB8"/>
              </w:rPr>
              <w:t>192.5</w:t>
            </w:r>
          </w:p>
        </w:tc>
        <w:tc>
          <w:tcPr>
            <w:tcW w:w="1472" w:type="dxa"/>
            <w:tcBorders>
              <w:top w:val="nil"/>
              <w:left w:val="nil"/>
              <w:bottom w:val="nil"/>
              <w:right w:val="single" w:sz="8" w:space="0" w:color="FFFFFF"/>
            </w:tcBorders>
            <w:shd w:val="clear" w:color="auto" w:fill="D7D2CB" w:themeFill="background2"/>
            <w:noWrap/>
            <w:vAlign w:val="center"/>
            <w:hideMark/>
          </w:tcPr>
          <w:p w14:paraId="1011AC25" w14:textId="77777777" w:rsidR="003C27FD" w:rsidRPr="00A31345" w:rsidRDefault="003C27FD" w:rsidP="004D2521">
            <w:pPr>
              <w:suppressAutoHyphens/>
              <w:spacing w:line="240" w:lineRule="auto"/>
              <w:jc w:val="right"/>
              <w:rPr>
                <w:rFonts w:cs="Arial"/>
                <w:color w:val="005EB8"/>
              </w:rPr>
            </w:pPr>
            <w:r>
              <w:rPr>
                <w:rFonts w:cs="Arial"/>
                <w:color w:val="005EB8"/>
              </w:rPr>
              <w:t>41.3</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1105D213" w14:textId="77777777" w:rsidR="003C27FD" w:rsidRPr="00A31345" w:rsidRDefault="003C27FD" w:rsidP="004D2521">
            <w:pPr>
              <w:suppressAutoHyphens/>
              <w:spacing w:line="240" w:lineRule="auto"/>
              <w:jc w:val="right"/>
              <w:rPr>
                <w:rFonts w:cs="Arial"/>
                <w:color w:val="005EB8"/>
              </w:rPr>
            </w:pPr>
            <w:r w:rsidRPr="00A31345">
              <w:rPr>
                <w:rFonts w:cs="Arial"/>
                <w:color w:val="005EB8"/>
              </w:rPr>
              <w:t>187.9</w:t>
            </w:r>
          </w:p>
        </w:tc>
        <w:tc>
          <w:tcPr>
            <w:tcW w:w="1472" w:type="dxa"/>
            <w:tcBorders>
              <w:top w:val="nil"/>
              <w:left w:val="nil"/>
              <w:bottom w:val="nil"/>
              <w:right w:val="single" w:sz="8" w:space="0" w:color="FFFFFF"/>
            </w:tcBorders>
            <w:shd w:val="clear" w:color="auto" w:fill="FFFFFF" w:themeFill="background1"/>
            <w:noWrap/>
            <w:vAlign w:val="center"/>
            <w:hideMark/>
          </w:tcPr>
          <w:p w14:paraId="2758D315" w14:textId="77777777" w:rsidR="003C27FD" w:rsidRPr="00A31345" w:rsidRDefault="003C27FD" w:rsidP="004D2521">
            <w:pPr>
              <w:suppressAutoHyphens/>
              <w:spacing w:line="240" w:lineRule="auto"/>
              <w:jc w:val="right"/>
              <w:rPr>
                <w:rFonts w:cs="Arial"/>
                <w:color w:val="005EB8"/>
              </w:rPr>
            </w:pPr>
            <w:r w:rsidRPr="00A31345">
              <w:rPr>
                <w:rFonts w:cs="Arial"/>
                <w:color w:val="005EB8"/>
              </w:rPr>
              <w:t>4</w:t>
            </w:r>
            <w:r>
              <w:rPr>
                <w:rFonts w:cs="Arial"/>
                <w:color w:val="005EB8"/>
              </w:rPr>
              <w:t>2.4</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15A69E9A" w14:textId="77777777" w:rsidR="003C27FD" w:rsidRPr="00A31345" w:rsidRDefault="003C27FD" w:rsidP="004D2521">
            <w:pPr>
              <w:suppressAutoHyphens/>
              <w:spacing w:line="240" w:lineRule="auto"/>
              <w:jc w:val="right"/>
              <w:rPr>
                <w:rFonts w:cs="Arial"/>
                <w:color w:val="005EB8"/>
              </w:rPr>
            </w:pPr>
            <w:r>
              <w:rPr>
                <w:rFonts w:cs="Arial"/>
                <w:color w:val="005EB8"/>
              </w:rPr>
              <w:t>2.4</w:t>
            </w:r>
            <w:r w:rsidRPr="00A31345">
              <w:rPr>
                <w:rFonts w:cs="Arial"/>
                <w:color w:val="005EB8"/>
              </w:rPr>
              <w:t>%</w:t>
            </w:r>
          </w:p>
        </w:tc>
      </w:tr>
      <w:tr w:rsidR="003C27FD" w:rsidRPr="00A31345" w14:paraId="06CB7F6C"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2F3A6A93" w14:textId="77777777" w:rsidR="003C27FD" w:rsidRPr="00A31345" w:rsidRDefault="003C27FD" w:rsidP="004D2521">
            <w:pPr>
              <w:suppressAutoHyphens/>
              <w:spacing w:line="240" w:lineRule="auto"/>
              <w:rPr>
                <w:rFonts w:eastAsia="Times New Roman" w:cs="Arial"/>
                <w:color w:val="005EB8"/>
              </w:rPr>
            </w:pPr>
            <w:r>
              <w:rPr>
                <w:rFonts w:eastAsia="Times New Roman" w:cs="Arial"/>
                <w:color w:val="005EB8"/>
              </w:rPr>
              <w:t>Asia and Pacific</w:t>
            </w:r>
          </w:p>
        </w:tc>
        <w:tc>
          <w:tcPr>
            <w:tcW w:w="1472" w:type="dxa"/>
            <w:tcBorders>
              <w:top w:val="nil"/>
              <w:left w:val="nil"/>
              <w:bottom w:val="nil"/>
              <w:right w:val="single" w:sz="8" w:space="0" w:color="FFFFFF"/>
            </w:tcBorders>
            <w:shd w:val="clear" w:color="auto" w:fill="D7D2CB" w:themeFill="background2"/>
            <w:noWrap/>
            <w:vAlign w:val="center"/>
          </w:tcPr>
          <w:p w14:paraId="6F1756A7" w14:textId="77777777" w:rsidR="003C27FD" w:rsidRPr="00A31345" w:rsidRDefault="003C27FD" w:rsidP="004D2521">
            <w:pPr>
              <w:suppressAutoHyphens/>
              <w:spacing w:line="240" w:lineRule="auto"/>
              <w:jc w:val="right"/>
              <w:rPr>
                <w:rFonts w:cs="Arial"/>
                <w:color w:val="005EB8"/>
              </w:rPr>
            </w:pPr>
            <w:r>
              <w:rPr>
                <w:rFonts w:cs="Arial"/>
                <w:color w:val="005EB8"/>
              </w:rPr>
              <w:t>70.4</w:t>
            </w:r>
          </w:p>
        </w:tc>
        <w:tc>
          <w:tcPr>
            <w:tcW w:w="1472" w:type="dxa"/>
            <w:tcBorders>
              <w:top w:val="nil"/>
              <w:left w:val="nil"/>
              <w:bottom w:val="nil"/>
              <w:right w:val="single" w:sz="8" w:space="0" w:color="FFFFFF"/>
            </w:tcBorders>
            <w:shd w:val="clear" w:color="auto" w:fill="D7D2CB" w:themeFill="background2"/>
            <w:noWrap/>
            <w:vAlign w:val="center"/>
            <w:hideMark/>
          </w:tcPr>
          <w:p w14:paraId="6D6428EB" w14:textId="77777777" w:rsidR="003C27FD" w:rsidRPr="00A31345" w:rsidRDefault="003C27FD" w:rsidP="004D2521">
            <w:pPr>
              <w:suppressAutoHyphens/>
              <w:spacing w:line="240" w:lineRule="auto"/>
              <w:jc w:val="right"/>
              <w:rPr>
                <w:rFonts w:cs="Arial"/>
                <w:color w:val="005EB8"/>
              </w:rPr>
            </w:pPr>
            <w:r>
              <w:rPr>
                <w:rFonts w:cs="Arial"/>
                <w:color w:val="005EB8"/>
              </w:rPr>
              <w:t>15.1</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3682C113" w14:textId="77777777" w:rsidR="003C27FD" w:rsidRPr="00A31345" w:rsidRDefault="003C27FD" w:rsidP="004D2521">
            <w:pPr>
              <w:suppressAutoHyphens/>
              <w:spacing w:line="240" w:lineRule="auto"/>
              <w:jc w:val="right"/>
              <w:rPr>
                <w:rFonts w:cs="Arial"/>
                <w:color w:val="005EB8"/>
              </w:rPr>
            </w:pPr>
            <w:r>
              <w:rPr>
                <w:rFonts w:cs="Arial"/>
                <w:color w:val="005EB8"/>
              </w:rPr>
              <w:t>62.2</w:t>
            </w:r>
          </w:p>
        </w:tc>
        <w:tc>
          <w:tcPr>
            <w:tcW w:w="1472" w:type="dxa"/>
            <w:tcBorders>
              <w:top w:val="nil"/>
              <w:left w:val="nil"/>
              <w:bottom w:val="nil"/>
              <w:right w:val="single" w:sz="8" w:space="0" w:color="FFFFFF"/>
            </w:tcBorders>
            <w:shd w:val="clear" w:color="auto" w:fill="FFFFFF" w:themeFill="background1"/>
            <w:noWrap/>
            <w:vAlign w:val="center"/>
            <w:hideMark/>
          </w:tcPr>
          <w:p w14:paraId="5135B990" w14:textId="77777777" w:rsidR="003C27FD" w:rsidRPr="00A31345" w:rsidRDefault="003C27FD" w:rsidP="004D2521">
            <w:pPr>
              <w:suppressAutoHyphens/>
              <w:spacing w:line="240" w:lineRule="auto"/>
              <w:jc w:val="right"/>
              <w:rPr>
                <w:rFonts w:cs="Arial"/>
                <w:color w:val="005EB8"/>
              </w:rPr>
            </w:pPr>
            <w:r>
              <w:rPr>
                <w:rFonts w:cs="Arial"/>
                <w:color w:val="005EB8"/>
              </w:rPr>
              <w:t>14.0</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151CA3FB" w14:textId="77777777" w:rsidR="003C27FD" w:rsidRPr="00A31345" w:rsidRDefault="003C27FD" w:rsidP="004D2521">
            <w:pPr>
              <w:suppressAutoHyphens/>
              <w:spacing w:line="240" w:lineRule="auto"/>
              <w:jc w:val="right"/>
              <w:rPr>
                <w:rFonts w:cs="Arial"/>
                <w:color w:val="005EB8"/>
              </w:rPr>
            </w:pPr>
            <w:r>
              <w:rPr>
                <w:rFonts w:cs="Arial"/>
                <w:color w:val="005EB8"/>
              </w:rPr>
              <w:t>13.2</w:t>
            </w:r>
            <w:r w:rsidRPr="00A31345">
              <w:rPr>
                <w:rFonts w:cs="Arial"/>
                <w:color w:val="005EB8"/>
              </w:rPr>
              <w:t>%</w:t>
            </w:r>
          </w:p>
        </w:tc>
      </w:tr>
      <w:tr w:rsidR="003C27FD" w:rsidRPr="00A31345" w14:paraId="5C4327BA"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47E3FE4B" w14:textId="77777777" w:rsidR="003C27FD" w:rsidRPr="00A31345" w:rsidRDefault="003C27FD" w:rsidP="004D2521">
            <w:pPr>
              <w:suppressAutoHyphens/>
              <w:spacing w:line="240" w:lineRule="auto"/>
              <w:rPr>
                <w:rFonts w:eastAsia="Times New Roman" w:cs="Arial"/>
                <w:color w:val="005EB8"/>
              </w:rPr>
            </w:pPr>
            <w:r>
              <w:rPr>
                <w:rFonts w:eastAsia="Times New Roman" w:cs="Arial"/>
                <w:color w:val="005EB8"/>
              </w:rPr>
              <w:t>North America</w:t>
            </w:r>
          </w:p>
        </w:tc>
        <w:tc>
          <w:tcPr>
            <w:tcW w:w="1472" w:type="dxa"/>
            <w:tcBorders>
              <w:top w:val="nil"/>
              <w:left w:val="nil"/>
              <w:bottom w:val="nil"/>
              <w:right w:val="single" w:sz="8" w:space="0" w:color="FFFFFF"/>
            </w:tcBorders>
            <w:shd w:val="clear" w:color="auto" w:fill="D7D2CB" w:themeFill="background2"/>
            <w:noWrap/>
            <w:vAlign w:val="center"/>
          </w:tcPr>
          <w:p w14:paraId="109F5598" w14:textId="77777777" w:rsidR="003C27FD" w:rsidRPr="00A31345" w:rsidRDefault="003C27FD" w:rsidP="004D2521">
            <w:pPr>
              <w:suppressAutoHyphens/>
              <w:spacing w:line="240" w:lineRule="auto"/>
              <w:jc w:val="right"/>
              <w:rPr>
                <w:rFonts w:cs="Arial"/>
                <w:color w:val="005EB8"/>
              </w:rPr>
            </w:pPr>
            <w:r>
              <w:rPr>
                <w:rFonts w:cs="Arial"/>
                <w:color w:val="005EB8"/>
              </w:rPr>
              <w:t>63.4</w:t>
            </w:r>
          </w:p>
        </w:tc>
        <w:tc>
          <w:tcPr>
            <w:tcW w:w="1472" w:type="dxa"/>
            <w:tcBorders>
              <w:top w:val="nil"/>
              <w:left w:val="nil"/>
              <w:bottom w:val="nil"/>
              <w:right w:val="single" w:sz="8" w:space="0" w:color="FFFFFF"/>
            </w:tcBorders>
            <w:shd w:val="clear" w:color="auto" w:fill="D7D2CB" w:themeFill="background2"/>
            <w:noWrap/>
            <w:vAlign w:val="center"/>
            <w:hideMark/>
          </w:tcPr>
          <w:p w14:paraId="4BA37399" w14:textId="77777777" w:rsidR="003C27FD" w:rsidRPr="00A31345" w:rsidRDefault="003C27FD" w:rsidP="004D2521">
            <w:pPr>
              <w:suppressAutoHyphens/>
              <w:spacing w:line="240" w:lineRule="auto"/>
              <w:jc w:val="right"/>
              <w:rPr>
                <w:rFonts w:cs="Arial"/>
                <w:color w:val="005EB8"/>
              </w:rPr>
            </w:pPr>
            <w:r>
              <w:rPr>
                <w:rFonts w:cs="Arial"/>
                <w:color w:val="005EB8"/>
              </w:rPr>
              <w:t>13.6</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58968414" w14:textId="77777777" w:rsidR="003C27FD" w:rsidRPr="00A31345" w:rsidRDefault="003C27FD" w:rsidP="004D2521">
            <w:pPr>
              <w:suppressAutoHyphens/>
              <w:spacing w:line="240" w:lineRule="auto"/>
              <w:jc w:val="right"/>
              <w:rPr>
                <w:rFonts w:cs="Arial"/>
                <w:color w:val="005EB8"/>
              </w:rPr>
            </w:pPr>
            <w:r>
              <w:rPr>
                <w:rFonts w:cs="Arial"/>
                <w:color w:val="005EB8"/>
              </w:rPr>
              <w:t>55.3</w:t>
            </w:r>
          </w:p>
        </w:tc>
        <w:tc>
          <w:tcPr>
            <w:tcW w:w="1472" w:type="dxa"/>
            <w:tcBorders>
              <w:top w:val="nil"/>
              <w:left w:val="nil"/>
              <w:bottom w:val="nil"/>
              <w:right w:val="single" w:sz="8" w:space="0" w:color="FFFFFF"/>
            </w:tcBorders>
            <w:shd w:val="clear" w:color="auto" w:fill="FFFFFF" w:themeFill="background1"/>
            <w:noWrap/>
            <w:vAlign w:val="center"/>
            <w:hideMark/>
          </w:tcPr>
          <w:p w14:paraId="2155E8C1" w14:textId="77777777" w:rsidR="003C27FD" w:rsidRPr="00A31345" w:rsidRDefault="003C27FD" w:rsidP="004D2521">
            <w:pPr>
              <w:suppressAutoHyphens/>
              <w:spacing w:line="240" w:lineRule="auto"/>
              <w:jc w:val="right"/>
              <w:rPr>
                <w:rFonts w:cs="Arial"/>
                <w:color w:val="005EB8"/>
              </w:rPr>
            </w:pPr>
            <w:r>
              <w:rPr>
                <w:rFonts w:cs="Arial"/>
                <w:color w:val="005EB8"/>
              </w:rPr>
              <w:t>12.5</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77CF06C2" w14:textId="77777777" w:rsidR="003C27FD" w:rsidRPr="00A31345" w:rsidRDefault="003C27FD" w:rsidP="004D2521">
            <w:pPr>
              <w:suppressAutoHyphens/>
              <w:spacing w:line="240" w:lineRule="auto"/>
              <w:jc w:val="right"/>
              <w:rPr>
                <w:rFonts w:cs="Arial"/>
                <w:color w:val="005EB8"/>
              </w:rPr>
            </w:pPr>
            <w:r>
              <w:rPr>
                <w:rFonts w:cs="Arial"/>
                <w:color w:val="005EB8"/>
              </w:rPr>
              <w:t>14.6</w:t>
            </w:r>
            <w:r w:rsidRPr="00A31345">
              <w:rPr>
                <w:rFonts w:cs="Arial"/>
                <w:color w:val="005EB8"/>
              </w:rPr>
              <w:t>%</w:t>
            </w:r>
          </w:p>
        </w:tc>
      </w:tr>
      <w:tr w:rsidR="003C27FD" w:rsidRPr="00A31345" w14:paraId="342FBE99"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1757F01A" w14:textId="77777777" w:rsidR="003C27FD" w:rsidRPr="00A31345" w:rsidRDefault="003C27FD" w:rsidP="004D2521">
            <w:pPr>
              <w:suppressAutoHyphens/>
              <w:spacing w:line="240" w:lineRule="auto"/>
              <w:rPr>
                <w:rFonts w:eastAsia="Times New Roman" w:cs="Arial"/>
                <w:color w:val="005EB8"/>
              </w:rPr>
            </w:pPr>
            <w:r w:rsidRPr="00A31345">
              <w:rPr>
                <w:rFonts w:eastAsia="Times New Roman" w:cs="Arial"/>
                <w:color w:val="005EB8"/>
              </w:rPr>
              <w:t>Middle East and Africa</w:t>
            </w:r>
          </w:p>
        </w:tc>
        <w:tc>
          <w:tcPr>
            <w:tcW w:w="1472" w:type="dxa"/>
            <w:tcBorders>
              <w:top w:val="nil"/>
              <w:left w:val="nil"/>
              <w:bottom w:val="nil"/>
              <w:right w:val="single" w:sz="8" w:space="0" w:color="FFFFFF"/>
            </w:tcBorders>
            <w:shd w:val="clear" w:color="auto" w:fill="D7D2CB" w:themeFill="background2"/>
            <w:noWrap/>
            <w:vAlign w:val="center"/>
          </w:tcPr>
          <w:p w14:paraId="23A2CDA5" w14:textId="77777777" w:rsidR="003C27FD" w:rsidRPr="00A31345" w:rsidRDefault="003C27FD" w:rsidP="004D2521">
            <w:pPr>
              <w:suppressAutoHyphens/>
              <w:spacing w:line="240" w:lineRule="auto"/>
              <w:jc w:val="right"/>
              <w:rPr>
                <w:rFonts w:cs="Arial"/>
                <w:color w:val="005EB8"/>
              </w:rPr>
            </w:pPr>
            <w:r>
              <w:rPr>
                <w:rFonts w:cs="Arial"/>
                <w:color w:val="005EB8"/>
              </w:rPr>
              <w:t>62.0</w:t>
            </w:r>
          </w:p>
        </w:tc>
        <w:tc>
          <w:tcPr>
            <w:tcW w:w="1472" w:type="dxa"/>
            <w:tcBorders>
              <w:top w:val="nil"/>
              <w:left w:val="nil"/>
              <w:bottom w:val="nil"/>
              <w:right w:val="single" w:sz="8" w:space="0" w:color="FFFFFF"/>
            </w:tcBorders>
            <w:shd w:val="clear" w:color="auto" w:fill="D7D2CB" w:themeFill="background2"/>
            <w:noWrap/>
            <w:vAlign w:val="center"/>
            <w:hideMark/>
          </w:tcPr>
          <w:p w14:paraId="37B7EF42" w14:textId="77777777" w:rsidR="003C27FD" w:rsidRPr="00A31345" w:rsidRDefault="003C27FD" w:rsidP="004D2521">
            <w:pPr>
              <w:suppressAutoHyphens/>
              <w:spacing w:line="240" w:lineRule="auto"/>
              <w:jc w:val="right"/>
              <w:rPr>
                <w:rFonts w:cs="Arial"/>
                <w:color w:val="005EB8"/>
              </w:rPr>
            </w:pPr>
            <w:r>
              <w:rPr>
                <w:rFonts w:cs="Arial"/>
                <w:color w:val="005EB8"/>
              </w:rPr>
              <w:t>13.3</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26629949" w14:textId="77777777" w:rsidR="003C27FD" w:rsidRPr="00A31345" w:rsidRDefault="003C27FD" w:rsidP="004D2521">
            <w:pPr>
              <w:suppressAutoHyphens/>
              <w:spacing w:line="240" w:lineRule="auto"/>
              <w:jc w:val="right"/>
              <w:rPr>
                <w:rFonts w:cs="Arial"/>
                <w:color w:val="005EB8"/>
              </w:rPr>
            </w:pPr>
            <w:r w:rsidRPr="00A31345">
              <w:rPr>
                <w:rFonts w:cs="Arial"/>
                <w:color w:val="005EB8"/>
              </w:rPr>
              <w:t>57.7</w:t>
            </w:r>
          </w:p>
        </w:tc>
        <w:tc>
          <w:tcPr>
            <w:tcW w:w="1472" w:type="dxa"/>
            <w:tcBorders>
              <w:top w:val="nil"/>
              <w:left w:val="nil"/>
              <w:bottom w:val="nil"/>
              <w:right w:val="single" w:sz="8" w:space="0" w:color="FFFFFF"/>
            </w:tcBorders>
            <w:shd w:val="clear" w:color="auto" w:fill="FFFFFF" w:themeFill="background1"/>
            <w:noWrap/>
            <w:vAlign w:val="center"/>
            <w:hideMark/>
          </w:tcPr>
          <w:p w14:paraId="2F9F44FC" w14:textId="77777777" w:rsidR="003C27FD" w:rsidRPr="00A31345" w:rsidRDefault="003C27FD" w:rsidP="004D2521">
            <w:pPr>
              <w:suppressAutoHyphens/>
              <w:spacing w:line="240" w:lineRule="auto"/>
              <w:jc w:val="right"/>
              <w:rPr>
                <w:rFonts w:cs="Arial"/>
                <w:color w:val="005EB8"/>
              </w:rPr>
            </w:pPr>
            <w:r w:rsidRPr="00A31345">
              <w:rPr>
                <w:rFonts w:cs="Arial"/>
                <w:color w:val="005EB8"/>
              </w:rPr>
              <w:t>13.</w:t>
            </w:r>
            <w:r>
              <w:rPr>
                <w:rFonts w:cs="Arial"/>
                <w:color w:val="005EB8"/>
              </w:rPr>
              <w:t>0</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0C264B9F" w14:textId="77777777" w:rsidR="003C27FD" w:rsidRPr="00A31345" w:rsidRDefault="003C27FD" w:rsidP="004D2521">
            <w:pPr>
              <w:suppressAutoHyphens/>
              <w:spacing w:line="240" w:lineRule="auto"/>
              <w:jc w:val="right"/>
              <w:rPr>
                <w:rFonts w:cs="Arial"/>
                <w:color w:val="005EB8"/>
              </w:rPr>
            </w:pPr>
            <w:r>
              <w:rPr>
                <w:rFonts w:cs="Arial"/>
                <w:color w:val="005EB8"/>
              </w:rPr>
              <w:t>7.4</w:t>
            </w:r>
            <w:r w:rsidRPr="00A31345">
              <w:rPr>
                <w:rFonts w:cs="Arial"/>
                <w:color w:val="005EB8"/>
              </w:rPr>
              <w:t>%</w:t>
            </w:r>
          </w:p>
        </w:tc>
      </w:tr>
      <w:tr w:rsidR="003C27FD" w:rsidRPr="00A31345" w14:paraId="5B495D40"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26AFB106" w14:textId="77777777" w:rsidR="003C27FD" w:rsidRPr="00A31345" w:rsidRDefault="003C27FD" w:rsidP="004D2521">
            <w:pPr>
              <w:suppressAutoHyphens/>
              <w:spacing w:line="240" w:lineRule="auto"/>
              <w:rPr>
                <w:rFonts w:eastAsia="Times New Roman" w:cs="Arial"/>
                <w:color w:val="005EB8"/>
              </w:rPr>
            </w:pPr>
            <w:r w:rsidRPr="00A31345">
              <w:rPr>
                <w:rFonts w:eastAsia="Times New Roman" w:cs="Arial"/>
                <w:color w:val="005EB8"/>
              </w:rPr>
              <w:t>Central, Eastern and Southern Europe</w:t>
            </w:r>
          </w:p>
        </w:tc>
        <w:tc>
          <w:tcPr>
            <w:tcW w:w="1472" w:type="dxa"/>
            <w:tcBorders>
              <w:top w:val="nil"/>
              <w:left w:val="nil"/>
              <w:bottom w:val="nil"/>
              <w:right w:val="single" w:sz="8" w:space="0" w:color="FFFFFF"/>
            </w:tcBorders>
            <w:shd w:val="clear" w:color="auto" w:fill="D7D2CB" w:themeFill="background2"/>
            <w:noWrap/>
            <w:vAlign w:val="center"/>
          </w:tcPr>
          <w:p w14:paraId="3D270AEC" w14:textId="77777777" w:rsidR="003C27FD" w:rsidRPr="00A31345" w:rsidRDefault="003C27FD" w:rsidP="004D2521">
            <w:pPr>
              <w:suppressAutoHyphens/>
              <w:spacing w:line="240" w:lineRule="auto"/>
              <w:jc w:val="right"/>
              <w:rPr>
                <w:rFonts w:cs="Arial"/>
                <w:color w:val="005EB8"/>
              </w:rPr>
            </w:pPr>
            <w:r>
              <w:rPr>
                <w:rFonts w:cs="Arial"/>
                <w:color w:val="005EB8"/>
              </w:rPr>
              <w:t>45.8</w:t>
            </w:r>
          </w:p>
        </w:tc>
        <w:tc>
          <w:tcPr>
            <w:tcW w:w="1472" w:type="dxa"/>
            <w:tcBorders>
              <w:top w:val="nil"/>
              <w:left w:val="nil"/>
              <w:bottom w:val="nil"/>
              <w:right w:val="single" w:sz="8" w:space="0" w:color="FFFFFF"/>
            </w:tcBorders>
            <w:shd w:val="clear" w:color="auto" w:fill="D7D2CB" w:themeFill="background2"/>
            <w:noWrap/>
            <w:vAlign w:val="center"/>
            <w:hideMark/>
          </w:tcPr>
          <w:p w14:paraId="1DDACE1D" w14:textId="77777777" w:rsidR="003C27FD" w:rsidRPr="00A31345" w:rsidRDefault="003C27FD" w:rsidP="004D2521">
            <w:pPr>
              <w:suppressAutoHyphens/>
              <w:spacing w:line="240" w:lineRule="auto"/>
              <w:jc w:val="right"/>
              <w:rPr>
                <w:rFonts w:cs="Arial"/>
                <w:color w:val="005EB8"/>
              </w:rPr>
            </w:pPr>
            <w:r>
              <w:rPr>
                <w:rFonts w:cs="Arial"/>
                <w:color w:val="005EB8"/>
              </w:rPr>
              <w:t>9.8</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6E21E1DC" w14:textId="77777777" w:rsidR="003C27FD" w:rsidRPr="00A31345" w:rsidRDefault="003C27FD" w:rsidP="004D2521">
            <w:pPr>
              <w:suppressAutoHyphens/>
              <w:spacing w:line="240" w:lineRule="auto"/>
              <w:jc w:val="right"/>
              <w:rPr>
                <w:rFonts w:cs="Arial"/>
                <w:color w:val="005EB8"/>
              </w:rPr>
            </w:pPr>
            <w:r w:rsidRPr="00A31345">
              <w:rPr>
                <w:rFonts w:cs="Arial"/>
                <w:color w:val="005EB8"/>
              </w:rPr>
              <w:t>46.9</w:t>
            </w:r>
          </w:p>
        </w:tc>
        <w:tc>
          <w:tcPr>
            <w:tcW w:w="1472" w:type="dxa"/>
            <w:tcBorders>
              <w:top w:val="nil"/>
              <w:left w:val="nil"/>
              <w:bottom w:val="nil"/>
              <w:right w:val="single" w:sz="8" w:space="0" w:color="FFFFFF"/>
            </w:tcBorders>
            <w:shd w:val="clear" w:color="auto" w:fill="FFFFFF" w:themeFill="background1"/>
            <w:noWrap/>
            <w:vAlign w:val="center"/>
            <w:hideMark/>
          </w:tcPr>
          <w:p w14:paraId="24E29F06" w14:textId="77777777" w:rsidR="003C27FD" w:rsidRPr="00A31345" w:rsidRDefault="003C27FD" w:rsidP="004D2521">
            <w:pPr>
              <w:suppressAutoHyphens/>
              <w:spacing w:line="240" w:lineRule="auto"/>
              <w:jc w:val="right"/>
              <w:rPr>
                <w:rFonts w:cs="Arial"/>
                <w:color w:val="005EB8"/>
              </w:rPr>
            </w:pPr>
            <w:r>
              <w:rPr>
                <w:rFonts w:cs="Arial"/>
                <w:color w:val="005EB8"/>
              </w:rPr>
              <w:t>10.6</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24FB6473" w14:textId="77777777" w:rsidR="003C27FD" w:rsidRPr="00A31345" w:rsidRDefault="003C27FD" w:rsidP="004D2521">
            <w:pPr>
              <w:suppressAutoHyphens/>
              <w:spacing w:line="240" w:lineRule="auto"/>
              <w:jc w:val="right"/>
              <w:rPr>
                <w:rFonts w:cs="Arial"/>
                <w:color w:val="005EB8"/>
              </w:rPr>
            </w:pPr>
            <w:r>
              <w:rPr>
                <w:rFonts w:cs="Arial"/>
                <w:color w:val="005EB8"/>
              </w:rPr>
              <w:t>(2.3</w:t>
            </w:r>
            <w:r w:rsidRPr="00A31345">
              <w:rPr>
                <w:rFonts w:cs="Arial"/>
                <w:color w:val="005EB8"/>
              </w:rPr>
              <w:t>%</w:t>
            </w:r>
            <w:r>
              <w:rPr>
                <w:rFonts w:cs="Arial"/>
                <w:color w:val="005EB8"/>
              </w:rPr>
              <w:t>)</w:t>
            </w:r>
          </w:p>
        </w:tc>
      </w:tr>
      <w:tr w:rsidR="003C27FD" w:rsidRPr="00A31345" w14:paraId="3A73250E" w14:textId="77777777" w:rsidTr="00D63966">
        <w:trPr>
          <w:trHeight w:val="283"/>
        </w:trPr>
        <w:tc>
          <w:tcPr>
            <w:tcW w:w="2964" w:type="dxa"/>
            <w:tcBorders>
              <w:top w:val="nil"/>
              <w:left w:val="nil"/>
              <w:bottom w:val="nil"/>
              <w:right w:val="single" w:sz="8" w:space="0" w:color="FFFFFF"/>
            </w:tcBorders>
            <w:shd w:val="clear" w:color="000000" w:fill="FFFFFF"/>
            <w:noWrap/>
            <w:vAlign w:val="center"/>
            <w:hideMark/>
          </w:tcPr>
          <w:p w14:paraId="288B5969" w14:textId="77777777" w:rsidR="003C27FD" w:rsidRPr="00A31345" w:rsidRDefault="003C27FD" w:rsidP="004D2521">
            <w:pPr>
              <w:suppressAutoHyphens/>
              <w:spacing w:line="240" w:lineRule="auto"/>
              <w:rPr>
                <w:rFonts w:eastAsia="Times New Roman" w:cs="Arial"/>
                <w:color w:val="005EB8"/>
              </w:rPr>
            </w:pPr>
            <w:r w:rsidRPr="00A31345">
              <w:rPr>
                <w:rFonts w:eastAsia="Times New Roman" w:cs="Arial"/>
                <w:color w:val="005EB8"/>
              </w:rPr>
              <w:t>Latin America</w:t>
            </w:r>
          </w:p>
        </w:tc>
        <w:tc>
          <w:tcPr>
            <w:tcW w:w="1472" w:type="dxa"/>
            <w:tcBorders>
              <w:top w:val="nil"/>
              <w:left w:val="nil"/>
              <w:bottom w:val="nil"/>
              <w:right w:val="single" w:sz="8" w:space="0" w:color="FFFFFF"/>
            </w:tcBorders>
            <w:shd w:val="clear" w:color="auto" w:fill="D7D2CB" w:themeFill="background2"/>
            <w:noWrap/>
            <w:vAlign w:val="center"/>
          </w:tcPr>
          <w:p w14:paraId="04F1DFF9" w14:textId="77777777" w:rsidR="003C27FD" w:rsidRPr="00A31345" w:rsidRDefault="003C27FD" w:rsidP="004D2521">
            <w:pPr>
              <w:suppressAutoHyphens/>
              <w:spacing w:line="240" w:lineRule="auto"/>
              <w:jc w:val="right"/>
              <w:rPr>
                <w:rFonts w:cs="Arial"/>
                <w:color w:val="005EB8"/>
              </w:rPr>
            </w:pPr>
            <w:r>
              <w:rPr>
                <w:rFonts w:cs="Arial"/>
                <w:color w:val="005EB8"/>
              </w:rPr>
              <w:t>32.5</w:t>
            </w:r>
          </w:p>
        </w:tc>
        <w:tc>
          <w:tcPr>
            <w:tcW w:w="1472" w:type="dxa"/>
            <w:tcBorders>
              <w:top w:val="nil"/>
              <w:left w:val="nil"/>
              <w:bottom w:val="nil"/>
              <w:right w:val="single" w:sz="8" w:space="0" w:color="FFFFFF"/>
            </w:tcBorders>
            <w:shd w:val="clear" w:color="auto" w:fill="D7D2CB" w:themeFill="background2"/>
            <w:noWrap/>
            <w:vAlign w:val="center"/>
            <w:hideMark/>
          </w:tcPr>
          <w:p w14:paraId="4E2A0A3B" w14:textId="77777777" w:rsidR="003C27FD" w:rsidRPr="00A31345" w:rsidRDefault="003C27FD" w:rsidP="004D2521">
            <w:pPr>
              <w:suppressAutoHyphens/>
              <w:spacing w:line="240" w:lineRule="auto"/>
              <w:jc w:val="right"/>
              <w:rPr>
                <w:rFonts w:cs="Arial"/>
                <w:color w:val="005EB8"/>
              </w:rPr>
            </w:pPr>
            <w:r>
              <w:rPr>
                <w:rFonts w:cs="Arial"/>
                <w:color w:val="005EB8"/>
              </w:rPr>
              <w:t>7.0</w:t>
            </w:r>
            <w:r w:rsidRPr="00A31345">
              <w:rPr>
                <w:rFonts w:cs="Arial"/>
                <w:color w:val="005EB8"/>
              </w:rPr>
              <w:t>%</w:t>
            </w:r>
          </w:p>
        </w:tc>
        <w:tc>
          <w:tcPr>
            <w:tcW w:w="1472" w:type="dxa"/>
            <w:tcBorders>
              <w:top w:val="nil"/>
              <w:left w:val="nil"/>
              <w:bottom w:val="nil"/>
              <w:right w:val="single" w:sz="8" w:space="0" w:color="FFFFFF"/>
            </w:tcBorders>
            <w:shd w:val="clear" w:color="auto" w:fill="auto"/>
            <w:noWrap/>
            <w:vAlign w:val="center"/>
          </w:tcPr>
          <w:p w14:paraId="3DD74ACE" w14:textId="77777777" w:rsidR="003C27FD" w:rsidRPr="00A31345" w:rsidRDefault="003C27FD" w:rsidP="004D2521">
            <w:pPr>
              <w:suppressAutoHyphens/>
              <w:spacing w:line="240" w:lineRule="auto"/>
              <w:jc w:val="right"/>
              <w:rPr>
                <w:rFonts w:cs="Arial"/>
                <w:color w:val="005EB8"/>
              </w:rPr>
            </w:pPr>
            <w:r w:rsidRPr="00A31345">
              <w:rPr>
                <w:rFonts w:cs="Arial"/>
                <w:color w:val="005EB8"/>
              </w:rPr>
              <w:t>33.5</w:t>
            </w:r>
          </w:p>
        </w:tc>
        <w:tc>
          <w:tcPr>
            <w:tcW w:w="1472" w:type="dxa"/>
            <w:tcBorders>
              <w:top w:val="nil"/>
              <w:left w:val="nil"/>
              <w:bottom w:val="nil"/>
              <w:right w:val="single" w:sz="8" w:space="0" w:color="FFFFFF"/>
            </w:tcBorders>
            <w:shd w:val="clear" w:color="auto" w:fill="FFFFFF" w:themeFill="background1"/>
            <w:noWrap/>
            <w:vAlign w:val="center"/>
            <w:hideMark/>
          </w:tcPr>
          <w:p w14:paraId="075DA4B8" w14:textId="77777777" w:rsidR="003C27FD" w:rsidRPr="00A31345" w:rsidRDefault="003C27FD" w:rsidP="004D2521">
            <w:pPr>
              <w:suppressAutoHyphens/>
              <w:spacing w:line="240" w:lineRule="auto"/>
              <w:jc w:val="right"/>
              <w:rPr>
                <w:rFonts w:cs="Arial"/>
                <w:color w:val="005EB8"/>
              </w:rPr>
            </w:pPr>
            <w:r>
              <w:rPr>
                <w:rFonts w:cs="Arial"/>
                <w:color w:val="005EB8"/>
              </w:rPr>
              <w:t>7.6</w:t>
            </w:r>
            <w:r w:rsidRPr="00A31345">
              <w:rPr>
                <w:rFonts w:cs="Arial"/>
                <w:color w:val="005EB8"/>
              </w:rPr>
              <w:t>%</w:t>
            </w:r>
          </w:p>
        </w:tc>
        <w:tc>
          <w:tcPr>
            <w:tcW w:w="1472" w:type="dxa"/>
            <w:tcBorders>
              <w:top w:val="nil"/>
              <w:left w:val="nil"/>
              <w:bottom w:val="nil"/>
              <w:right w:val="nil"/>
            </w:tcBorders>
            <w:shd w:val="clear" w:color="auto" w:fill="D7D2CB" w:themeFill="background2"/>
            <w:noWrap/>
            <w:vAlign w:val="center"/>
            <w:hideMark/>
          </w:tcPr>
          <w:p w14:paraId="2E84DF31" w14:textId="77777777" w:rsidR="003C27FD" w:rsidRPr="00A31345" w:rsidRDefault="003C27FD" w:rsidP="004D2521">
            <w:pPr>
              <w:suppressAutoHyphens/>
              <w:spacing w:line="240" w:lineRule="auto"/>
              <w:jc w:val="right"/>
              <w:rPr>
                <w:rFonts w:cs="Arial"/>
                <w:color w:val="005EB8"/>
              </w:rPr>
            </w:pPr>
            <w:r>
              <w:rPr>
                <w:rFonts w:cs="Arial"/>
                <w:color w:val="005EB8"/>
              </w:rPr>
              <w:t>(3.0</w:t>
            </w:r>
            <w:r w:rsidRPr="00A31345">
              <w:rPr>
                <w:rFonts w:cs="Arial"/>
                <w:color w:val="005EB8"/>
              </w:rPr>
              <w:t>%</w:t>
            </w:r>
            <w:r>
              <w:rPr>
                <w:rFonts w:cs="Arial"/>
                <w:color w:val="005EB8"/>
              </w:rPr>
              <w:t>)</w:t>
            </w:r>
          </w:p>
        </w:tc>
      </w:tr>
      <w:tr w:rsidR="003C27FD" w:rsidRPr="00A31345" w14:paraId="52867239" w14:textId="77777777" w:rsidTr="00D63966">
        <w:trPr>
          <w:trHeight w:val="283"/>
        </w:trPr>
        <w:tc>
          <w:tcPr>
            <w:tcW w:w="2964" w:type="dxa"/>
            <w:tcBorders>
              <w:top w:val="single" w:sz="4" w:space="0" w:color="1A61A9"/>
              <w:bottom w:val="double" w:sz="6" w:space="0" w:color="1A61A9"/>
              <w:right w:val="single" w:sz="8" w:space="0" w:color="FFFFFF"/>
            </w:tcBorders>
            <w:shd w:val="clear" w:color="000000" w:fill="FFFFFF"/>
            <w:noWrap/>
            <w:vAlign w:val="center"/>
            <w:hideMark/>
          </w:tcPr>
          <w:p w14:paraId="6E616426" w14:textId="77777777" w:rsidR="003C27FD" w:rsidRPr="00A31345" w:rsidRDefault="003C27FD" w:rsidP="004D2521">
            <w:pPr>
              <w:suppressAutoHyphens/>
              <w:spacing w:line="240" w:lineRule="auto"/>
              <w:rPr>
                <w:rFonts w:eastAsia="Times New Roman" w:cs="Arial"/>
                <w:b/>
                <w:bCs/>
                <w:color w:val="005EB8"/>
              </w:rPr>
            </w:pPr>
            <w:r w:rsidRPr="00A31345">
              <w:rPr>
                <w:rFonts w:eastAsia="Times New Roman" w:cs="Arial"/>
                <w:b/>
                <w:bCs/>
                <w:color w:val="005EB8"/>
              </w:rPr>
              <w:t>Total Air TA Bookings</w:t>
            </w:r>
          </w:p>
        </w:tc>
        <w:tc>
          <w:tcPr>
            <w:tcW w:w="1472" w:type="dxa"/>
            <w:tcBorders>
              <w:top w:val="single" w:sz="4" w:space="0" w:color="1A61A9"/>
              <w:left w:val="nil"/>
              <w:bottom w:val="double" w:sz="6" w:space="0" w:color="1A61A9"/>
              <w:right w:val="single" w:sz="8" w:space="0" w:color="FFFFFF"/>
            </w:tcBorders>
            <w:shd w:val="clear" w:color="auto" w:fill="D7D2CB" w:themeFill="background2"/>
            <w:noWrap/>
            <w:vAlign w:val="center"/>
          </w:tcPr>
          <w:p w14:paraId="294BEC62" w14:textId="77777777" w:rsidR="003C27FD" w:rsidRPr="00A31345" w:rsidRDefault="003C27FD" w:rsidP="004D2521">
            <w:pPr>
              <w:suppressAutoHyphens/>
              <w:spacing w:line="240" w:lineRule="auto"/>
              <w:jc w:val="right"/>
              <w:rPr>
                <w:rFonts w:cs="Arial"/>
                <w:b/>
                <w:bCs/>
                <w:color w:val="005EB8"/>
              </w:rPr>
            </w:pPr>
            <w:r>
              <w:rPr>
                <w:rFonts w:cs="Arial"/>
                <w:b/>
                <w:bCs/>
                <w:color w:val="005EB8"/>
              </w:rPr>
              <w:t>466.5</w:t>
            </w:r>
          </w:p>
        </w:tc>
        <w:tc>
          <w:tcPr>
            <w:tcW w:w="1472" w:type="dxa"/>
            <w:tcBorders>
              <w:top w:val="single" w:sz="4" w:space="0" w:color="1A61A9"/>
              <w:left w:val="nil"/>
              <w:bottom w:val="double" w:sz="6" w:space="0" w:color="1A61A9"/>
              <w:right w:val="single" w:sz="8" w:space="0" w:color="FFFFFF"/>
            </w:tcBorders>
            <w:shd w:val="clear" w:color="auto" w:fill="D7D2CB" w:themeFill="background2"/>
            <w:noWrap/>
            <w:vAlign w:val="center"/>
            <w:hideMark/>
          </w:tcPr>
          <w:p w14:paraId="60B838B3" w14:textId="77777777" w:rsidR="003C27FD" w:rsidRPr="00A31345" w:rsidRDefault="003C27FD" w:rsidP="004D2521">
            <w:pPr>
              <w:suppressAutoHyphens/>
              <w:spacing w:line="240" w:lineRule="auto"/>
              <w:jc w:val="right"/>
              <w:rPr>
                <w:rFonts w:cs="Arial"/>
                <w:b/>
                <w:bCs/>
                <w:color w:val="005EB8"/>
              </w:rPr>
            </w:pPr>
            <w:r w:rsidRPr="00A31345">
              <w:rPr>
                <w:rFonts w:cs="Arial"/>
                <w:b/>
                <w:bCs/>
                <w:color w:val="005EB8"/>
              </w:rPr>
              <w:t>100.0%</w:t>
            </w:r>
          </w:p>
        </w:tc>
        <w:tc>
          <w:tcPr>
            <w:tcW w:w="1472" w:type="dxa"/>
            <w:tcBorders>
              <w:top w:val="single" w:sz="4" w:space="0" w:color="1A61A9"/>
              <w:left w:val="nil"/>
              <w:bottom w:val="double" w:sz="6" w:space="0" w:color="1A61A9"/>
              <w:right w:val="single" w:sz="8" w:space="0" w:color="FFFFFF"/>
            </w:tcBorders>
            <w:shd w:val="clear" w:color="auto" w:fill="auto"/>
            <w:noWrap/>
            <w:vAlign w:val="center"/>
          </w:tcPr>
          <w:p w14:paraId="166427B6" w14:textId="77777777" w:rsidR="003C27FD" w:rsidRPr="00A31345" w:rsidRDefault="003C27FD" w:rsidP="004D2521">
            <w:pPr>
              <w:suppressAutoHyphens/>
              <w:spacing w:line="240" w:lineRule="auto"/>
              <w:jc w:val="right"/>
              <w:rPr>
                <w:rFonts w:cs="Arial"/>
                <w:b/>
                <w:bCs/>
                <w:color w:val="005EB8"/>
              </w:rPr>
            </w:pPr>
            <w:r w:rsidRPr="00A31345">
              <w:rPr>
                <w:rFonts w:cs="Arial"/>
                <w:b/>
                <w:bCs/>
                <w:color w:val="005EB8"/>
              </w:rPr>
              <w:t>443.4</w:t>
            </w:r>
          </w:p>
        </w:tc>
        <w:tc>
          <w:tcPr>
            <w:tcW w:w="1472" w:type="dxa"/>
            <w:tcBorders>
              <w:top w:val="single" w:sz="4" w:space="0" w:color="1A61A9"/>
              <w:left w:val="nil"/>
              <w:bottom w:val="double" w:sz="6" w:space="0" w:color="1A61A9"/>
              <w:right w:val="single" w:sz="8" w:space="0" w:color="FFFFFF"/>
            </w:tcBorders>
            <w:shd w:val="clear" w:color="auto" w:fill="FFFFFF" w:themeFill="background1"/>
            <w:noWrap/>
            <w:vAlign w:val="center"/>
            <w:hideMark/>
          </w:tcPr>
          <w:p w14:paraId="1B542E30" w14:textId="77777777" w:rsidR="003C27FD" w:rsidRPr="00A31345" w:rsidRDefault="003C27FD" w:rsidP="004D2521">
            <w:pPr>
              <w:suppressAutoHyphens/>
              <w:spacing w:line="240" w:lineRule="auto"/>
              <w:jc w:val="right"/>
              <w:rPr>
                <w:rFonts w:cs="Arial"/>
                <w:b/>
                <w:bCs/>
                <w:color w:val="005EB8"/>
              </w:rPr>
            </w:pPr>
            <w:r w:rsidRPr="00A31345">
              <w:rPr>
                <w:rFonts w:cs="Arial"/>
                <w:b/>
                <w:bCs/>
                <w:color w:val="005EB8"/>
              </w:rPr>
              <w:t>100.0%</w:t>
            </w:r>
          </w:p>
        </w:tc>
        <w:tc>
          <w:tcPr>
            <w:tcW w:w="1472" w:type="dxa"/>
            <w:tcBorders>
              <w:top w:val="single" w:sz="4" w:space="0" w:color="1A61A9"/>
              <w:left w:val="nil"/>
              <w:bottom w:val="double" w:sz="6" w:space="0" w:color="1A61A9"/>
              <w:right w:val="nil"/>
            </w:tcBorders>
            <w:shd w:val="clear" w:color="auto" w:fill="D7D2CB" w:themeFill="background2"/>
            <w:noWrap/>
            <w:vAlign w:val="center"/>
            <w:hideMark/>
          </w:tcPr>
          <w:p w14:paraId="077C9C57" w14:textId="77777777" w:rsidR="003C27FD" w:rsidRPr="00A31345" w:rsidRDefault="003C27FD" w:rsidP="004D2521">
            <w:pPr>
              <w:suppressAutoHyphens/>
              <w:spacing w:line="240" w:lineRule="auto"/>
              <w:jc w:val="right"/>
              <w:rPr>
                <w:rFonts w:cs="Arial"/>
                <w:b/>
                <w:bCs/>
                <w:color w:val="005EB8"/>
              </w:rPr>
            </w:pPr>
            <w:r>
              <w:rPr>
                <w:rFonts w:cs="Arial"/>
                <w:b/>
                <w:bCs/>
                <w:color w:val="005EB8"/>
              </w:rPr>
              <w:t>5.2</w:t>
            </w:r>
            <w:r w:rsidRPr="00A31345">
              <w:rPr>
                <w:rFonts w:cs="Arial"/>
                <w:b/>
                <w:bCs/>
                <w:color w:val="005EB8"/>
              </w:rPr>
              <w:t>%</w:t>
            </w:r>
          </w:p>
        </w:tc>
      </w:tr>
    </w:tbl>
    <w:p w14:paraId="02F1B6BB" w14:textId="77777777" w:rsidR="00EB6192" w:rsidRDefault="00EB6192" w:rsidP="004D2521">
      <w:pPr>
        <w:suppressAutoHyphens/>
        <w:spacing w:line="280" w:lineRule="exact"/>
        <w:jc w:val="both"/>
        <w:rPr>
          <w:rFonts w:cs="Arial"/>
          <w:lang w:eastAsia="es-ES"/>
        </w:rPr>
      </w:pPr>
    </w:p>
    <w:p w14:paraId="0DFBE846" w14:textId="77777777" w:rsidR="009311FF" w:rsidRDefault="009311FF" w:rsidP="004D2521">
      <w:pPr>
        <w:suppressAutoHyphens/>
        <w:rPr>
          <w:lang w:val="en-US"/>
        </w:rPr>
      </w:pPr>
    </w:p>
    <w:p w14:paraId="50C16AC1" w14:textId="34640609" w:rsidR="00B10CE1" w:rsidRDefault="00B10CE1" w:rsidP="004D2521">
      <w:pPr>
        <w:suppressAutoHyphens/>
        <w:rPr>
          <w:lang w:val="en-US"/>
        </w:rPr>
      </w:pPr>
      <w:r w:rsidRPr="009D5AF6">
        <w:rPr>
          <w:lang w:val="en-US"/>
        </w:rPr>
        <w:t xml:space="preserve">A key highlight of the year was reaching a breakthrough agreement with </w:t>
      </w:r>
      <w:proofErr w:type="spellStart"/>
      <w:r w:rsidRPr="00D72CE1">
        <w:rPr>
          <w:b/>
          <w:lang w:val="en-US"/>
        </w:rPr>
        <w:t>Ryanair</w:t>
      </w:r>
      <w:proofErr w:type="spellEnd"/>
      <w:r w:rsidRPr="009D5AF6">
        <w:rPr>
          <w:lang w:val="en-US"/>
        </w:rPr>
        <w:t xml:space="preserve"> which brought a wide range of its fares and full ancillary services to Amadeus´ travel agency subscribers for the first time in over a decade. The agreement included </w:t>
      </w:r>
      <w:proofErr w:type="spellStart"/>
      <w:r w:rsidRPr="009D5AF6">
        <w:rPr>
          <w:lang w:val="en-US"/>
        </w:rPr>
        <w:t>Ryanair’s</w:t>
      </w:r>
      <w:proofErr w:type="spellEnd"/>
      <w:r w:rsidRPr="009D5AF6">
        <w:rPr>
          <w:lang w:val="en-US"/>
        </w:rPr>
        <w:t xml:space="preserve"> new Business Plus fares, offering business and corporate </w:t>
      </w:r>
      <w:proofErr w:type="spellStart"/>
      <w:r w:rsidRPr="009D5AF6">
        <w:rPr>
          <w:lang w:val="en-US"/>
        </w:rPr>
        <w:t>travellers</w:t>
      </w:r>
      <w:proofErr w:type="spellEnd"/>
      <w:r w:rsidRPr="009D5AF6">
        <w:rPr>
          <w:lang w:val="en-US"/>
        </w:rPr>
        <w:t xml:space="preserve"> a tailored package.</w:t>
      </w:r>
    </w:p>
    <w:p w14:paraId="039BEAE9" w14:textId="77777777" w:rsidR="009D5AF6" w:rsidRPr="009D5AF6" w:rsidRDefault="009D5AF6" w:rsidP="004D2521">
      <w:pPr>
        <w:suppressAutoHyphens/>
        <w:rPr>
          <w:lang w:val="en-US"/>
        </w:rPr>
      </w:pPr>
    </w:p>
    <w:p w14:paraId="785DAEEB" w14:textId="2B48CFBF" w:rsidR="00B10CE1" w:rsidRDefault="00B10CE1" w:rsidP="004D2521">
      <w:pPr>
        <w:suppressAutoHyphens/>
        <w:rPr>
          <w:lang w:val="en-US"/>
        </w:rPr>
      </w:pPr>
      <w:r w:rsidRPr="009D5AF6">
        <w:rPr>
          <w:lang w:val="en-US"/>
        </w:rPr>
        <w:t xml:space="preserve">Additionally, distribution agreements with </w:t>
      </w:r>
      <w:r w:rsidR="00480FC3">
        <w:rPr>
          <w:lang w:val="en-US"/>
        </w:rPr>
        <w:t>1</w:t>
      </w:r>
      <w:r w:rsidR="000D7173">
        <w:rPr>
          <w:lang w:val="en-US"/>
        </w:rPr>
        <w:t>5</w:t>
      </w:r>
      <w:r w:rsidR="00480FC3" w:rsidRPr="009D5AF6">
        <w:rPr>
          <w:lang w:val="en-US"/>
        </w:rPr>
        <w:t xml:space="preserve"> </w:t>
      </w:r>
      <w:r w:rsidRPr="009D5AF6">
        <w:rPr>
          <w:lang w:val="en-US"/>
        </w:rPr>
        <w:t xml:space="preserve">new hybrid and low-cost airlines were also signed during the year and to date </w:t>
      </w:r>
      <w:r w:rsidR="00E238E7">
        <w:rPr>
          <w:lang w:val="en-US"/>
        </w:rPr>
        <w:t>79</w:t>
      </w:r>
      <w:r w:rsidR="00E238E7" w:rsidRPr="009D5AF6">
        <w:rPr>
          <w:lang w:val="en-US"/>
        </w:rPr>
        <w:t xml:space="preserve"> </w:t>
      </w:r>
      <w:r w:rsidRPr="009D5AF6">
        <w:rPr>
          <w:lang w:val="en-US"/>
        </w:rPr>
        <w:t xml:space="preserve">low-cost carriers have become Amadeus distribution partners. Bookings from travel agencies on low-cost carriers were up by </w:t>
      </w:r>
      <w:r w:rsidR="00E238E7">
        <w:rPr>
          <w:lang w:val="en-US"/>
        </w:rPr>
        <w:t>16%</w:t>
      </w:r>
      <w:r w:rsidRPr="009D5AF6">
        <w:rPr>
          <w:lang w:val="en-US"/>
        </w:rPr>
        <w:t xml:space="preserve"> year-on-year during 2014. </w:t>
      </w:r>
    </w:p>
    <w:p w14:paraId="0F8F8F7D" w14:textId="77777777" w:rsidR="009D5AF6" w:rsidRPr="009D5AF6" w:rsidRDefault="009D5AF6" w:rsidP="004D2521">
      <w:pPr>
        <w:suppressAutoHyphens/>
        <w:rPr>
          <w:lang w:val="en-US"/>
        </w:rPr>
      </w:pPr>
    </w:p>
    <w:p w14:paraId="45BB7AEA" w14:textId="4F703ADD" w:rsidR="00462179" w:rsidRDefault="00462179" w:rsidP="004D2521">
      <w:pPr>
        <w:suppressAutoHyphens/>
        <w:rPr>
          <w:lang w:val="en-US"/>
        </w:rPr>
      </w:pPr>
      <w:r w:rsidRPr="009D5AF6">
        <w:rPr>
          <w:lang w:val="en-US"/>
        </w:rPr>
        <w:t xml:space="preserve">Sales of merchandising solutions from Amadeus maintained momentum with 31 new airlines signing-up for the Amadeus Airline Ancillary Services solution during 2014. These included </w:t>
      </w:r>
      <w:r w:rsidRPr="00D72CE1">
        <w:rPr>
          <w:b/>
          <w:lang w:val="en-US"/>
        </w:rPr>
        <w:t>Etihad Airways</w:t>
      </w:r>
      <w:r w:rsidRPr="009D5AF6">
        <w:rPr>
          <w:lang w:val="en-US"/>
        </w:rPr>
        <w:t xml:space="preserve">, when it became the first airline in the United Arab Emirates to deploy the solution, and United Airlines, marking the industry’s first NDC-XML solution in the travel agency channel in North America.  14 airlines also signed agreements for the Amadeus Fare Family Solution, taking the total to </w:t>
      </w:r>
      <w:r w:rsidR="00480FC3">
        <w:rPr>
          <w:lang w:val="en-US"/>
        </w:rPr>
        <w:t>15</w:t>
      </w:r>
      <w:r w:rsidRPr="009D5AF6">
        <w:rPr>
          <w:lang w:val="en-US"/>
        </w:rPr>
        <w:t xml:space="preserve">. Currently a total of </w:t>
      </w:r>
      <w:r w:rsidR="00480FC3">
        <w:rPr>
          <w:lang w:val="en-US"/>
        </w:rPr>
        <w:t>110</w:t>
      </w:r>
      <w:r w:rsidR="00480FC3" w:rsidRPr="009D5AF6">
        <w:rPr>
          <w:lang w:val="en-US"/>
        </w:rPr>
        <w:t xml:space="preserve"> </w:t>
      </w:r>
      <w:r w:rsidRPr="009D5AF6">
        <w:rPr>
          <w:lang w:val="en-US"/>
        </w:rPr>
        <w:t>airlines have contracts for the Amadeus Airline Ancillary Services solution, which is integrated and supporting airlines to deploy ancillary services in over 100 markets worldwide.</w:t>
      </w:r>
    </w:p>
    <w:p w14:paraId="118073A6" w14:textId="77777777" w:rsidR="009D5AF6" w:rsidRPr="009D5AF6" w:rsidRDefault="009D5AF6" w:rsidP="004D2521">
      <w:pPr>
        <w:suppressAutoHyphens/>
        <w:rPr>
          <w:lang w:val="en-US"/>
        </w:rPr>
      </w:pPr>
    </w:p>
    <w:p w14:paraId="28631E3F" w14:textId="5A03B2A6" w:rsidR="00226D3E" w:rsidRDefault="00B10CE1" w:rsidP="004D2521">
      <w:pPr>
        <w:suppressAutoHyphens/>
        <w:rPr>
          <w:lang w:val="en-US"/>
        </w:rPr>
      </w:pPr>
      <w:r w:rsidRPr="009D5AF6">
        <w:rPr>
          <w:lang w:val="en-US"/>
        </w:rPr>
        <w:lastRenderedPageBreak/>
        <w:t>On the travel agency front, n</w:t>
      </w:r>
      <w:r w:rsidR="00462179" w:rsidRPr="009D5AF6">
        <w:rPr>
          <w:lang w:val="en-US"/>
        </w:rPr>
        <w:t xml:space="preserve">ew multi-year agreements were reached with the leading global online travel company </w:t>
      </w:r>
      <w:proofErr w:type="spellStart"/>
      <w:r w:rsidR="00462179" w:rsidRPr="00D72CE1">
        <w:rPr>
          <w:b/>
          <w:lang w:val="en-US"/>
        </w:rPr>
        <w:t>Orbitz</w:t>
      </w:r>
      <w:proofErr w:type="spellEnd"/>
      <w:r w:rsidR="00462179" w:rsidRPr="00D72CE1">
        <w:rPr>
          <w:b/>
          <w:lang w:val="en-US"/>
        </w:rPr>
        <w:t xml:space="preserve"> </w:t>
      </w:r>
      <w:r w:rsidR="00DB3E80" w:rsidRPr="00D72CE1">
        <w:rPr>
          <w:b/>
          <w:lang w:val="en-US"/>
        </w:rPr>
        <w:t>Worldwide</w:t>
      </w:r>
      <w:r w:rsidR="00462179" w:rsidRPr="009D5AF6">
        <w:rPr>
          <w:lang w:val="en-US"/>
        </w:rPr>
        <w:t xml:space="preserve"> – to support its brands in North America from January 2015 – and with </w:t>
      </w:r>
      <w:r w:rsidR="00462179" w:rsidRPr="00D72CE1">
        <w:rPr>
          <w:b/>
          <w:lang w:val="en-US"/>
        </w:rPr>
        <w:t>TUI Travel</w:t>
      </w:r>
      <w:r w:rsidR="00462179" w:rsidRPr="009D5AF6">
        <w:rPr>
          <w:lang w:val="en-US"/>
        </w:rPr>
        <w:t xml:space="preserve">, one of the world’s leading leisure travel groups, operating in over 180 countries with </w:t>
      </w:r>
      <w:r w:rsidRPr="009D5AF6">
        <w:rPr>
          <w:lang w:val="en-US"/>
        </w:rPr>
        <w:t xml:space="preserve">more than 30 million customers. </w:t>
      </w:r>
      <w:r w:rsidR="00E474FA">
        <w:rPr>
          <w:lang w:val="en-US"/>
        </w:rPr>
        <w:t xml:space="preserve">As part of our commitment to merchandising, we have announced a partnership with leading US online travel agency </w:t>
      </w:r>
      <w:r w:rsidR="00E474FA" w:rsidRPr="00D72CE1">
        <w:rPr>
          <w:b/>
          <w:lang w:val="en-US"/>
        </w:rPr>
        <w:t>Expedia</w:t>
      </w:r>
      <w:r w:rsidR="00E474FA">
        <w:rPr>
          <w:lang w:val="en-US"/>
        </w:rPr>
        <w:t xml:space="preserve"> </w:t>
      </w:r>
      <w:r w:rsidR="00226D3E">
        <w:rPr>
          <w:lang w:val="en-US"/>
        </w:rPr>
        <w:t>to</w:t>
      </w:r>
      <w:r w:rsidR="00E474FA">
        <w:rPr>
          <w:lang w:val="en-US"/>
        </w:rPr>
        <w:t xml:space="preserve"> start </w:t>
      </w:r>
      <w:r w:rsidR="00226D3E">
        <w:rPr>
          <w:lang w:val="en-US"/>
        </w:rPr>
        <w:t>offering</w:t>
      </w:r>
      <w:r w:rsidR="00E474FA">
        <w:rPr>
          <w:lang w:val="en-US"/>
        </w:rPr>
        <w:t xml:space="preserve"> branded fares to its customers through </w:t>
      </w:r>
      <w:r w:rsidR="00DB3E80">
        <w:rPr>
          <w:lang w:val="en-US"/>
        </w:rPr>
        <w:t xml:space="preserve">the </w:t>
      </w:r>
      <w:r w:rsidR="00E474FA">
        <w:rPr>
          <w:lang w:val="en-US"/>
        </w:rPr>
        <w:t>Amadeus Fare Family solution by mid</w:t>
      </w:r>
      <w:r w:rsidR="00226D3E">
        <w:rPr>
          <w:lang w:val="en-US"/>
        </w:rPr>
        <w:t>-</w:t>
      </w:r>
      <w:r w:rsidR="00E474FA">
        <w:rPr>
          <w:lang w:val="en-US"/>
        </w:rPr>
        <w:t>2015.</w:t>
      </w:r>
    </w:p>
    <w:p w14:paraId="05251BEB" w14:textId="77777777" w:rsidR="00226D3E" w:rsidRDefault="00226D3E" w:rsidP="004D2521">
      <w:pPr>
        <w:suppressAutoHyphens/>
        <w:rPr>
          <w:lang w:val="en-US"/>
        </w:rPr>
      </w:pPr>
    </w:p>
    <w:p w14:paraId="00CC7BB8" w14:textId="7D8C299B" w:rsidR="00462179" w:rsidRDefault="00462179" w:rsidP="004D2521">
      <w:pPr>
        <w:suppressAutoHyphens/>
        <w:rPr>
          <w:lang w:val="en-US"/>
        </w:rPr>
      </w:pPr>
      <w:r w:rsidRPr="009D5AF6">
        <w:rPr>
          <w:lang w:val="en-US"/>
        </w:rPr>
        <w:t xml:space="preserve">A multi-year agreement was reached with </w:t>
      </w:r>
      <w:proofErr w:type="spellStart"/>
      <w:r w:rsidRPr="00D72CE1">
        <w:rPr>
          <w:b/>
          <w:lang w:val="en-US"/>
        </w:rPr>
        <w:t>Ctrip</w:t>
      </w:r>
      <w:proofErr w:type="spellEnd"/>
      <w:r w:rsidRPr="009D5AF6">
        <w:rPr>
          <w:lang w:val="en-US"/>
        </w:rPr>
        <w:t xml:space="preserve">, China’s leading travel company in terms of market </w:t>
      </w:r>
      <w:proofErr w:type="spellStart"/>
      <w:r w:rsidRPr="009D5AF6">
        <w:rPr>
          <w:lang w:val="en-US"/>
        </w:rPr>
        <w:t>capitalisation</w:t>
      </w:r>
      <w:proofErr w:type="spellEnd"/>
      <w:r w:rsidRPr="009D5AF6">
        <w:rPr>
          <w:lang w:val="en-US"/>
        </w:rPr>
        <w:t xml:space="preserve">, to include the provision of all air content for points of </w:t>
      </w:r>
      <w:r w:rsidR="00B10CE1" w:rsidRPr="009D5AF6">
        <w:rPr>
          <w:lang w:val="en-US"/>
        </w:rPr>
        <w:t>sale outside of mainland China.</w:t>
      </w:r>
    </w:p>
    <w:p w14:paraId="07E1547D" w14:textId="77777777" w:rsidR="009D5AF6" w:rsidRDefault="009D5AF6" w:rsidP="004D2521">
      <w:pPr>
        <w:suppressAutoHyphens/>
        <w:rPr>
          <w:lang w:val="en-US"/>
        </w:rPr>
      </w:pPr>
    </w:p>
    <w:p w14:paraId="6498E2AA" w14:textId="00506C9B" w:rsidR="00226D3E" w:rsidRPr="00E20A99" w:rsidRDefault="00226D3E" w:rsidP="004D2521">
      <w:pPr>
        <w:suppressAutoHyphens/>
        <w:rPr>
          <w:lang w:val="en-US"/>
        </w:rPr>
      </w:pPr>
      <w:r w:rsidRPr="00E20A99">
        <w:rPr>
          <w:lang w:val="en-US"/>
        </w:rPr>
        <w:t xml:space="preserve">In the autumn Amadeus unveiled its vision for a </w:t>
      </w:r>
      <w:proofErr w:type="spellStart"/>
      <w:r w:rsidRPr="00E20A99">
        <w:rPr>
          <w:lang w:val="en-US"/>
        </w:rPr>
        <w:t>traveller</w:t>
      </w:r>
      <w:proofErr w:type="spellEnd"/>
      <w:r w:rsidRPr="00E20A99">
        <w:rPr>
          <w:lang w:val="en-US"/>
        </w:rPr>
        <w:t>-centric global travel ecosystem</w:t>
      </w:r>
      <w:r>
        <w:rPr>
          <w:lang w:val="en-US"/>
        </w:rPr>
        <w:t>,</w:t>
      </w:r>
      <w:r w:rsidRPr="00E20A99">
        <w:rPr>
          <w:lang w:val="en-US"/>
        </w:rPr>
        <w:t xml:space="preserve"> </w:t>
      </w:r>
      <w:r>
        <w:rPr>
          <w:lang w:val="en-US"/>
        </w:rPr>
        <w:t>where</w:t>
      </w:r>
      <w:r w:rsidRPr="00E20A99">
        <w:rPr>
          <w:lang w:val="en-US"/>
        </w:rPr>
        <w:t xml:space="preserve"> Airlines will be able to unlock the opportunity for more than $130bn in additional revenue annually by 2020 through adopting an </w:t>
      </w:r>
      <w:proofErr w:type="spellStart"/>
      <w:r w:rsidRPr="00E20A99">
        <w:rPr>
          <w:lang w:val="en-US"/>
        </w:rPr>
        <w:t>omni</w:t>
      </w:r>
      <w:proofErr w:type="spellEnd"/>
      <w:r w:rsidRPr="00E20A99">
        <w:rPr>
          <w:lang w:val="en-US"/>
        </w:rPr>
        <w:t xml:space="preserve">-channel strategy for ancillary sales. This vision will be underpinned by </w:t>
      </w:r>
      <w:r>
        <w:rPr>
          <w:lang w:val="en-US"/>
        </w:rPr>
        <w:t xml:space="preserve">Amadeus with </w:t>
      </w:r>
      <w:r w:rsidRPr="00E20A99">
        <w:rPr>
          <w:lang w:val="en-US"/>
        </w:rPr>
        <w:t xml:space="preserve">the development of a new </w:t>
      </w:r>
      <w:proofErr w:type="spellStart"/>
      <w:r w:rsidRPr="00E20A99">
        <w:rPr>
          <w:lang w:val="en-US"/>
        </w:rPr>
        <w:t>traveller</w:t>
      </w:r>
      <w:proofErr w:type="spellEnd"/>
      <w:r w:rsidRPr="00E20A99">
        <w:rPr>
          <w:lang w:val="en-US"/>
        </w:rPr>
        <w:t xml:space="preserve">-centric Global Merchandising System with full integration across the Amadeus </w:t>
      </w:r>
      <w:proofErr w:type="spellStart"/>
      <w:r w:rsidRPr="00E20A99">
        <w:rPr>
          <w:lang w:val="en-US"/>
        </w:rPr>
        <w:t>Altéa</w:t>
      </w:r>
      <w:proofErr w:type="spellEnd"/>
      <w:r w:rsidRPr="00E20A99">
        <w:rPr>
          <w:lang w:val="en-US"/>
        </w:rPr>
        <w:t xml:space="preserve"> Suite.</w:t>
      </w:r>
    </w:p>
    <w:p w14:paraId="16BA43E9" w14:textId="77777777" w:rsidR="00226D3E" w:rsidRPr="00E20A99" w:rsidRDefault="00226D3E" w:rsidP="004D2521">
      <w:pPr>
        <w:suppressAutoHyphens/>
        <w:rPr>
          <w:lang w:val="en"/>
        </w:rPr>
      </w:pPr>
    </w:p>
    <w:p w14:paraId="02CBEEE8" w14:textId="77777777" w:rsidR="00226D3E" w:rsidRPr="00E20A99" w:rsidRDefault="00226D3E" w:rsidP="004D2521">
      <w:pPr>
        <w:suppressAutoHyphens/>
        <w:rPr>
          <w:lang w:val="en"/>
        </w:rPr>
      </w:pPr>
    </w:p>
    <w:p w14:paraId="4E0A2D04" w14:textId="6F4814A9" w:rsidR="00462179" w:rsidRPr="004A62A3" w:rsidRDefault="00462179" w:rsidP="004D2521">
      <w:pPr>
        <w:suppressAutoHyphens/>
        <w:rPr>
          <w:rFonts w:eastAsia="Times New Roman" w:cs="Arial"/>
          <w:lang w:val="en"/>
        </w:rPr>
      </w:pPr>
      <w:r w:rsidRPr="009D5AF6">
        <w:rPr>
          <w:lang w:val="en-US"/>
        </w:rPr>
        <w:t xml:space="preserve">Corporate travel IT remained a priority as Amadeus made great strides in its growth strategy for the segment. During the year Amadeus </w:t>
      </w:r>
      <w:r w:rsidR="00DB3E80" w:rsidRPr="009D5AF6">
        <w:rPr>
          <w:lang w:val="en-US"/>
        </w:rPr>
        <w:t>completed</w:t>
      </w:r>
      <w:r w:rsidR="00DB3E80">
        <w:rPr>
          <w:lang w:val="en-US"/>
        </w:rPr>
        <w:t>,</w:t>
      </w:r>
      <w:r w:rsidR="00DB3E80" w:rsidRPr="009D5AF6">
        <w:rPr>
          <w:lang w:val="en-US"/>
        </w:rPr>
        <w:t xml:space="preserve"> </w:t>
      </w:r>
      <w:r w:rsidRPr="009D5AF6">
        <w:rPr>
          <w:lang w:val="en-US"/>
        </w:rPr>
        <w:t>through a tender offer process</w:t>
      </w:r>
      <w:r w:rsidR="00DB3E80">
        <w:rPr>
          <w:lang w:val="en-US"/>
        </w:rPr>
        <w:t>,</w:t>
      </w:r>
      <w:r w:rsidRPr="009D5AF6">
        <w:rPr>
          <w:lang w:val="en-US"/>
        </w:rPr>
        <w:t xml:space="preserve"> the acquisition of </w:t>
      </w:r>
      <w:r w:rsidRPr="00D72CE1">
        <w:rPr>
          <w:b/>
          <w:lang w:val="en-US"/>
        </w:rPr>
        <w:t>i</w:t>
      </w:r>
      <w:proofErr w:type="gramStart"/>
      <w:r w:rsidRPr="00D72CE1">
        <w:rPr>
          <w:b/>
          <w:lang w:val="en-US"/>
        </w:rPr>
        <w:t>:FAO</w:t>
      </w:r>
      <w:proofErr w:type="gramEnd"/>
      <w:r w:rsidRPr="009D5AF6">
        <w:rPr>
          <w:lang w:val="en-US"/>
        </w:rPr>
        <w:t xml:space="preserve">, Europe's most widely used cloud service for planning, booking, managing, and </w:t>
      </w:r>
      <w:r w:rsidR="00DB3E80" w:rsidRPr="009D5AF6">
        <w:rPr>
          <w:lang w:val="en-US"/>
        </w:rPr>
        <w:t xml:space="preserve">reporting </w:t>
      </w:r>
      <w:r w:rsidRPr="009D5AF6">
        <w:rPr>
          <w:lang w:val="en-US"/>
        </w:rPr>
        <w:t>expense</w:t>
      </w:r>
      <w:r w:rsidR="00DB3E80">
        <w:rPr>
          <w:lang w:val="en-US"/>
        </w:rPr>
        <w:t>s for</w:t>
      </w:r>
      <w:r w:rsidRPr="009D5AF6">
        <w:rPr>
          <w:lang w:val="en-US"/>
        </w:rPr>
        <w:t xml:space="preserve"> business travel.</w:t>
      </w:r>
    </w:p>
    <w:p w14:paraId="33F1668C" w14:textId="77777777" w:rsidR="00A7590B" w:rsidRPr="00462179" w:rsidRDefault="00A7590B" w:rsidP="004D2521">
      <w:pPr>
        <w:suppressAutoHyphens/>
      </w:pPr>
    </w:p>
    <w:p w14:paraId="0F4106F3" w14:textId="613E73E8" w:rsidR="002C1840" w:rsidRPr="00297B4E" w:rsidRDefault="002C1840" w:rsidP="004D2521">
      <w:pPr>
        <w:suppressAutoHyphens/>
        <w:rPr>
          <w:b/>
        </w:rPr>
      </w:pPr>
      <w:proofErr w:type="gramStart"/>
      <w:r w:rsidRPr="00297B4E">
        <w:rPr>
          <w:b/>
        </w:rPr>
        <w:t>IT</w:t>
      </w:r>
      <w:proofErr w:type="gramEnd"/>
      <w:r w:rsidR="002E52FD" w:rsidRPr="00297B4E">
        <w:rPr>
          <w:b/>
        </w:rPr>
        <w:t xml:space="preserve"> Solutions</w:t>
      </w:r>
    </w:p>
    <w:p w14:paraId="4CB44A1B" w14:textId="77777777" w:rsidR="002C1840" w:rsidRDefault="002C1840" w:rsidP="004D2521">
      <w:pPr>
        <w:suppressAutoHyphens/>
        <w:rPr>
          <w:lang w:val="en-US"/>
        </w:rPr>
      </w:pPr>
    </w:p>
    <w:p w14:paraId="3B8BBFA2" w14:textId="0435AABC" w:rsidR="002C1840" w:rsidRPr="005605AD" w:rsidRDefault="002C1840" w:rsidP="004D2521">
      <w:pPr>
        <w:pStyle w:val="ListBullet"/>
        <w:suppressAutoHyphens/>
        <w:rPr>
          <w:lang w:val="en-US"/>
        </w:rPr>
      </w:pPr>
      <w:r w:rsidRPr="005605AD">
        <w:rPr>
          <w:lang w:val="en-US"/>
        </w:rPr>
        <w:t xml:space="preserve">Revenue </w:t>
      </w:r>
      <w:r w:rsidR="00A972D2" w:rsidRPr="005605AD">
        <w:rPr>
          <w:lang w:val="en-US"/>
        </w:rPr>
        <w:t xml:space="preserve">grew </w:t>
      </w:r>
      <w:r w:rsidR="006062C4">
        <w:rPr>
          <w:lang w:val="en-US"/>
        </w:rPr>
        <w:t>2</w:t>
      </w:r>
      <w:r w:rsidR="00636145">
        <w:rPr>
          <w:lang w:val="en-US"/>
        </w:rPr>
        <w:t>2</w:t>
      </w:r>
      <w:r w:rsidR="006062C4">
        <w:rPr>
          <w:lang w:val="en-US"/>
        </w:rPr>
        <w:t>.</w:t>
      </w:r>
      <w:r w:rsidR="00636145">
        <w:rPr>
          <w:lang w:val="en-US"/>
        </w:rPr>
        <w:t>5</w:t>
      </w:r>
      <w:r w:rsidRPr="005605AD">
        <w:rPr>
          <w:lang w:val="en-US"/>
        </w:rPr>
        <w:t>%, to €</w:t>
      </w:r>
      <w:r w:rsidR="006062C4">
        <w:rPr>
          <w:lang w:val="en-US"/>
        </w:rPr>
        <w:t>9</w:t>
      </w:r>
      <w:r w:rsidR="00636145">
        <w:rPr>
          <w:lang w:val="en-US"/>
        </w:rPr>
        <w:t>62</w:t>
      </w:r>
      <w:r w:rsidR="006062C4">
        <w:rPr>
          <w:lang w:val="en-US"/>
        </w:rPr>
        <w:t>.</w:t>
      </w:r>
      <w:r w:rsidR="00636145">
        <w:rPr>
          <w:lang w:val="en-US"/>
        </w:rPr>
        <w:t>6</w:t>
      </w:r>
      <w:r w:rsidR="00A53949" w:rsidRPr="005605AD">
        <w:rPr>
          <w:lang w:val="en-US"/>
        </w:rPr>
        <w:t xml:space="preserve"> million</w:t>
      </w:r>
      <w:r w:rsidR="006062C4">
        <w:rPr>
          <w:lang w:val="en-US"/>
        </w:rPr>
        <w:t xml:space="preserve"> (including M&amp;A activity)</w:t>
      </w:r>
      <w:r w:rsidR="00A972D2" w:rsidRPr="005605AD">
        <w:rPr>
          <w:lang w:val="en-US"/>
        </w:rPr>
        <w:t>. Exclu</w:t>
      </w:r>
      <w:r w:rsidR="000F2D51" w:rsidRPr="005605AD">
        <w:rPr>
          <w:lang w:val="en-US"/>
        </w:rPr>
        <w:t>d</w:t>
      </w:r>
      <w:r w:rsidR="00A972D2" w:rsidRPr="005605AD">
        <w:rPr>
          <w:lang w:val="en-US"/>
        </w:rPr>
        <w:t xml:space="preserve">ing </w:t>
      </w:r>
      <w:r w:rsidR="00537A23">
        <w:rPr>
          <w:lang w:val="en-US"/>
        </w:rPr>
        <w:t>acquisitions</w:t>
      </w:r>
      <w:r w:rsidR="00A972D2" w:rsidRPr="005605AD">
        <w:rPr>
          <w:lang w:val="en-US"/>
        </w:rPr>
        <w:t>, revenue</w:t>
      </w:r>
      <w:r w:rsidR="003D48AC" w:rsidRPr="005605AD">
        <w:rPr>
          <w:lang w:val="en-US"/>
        </w:rPr>
        <w:t xml:space="preserve"> </w:t>
      </w:r>
      <w:r w:rsidR="00FC7724" w:rsidRPr="005605AD">
        <w:rPr>
          <w:lang w:val="en-US"/>
        </w:rPr>
        <w:t xml:space="preserve">increased </w:t>
      </w:r>
      <w:r w:rsidR="006062C4">
        <w:rPr>
          <w:lang w:val="en-US"/>
        </w:rPr>
        <w:t>12.9</w:t>
      </w:r>
      <w:r w:rsidR="003D48AC" w:rsidRPr="005605AD">
        <w:rPr>
          <w:lang w:val="en-US"/>
        </w:rPr>
        <w:t xml:space="preserve">% to </w:t>
      </w:r>
      <w:r w:rsidR="00DB7CE2" w:rsidRPr="005605AD">
        <w:rPr>
          <w:lang w:val="en-US"/>
        </w:rPr>
        <w:t>€</w:t>
      </w:r>
      <w:r w:rsidR="006062C4">
        <w:rPr>
          <w:lang w:val="en-US"/>
        </w:rPr>
        <w:t>887.3</w:t>
      </w:r>
      <w:r w:rsidR="00A972D2" w:rsidRPr="005605AD">
        <w:rPr>
          <w:lang w:val="en-US"/>
        </w:rPr>
        <w:t xml:space="preserve"> million</w:t>
      </w:r>
      <w:r w:rsidR="003465CB" w:rsidRPr="005605AD">
        <w:rPr>
          <w:lang w:val="en-US"/>
        </w:rPr>
        <w:t>.</w:t>
      </w:r>
    </w:p>
    <w:p w14:paraId="7B436AD0" w14:textId="6A27276A" w:rsidR="002C1840" w:rsidRPr="005605AD" w:rsidRDefault="002E52FD" w:rsidP="004D2521">
      <w:pPr>
        <w:pStyle w:val="ListBullet"/>
        <w:suppressAutoHyphens/>
        <w:rPr>
          <w:lang w:val="en-US"/>
        </w:rPr>
      </w:pPr>
      <w:r w:rsidRPr="005605AD">
        <w:rPr>
          <w:lang w:val="en-US"/>
        </w:rPr>
        <w:t>Pas</w:t>
      </w:r>
      <w:r w:rsidR="00901585" w:rsidRPr="005605AD">
        <w:rPr>
          <w:lang w:val="en-US"/>
        </w:rPr>
        <w:t xml:space="preserve">sengers Boarded </w:t>
      </w:r>
      <w:r w:rsidR="00653207">
        <w:rPr>
          <w:lang w:val="en-US"/>
        </w:rPr>
        <w:t xml:space="preserve">progressed </w:t>
      </w:r>
      <w:r w:rsidR="00810F41" w:rsidRPr="005605AD">
        <w:rPr>
          <w:lang w:val="en-US"/>
        </w:rPr>
        <w:t xml:space="preserve">by </w:t>
      </w:r>
      <w:r w:rsidR="006062C4">
        <w:rPr>
          <w:lang w:val="en-US"/>
        </w:rPr>
        <w:t>12.9</w:t>
      </w:r>
      <w:r w:rsidRPr="005605AD">
        <w:rPr>
          <w:lang w:val="en-US"/>
        </w:rPr>
        <w:t xml:space="preserve">% to total </w:t>
      </w:r>
      <w:r w:rsidR="006062C4">
        <w:rPr>
          <w:lang w:val="en-US"/>
        </w:rPr>
        <w:t>695.4</w:t>
      </w:r>
      <w:r w:rsidR="00A53949" w:rsidRPr="005605AD">
        <w:rPr>
          <w:lang w:val="en-US"/>
        </w:rPr>
        <w:t xml:space="preserve"> million</w:t>
      </w:r>
      <w:r w:rsidR="00CD46BC" w:rsidRPr="005605AD">
        <w:rPr>
          <w:lang w:val="en-US"/>
        </w:rPr>
        <w:t>.</w:t>
      </w:r>
    </w:p>
    <w:p w14:paraId="646599E8" w14:textId="1F4E79C8" w:rsidR="003D2D03" w:rsidRDefault="00CD46BC" w:rsidP="004D2521">
      <w:pPr>
        <w:pStyle w:val="ListBullet"/>
        <w:suppressAutoHyphens/>
        <w:rPr>
          <w:lang w:val="en-US"/>
        </w:rPr>
      </w:pPr>
      <w:r w:rsidRPr="005605AD">
        <w:rPr>
          <w:lang w:val="en-US"/>
        </w:rPr>
        <w:t>Growth</w:t>
      </w:r>
      <w:r w:rsidR="00DB7CE2">
        <w:rPr>
          <w:lang w:val="en-US"/>
        </w:rPr>
        <w:t xml:space="preserve"> was</w:t>
      </w:r>
      <w:r w:rsidRPr="005605AD">
        <w:rPr>
          <w:lang w:val="en-US"/>
        </w:rPr>
        <w:t xml:space="preserve"> driven by </w:t>
      </w:r>
      <w:r w:rsidR="001D6BCA" w:rsidRPr="005605AD">
        <w:rPr>
          <w:lang w:val="en-US"/>
        </w:rPr>
        <w:t xml:space="preserve">the </w:t>
      </w:r>
      <w:r w:rsidR="003D2D03">
        <w:rPr>
          <w:lang w:val="en-US"/>
        </w:rPr>
        <w:t>implementation of airlines during the year</w:t>
      </w:r>
      <w:r w:rsidR="006062C4">
        <w:rPr>
          <w:lang w:val="en-US"/>
        </w:rPr>
        <w:t>,</w:t>
      </w:r>
      <w:r w:rsidR="003D2D03">
        <w:rPr>
          <w:lang w:val="en-US"/>
        </w:rPr>
        <w:t xml:space="preserve"> in addition to the full-year impact of those implemented d</w:t>
      </w:r>
      <w:r w:rsidR="00D8066A">
        <w:rPr>
          <w:lang w:val="en-US"/>
        </w:rPr>
        <w:t xml:space="preserve">uring 2013 (such as </w:t>
      </w:r>
      <w:r w:rsidR="00D8066A" w:rsidRPr="00D72CE1">
        <w:rPr>
          <w:b/>
          <w:lang w:val="en-US"/>
        </w:rPr>
        <w:t>Asiana</w:t>
      </w:r>
      <w:r w:rsidR="00D8066A">
        <w:rPr>
          <w:lang w:val="en-US"/>
        </w:rPr>
        <w:t xml:space="preserve">, </w:t>
      </w:r>
      <w:r w:rsidR="00D8066A" w:rsidRPr="00D72CE1">
        <w:rPr>
          <w:b/>
          <w:lang w:val="en-US"/>
        </w:rPr>
        <w:t>Thai Airways</w:t>
      </w:r>
      <w:r w:rsidR="003D2D03">
        <w:rPr>
          <w:lang w:val="en-US"/>
        </w:rPr>
        <w:t xml:space="preserve">, and </w:t>
      </w:r>
      <w:r w:rsidR="003C27FD" w:rsidRPr="00D72CE1">
        <w:rPr>
          <w:b/>
          <w:lang w:val="en-US"/>
        </w:rPr>
        <w:t>Garuda Indonesia</w:t>
      </w:r>
      <w:r w:rsidR="003D2D03">
        <w:rPr>
          <w:lang w:val="en-US"/>
        </w:rPr>
        <w:t xml:space="preserve">), </w:t>
      </w:r>
      <w:r w:rsidR="00653207">
        <w:rPr>
          <w:lang w:val="en-US"/>
        </w:rPr>
        <w:t xml:space="preserve">on top of </w:t>
      </w:r>
      <w:r w:rsidR="00694752">
        <w:rPr>
          <w:lang w:val="en-US"/>
        </w:rPr>
        <w:t>3.5</w:t>
      </w:r>
      <w:r w:rsidR="00653207">
        <w:rPr>
          <w:lang w:val="en-US"/>
        </w:rPr>
        <w:t xml:space="preserve">% </w:t>
      </w:r>
      <w:r w:rsidR="003D2D03">
        <w:rPr>
          <w:lang w:val="en-US"/>
        </w:rPr>
        <w:t>organic growth</w:t>
      </w:r>
      <w:r w:rsidR="00ED0EEB">
        <w:rPr>
          <w:lang w:val="en-US"/>
        </w:rPr>
        <w:t>.</w:t>
      </w:r>
    </w:p>
    <w:p w14:paraId="28CE4C4C" w14:textId="77777777" w:rsidR="002C1840" w:rsidRPr="005605AD" w:rsidRDefault="002C1840" w:rsidP="004D2521">
      <w:pPr>
        <w:suppressAutoHyphens/>
        <w:rPr>
          <w:lang w:val="en-US"/>
        </w:rPr>
      </w:pPr>
    </w:p>
    <w:p w14:paraId="0D51D27C" w14:textId="77777777" w:rsidR="00151609" w:rsidRDefault="00061986" w:rsidP="004D2521">
      <w:pPr>
        <w:suppressAutoHyphens/>
        <w:rPr>
          <w:rFonts w:cs="Helv"/>
          <w:color w:val="000000"/>
          <w:lang w:val="en-US"/>
        </w:rPr>
      </w:pPr>
      <w:r w:rsidRPr="005605AD">
        <w:rPr>
          <w:rFonts w:eastAsia="Times New Roman" w:cs="Times New Roman"/>
          <w:b/>
          <w:bCs/>
          <w:color w:val="005EB8"/>
          <w:lang w:eastAsia="en-GB"/>
        </w:rPr>
        <w:t>Airline IT:</w:t>
      </w:r>
      <w:r w:rsidRPr="005605AD">
        <w:rPr>
          <w:lang w:val="en-US"/>
        </w:rPr>
        <w:t xml:space="preserve"> </w:t>
      </w:r>
    </w:p>
    <w:p w14:paraId="17048E7B" w14:textId="77777777" w:rsidR="00D8066A" w:rsidRDefault="00D8066A" w:rsidP="004D2521">
      <w:pPr>
        <w:suppressAutoHyphens/>
        <w:rPr>
          <w:rFonts w:cs="Helv"/>
          <w:color w:val="000000"/>
          <w:lang w:val="en-US"/>
        </w:rPr>
      </w:pPr>
    </w:p>
    <w:p w14:paraId="0B0F38FD" w14:textId="158BD81B" w:rsidR="009D5AF6" w:rsidRDefault="00462179" w:rsidP="004D2521">
      <w:pPr>
        <w:suppressAutoHyphens/>
        <w:rPr>
          <w:lang w:val="en-US"/>
        </w:rPr>
      </w:pPr>
      <w:r w:rsidRPr="009D5AF6">
        <w:rPr>
          <w:lang w:val="en-US"/>
        </w:rPr>
        <w:t>In July the first</w:t>
      </w:r>
      <w:r w:rsidR="00DB3E80">
        <w:rPr>
          <w:lang w:val="en-US"/>
        </w:rPr>
        <w:t xml:space="preserve"> </w:t>
      </w:r>
      <w:r w:rsidRPr="009D5AF6">
        <w:rPr>
          <w:lang w:val="en-US"/>
        </w:rPr>
        <w:t xml:space="preserve">ever scheduled international flights flown by </w:t>
      </w:r>
      <w:r w:rsidRPr="00D72CE1">
        <w:rPr>
          <w:b/>
          <w:lang w:val="en-US"/>
        </w:rPr>
        <w:t>Southwest Airlines</w:t>
      </w:r>
      <w:r w:rsidRPr="009D5AF6">
        <w:rPr>
          <w:lang w:val="en-US"/>
        </w:rPr>
        <w:t xml:space="preserve"> took off</w:t>
      </w:r>
      <w:r w:rsidR="00DB3E80">
        <w:rPr>
          <w:lang w:val="en-US"/>
        </w:rPr>
        <w:t>,</w:t>
      </w:r>
      <w:r w:rsidRPr="009D5AF6">
        <w:rPr>
          <w:lang w:val="en-US"/>
        </w:rPr>
        <w:t xml:space="preserve"> marking the successful full implementation of Amadeus’ </w:t>
      </w:r>
      <w:proofErr w:type="spellStart"/>
      <w:r w:rsidRPr="009D5AF6">
        <w:rPr>
          <w:lang w:val="en-US"/>
        </w:rPr>
        <w:t>Altéa</w:t>
      </w:r>
      <w:proofErr w:type="spellEnd"/>
      <w:r w:rsidRPr="009D5AF6">
        <w:rPr>
          <w:lang w:val="en-US"/>
        </w:rPr>
        <w:t xml:space="preserve"> Suite</w:t>
      </w:r>
      <w:r w:rsidR="009C1B1F">
        <w:rPr>
          <w:lang w:val="en-US"/>
        </w:rPr>
        <w:t xml:space="preserve"> for international operations</w:t>
      </w:r>
      <w:r w:rsidRPr="009D5AF6">
        <w:rPr>
          <w:lang w:val="en-US"/>
        </w:rPr>
        <w:t xml:space="preserve">. This followed an announcement in May that </w:t>
      </w:r>
      <w:proofErr w:type="gramStart"/>
      <w:r w:rsidRPr="009D5AF6">
        <w:rPr>
          <w:lang w:val="en-US"/>
        </w:rPr>
        <w:t>Southwest</w:t>
      </w:r>
      <w:proofErr w:type="gramEnd"/>
      <w:r w:rsidR="00226D3E">
        <w:rPr>
          <w:lang w:val="en-US"/>
        </w:rPr>
        <w:t xml:space="preserve"> </w:t>
      </w:r>
      <w:r w:rsidRPr="009D5AF6">
        <w:rPr>
          <w:lang w:val="en-US"/>
        </w:rPr>
        <w:t xml:space="preserve">signed a contract for Amadeus’ </w:t>
      </w:r>
      <w:proofErr w:type="spellStart"/>
      <w:r w:rsidRPr="009D5AF6">
        <w:rPr>
          <w:lang w:val="en-US"/>
        </w:rPr>
        <w:t>Altéa</w:t>
      </w:r>
      <w:proofErr w:type="spellEnd"/>
      <w:r w:rsidRPr="009D5AF6">
        <w:rPr>
          <w:lang w:val="en-US"/>
        </w:rPr>
        <w:t xml:space="preserve"> Suite to support the carrier’s U.S. domestic operations. Southwest and Amadeus will work together to fully move the carrier to the Amadeus </w:t>
      </w:r>
      <w:proofErr w:type="spellStart"/>
      <w:r w:rsidRPr="009D5AF6">
        <w:rPr>
          <w:lang w:val="en-US"/>
        </w:rPr>
        <w:t>Altéa</w:t>
      </w:r>
      <w:proofErr w:type="spellEnd"/>
      <w:r w:rsidRPr="009D5AF6">
        <w:rPr>
          <w:lang w:val="en-US"/>
        </w:rPr>
        <w:t xml:space="preserve"> platform for both international and domestic flights in the coming years. Our market share in IT Solutions was further supported in the third quarter by the migr</w:t>
      </w:r>
      <w:r w:rsidR="009D5AF6">
        <w:rPr>
          <w:lang w:val="en-US"/>
        </w:rPr>
        <w:t xml:space="preserve">ation of </w:t>
      </w:r>
      <w:r w:rsidR="009D5AF6" w:rsidRPr="00D72CE1">
        <w:rPr>
          <w:b/>
          <w:lang w:val="en-US"/>
        </w:rPr>
        <w:t>Korean Air</w:t>
      </w:r>
      <w:r w:rsidR="009D5AF6">
        <w:rPr>
          <w:lang w:val="en-US"/>
        </w:rPr>
        <w:t>.</w:t>
      </w:r>
    </w:p>
    <w:p w14:paraId="06362CF3" w14:textId="77777777" w:rsidR="009D5AF6" w:rsidRDefault="009D5AF6" w:rsidP="004D2521">
      <w:pPr>
        <w:suppressAutoHyphens/>
        <w:rPr>
          <w:lang w:val="en-US"/>
        </w:rPr>
      </w:pPr>
    </w:p>
    <w:p w14:paraId="3426965F" w14:textId="1F207A36" w:rsidR="00462179" w:rsidRPr="00462179" w:rsidRDefault="00462179" w:rsidP="004D2521">
      <w:pPr>
        <w:suppressAutoHyphens/>
        <w:rPr>
          <w:rFonts w:eastAsia="Times New Roman" w:cs="Arial"/>
          <w:lang w:val="en"/>
        </w:rPr>
      </w:pPr>
      <w:r w:rsidRPr="009D5AF6">
        <w:rPr>
          <w:lang w:val="en-US"/>
        </w:rPr>
        <w:t xml:space="preserve">Further </w:t>
      </w:r>
      <w:proofErr w:type="spellStart"/>
      <w:r w:rsidRPr="009D5AF6">
        <w:rPr>
          <w:lang w:val="en-US"/>
        </w:rPr>
        <w:t>Altéa</w:t>
      </w:r>
      <w:proofErr w:type="spellEnd"/>
      <w:r w:rsidRPr="009D5AF6">
        <w:rPr>
          <w:lang w:val="en-US"/>
        </w:rPr>
        <w:t xml:space="preserve"> contracts were also signed with many other leading airlines throughout the year, amongst others including </w:t>
      </w:r>
      <w:r w:rsidRPr="00D72CE1">
        <w:rPr>
          <w:b/>
          <w:lang w:val="en-US"/>
        </w:rPr>
        <w:t>Japan Airlines</w:t>
      </w:r>
      <w:r w:rsidRPr="009D5AF6">
        <w:rPr>
          <w:lang w:val="en-US"/>
        </w:rPr>
        <w:t xml:space="preserve"> and </w:t>
      </w:r>
      <w:r w:rsidRPr="00D72CE1">
        <w:rPr>
          <w:b/>
          <w:lang w:val="en-US"/>
        </w:rPr>
        <w:t>Swiss International Air Lines</w:t>
      </w:r>
      <w:r w:rsidRPr="009D5AF6">
        <w:rPr>
          <w:lang w:val="en-US"/>
        </w:rPr>
        <w:t xml:space="preserve">. At the close of the year 133 airlines around the world were contracted for both </w:t>
      </w:r>
      <w:proofErr w:type="spellStart"/>
      <w:r w:rsidRPr="009D5AF6">
        <w:rPr>
          <w:lang w:val="en-US"/>
        </w:rPr>
        <w:t>Altéa</w:t>
      </w:r>
      <w:proofErr w:type="spellEnd"/>
      <w:r w:rsidRPr="009D5AF6">
        <w:rPr>
          <w:lang w:val="en-US"/>
        </w:rPr>
        <w:t xml:space="preserve"> Reservation and </w:t>
      </w:r>
      <w:proofErr w:type="spellStart"/>
      <w:r w:rsidRPr="009D5AF6">
        <w:rPr>
          <w:lang w:val="en-US"/>
        </w:rPr>
        <w:t>Altéa</w:t>
      </w:r>
      <w:proofErr w:type="spellEnd"/>
      <w:r w:rsidRPr="009D5AF6">
        <w:rPr>
          <w:lang w:val="en-US"/>
        </w:rPr>
        <w:t xml:space="preserve"> Inventory, 117 of which were contracted to use the full </w:t>
      </w:r>
      <w:proofErr w:type="spellStart"/>
      <w:r w:rsidRPr="009D5AF6">
        <w:rPr>
          <w:lang w:val="en-US"/>
        </w:rPr>
        <w:t>Altéa</w:t>
      </w:r>
      <w:proofErr w:type="spellEnd"/>
      <w:r w:rsidRPr="009D5AF6">
        <w:rPr>
          <w:lang w:val="en-US"/>
        </w:rPr>
        <w:t xml:space="preserve"> Suite. At the same date, 124 airlines were implemented </w:t>
      </w:r>
      <w:r w:rsidR="00FD5931">
        <w:rPr>
          <w:lang w:val="en-US"/>
        </w:rPr>
        <w:t>for</w:t>
      </w:r>
      <w:r w:rsidRPr="009D5AF6">
        <w:rPr>
          <w:lang w:val="en-US"/>
        </w:rPr>
        <w:t xml:space="preserve"> both </w:t>
      </w:r>
      <w:proofErr w:type="spellStart"/>
      <w:r w:rsidRPr="009D5AF6">
        <w:rPr>
          <w:lang w:val="en-US"/>
        </w:rPr>
        <w:t>Altéa</w:t>
      </w:r>
      <w:proofErr w:type="spellEnd"/>
      <w:r w:rsidRPr="009D5AF6">
        <w:rPr>
          <w:lang w:val="en-US"/>
        </w:rPr>
        <w:t xml:space="preserve"> Reservation and </w:t>
      </w:r>
      <w:proofErr w:type="spellStart"/>
      <w:r w:rsidRPr="009D5AF6">
        <w:rPr>
          <w:lang w:val="en-US"/>
        </w:rPr>
        <w:t>Altéa</w:t>
      </w:r>
      <w:proofErr w:type="spellEnd"/>
      <w:r w:rsidRPr="009D5AF6">
        <w:rPr>
          <w:lang w:val="en-US"/>
        </w:rPr>
        <w:t xml:space="preserve"> Inventory, 91 of which to the full </w:t>
      </w:r>
      <w:proofErr w:type="spellStart"/>
      <w:r w:rsidRPr="009D5AF6">
        <w:rPr>
          <w:lang w:val="en-US"/>
        </w:rPr>
        <w:t>Altéa</w:t>
      </w:r>
      <w:proofErr w:type="spellEnd"/>
      <w:r w:rsidRPr="009D5AF6">
        <w:rPr>
          <w:lang w:val="en-US"/>
        </w:rPr>
        <w:t xml:space="preserve"> Suite. Based upon contracts signed, Amadeus estimates that by 2017 the number of annual contracted Passengers Boarded will be close to one billion, which would represent an increase of 44% vs. the 695 million passengers processed on the </w:t>
      </w:r>
      <w:proofErr w:type="spellStart"/>
      <w:r w:rsidRPr="009D5AF6">
        <w:rPr>
          <w:lang w:val="en-US"/>
        </w:rPr>
        <w:t>Altéa</w:t>
      </w:r>
      <w:proofErr w:type="spellEnd"/>
      <w:r w:rsidRPr="009D5AF6">
        <w:rPr>
          <w:lang w:val="en-US"/>
        </w:rPr>
        <w:t xml:space="preserve"> platform during 2014 – or a compound annual growth rate (CAGR) of circa 13%.</w:t>
      </w:r>
      <w:bookmarkStart w:id="0" w:name="_GoBack"/>
      <w:bookmarkEnd w:id="0"/>
    </w:p>
    <w:p w14:paraId="4DAD935F" w14:textId="77777777" w:rsidR="00694752" w:rsidRPr="00462179" w:rsidRDefault="00694752" w:rsidP="004D2521">
      <w:pPr>
        <w:suppressAutoHyphens/>
        <w:spacing w:before="120" w:line="280" w:lineRule="exact"/>
        <w:jc w:val="both"/>
        <w:rPr>
          <w:lang w:val="en" w:eastAsia="es-ES"/>
        </w:rPr>
      </w:pPr>
    </w:p>
    <w:tbl>
      <w:tblPr>
        <w:tblW w:w="10206" w:type="dxa"/>
        <w:tblInd w:w="108" w:type="dxa"/>
        <w:tblLayout w:type="fixed"/>
        <w:tblLook w:val="04A0" w:firstRow="1" w:lastRow="0" w:firstColumn="1" w:lastColumn="0" w:noHBand="0" w:noVBand="1"/>
      </w:tblPr>
      <w:tblGrid>
        <w:gridCol w:w="3786"/>
        <w:gridCol w:w="1284"/>
        <w:gridCol w:w="1284"/>
        <w:gridCol w:w="1284"/>
        <w:gridCol w:w="1284"/>
        <w:gridCol w:w="1284"/>
      </w:tblGrid>
      <w:tr w:rsidR="00694752" w:rsidRPr="00A31345" w14:paraId="15B8AA57" w14:textId="77777777" w:rsidTr="00E238E7">
        <w:trPr>
          <w:trHeight w:val="624"/>
        </w:trPr>
        <w:tc>
          <w:tcPr>
            <w:tcW w:w="3828" w:type="dxa"/>
            <w:tcBorders>
              <w:top w:val="nil"/>
              <w:left w:val="nil"/>
              <w:bottom w:val="nil"/>
              <w:right w:val="single" w:sz="8" w:space="0" w:color="FFFFFF"/>
            </w:tcBorders>
            <w:shd w:val="clear" w:color="000000" w:fill="005EB8"/>
            <w:vAlign w:val="center"/>
            <w:hideMark/>
          </w:tcPr>
          <w:p w14:paraId="483EDA03" w14:textId="77777777" w:rsidR="00694752" w:rsidRPr="00A31345" w:rsidRDefault="00694752" w:rsidP="004D2521">
            <w:pPr>
              <w:suppressAutoHyphens/>
              <w:spacing w:line="240" w:lineRule="auto"/>
              <w:rPr>
                <w:rFonts w:cs="Arial"/>
                <w:b/>
                <w:bCs/>
                <w:color w:val="FFFFFF"/>
              </w:rPr>
            </w:pPr>
            <w:r w:rsidRPr="00A31345">
              <w:rPr>
                <w:rFonts w:cs="Arial"/>
                <w:b/>
                <w:bCs/>
                <w:color w:val="FFFFFF"/>
              </w:rPr>
              <w:t>Amadeus PB</w:t>
            </w:r>
            <w:r w:rsidRPr="00A31345">
              <w:rPr>
                <w:rFonts w:cs="Arial"/>
                <w:b/>
                <w:bCs/>
                <w:color w:val="FFFFFF"/>
              </w:rPr>
              <w:br/>
            </w:r>
            <w:r w:rsidRPr="00A31345">
              <w:rPr>
                <w:rFonts w:cs="Arial"/>
                <w:b/>
                <w:bCs/>
                <w:i/>
                <w:iCs/>
                <w:color w:val="FFFFFF"/>
              </w:rPr>
              <w:t>Figures in million</w:t>
            </w:r>
          </w:p>
        </w:tc>
        <w:tc>
          <w:tcPr>
            <w:tcW w:w="1296" w:type="dxa"/>
            <w:tcBorders>
              <w:top w:val="nil"/>
              <w:left w:val="nil"/>
              <w:bottom w:val="nil"/>
              <w:right w:val="single" w:sz="8" w:space="0" w:color="FFFFFF"/>
            </w:tcBorders>
            <w:shd w:val="clear" w:color="000000" w:fill="00A9E0"/>
            <w:vAlign w:val="center"/>
            <w:hideMark/>
          </w:tcPr>
          <w:p w14:paraId="2E3E8958" w14:textId="77777777" w:rsidR="00694752" w:rsidRPr="00A31345" w:rsidRDefault="00694752" w:rsidP="004D2521">
            <w:pPr>
              <w:suppressAutoHyphens/>
              <w:spacing w:line="240" w:lineRule="auto"/>
              <w:jc w:val="center"/>
              <w:rPr>
                <w:rFonts w:cs="Arial"/>
                <w:b/>
                <w:bCs/>
                <w:color w:val="FFFFFF"/>
              </w:rPr>
            </w:pPr>
            <w:r w:rsidRPr="00A31345">
              <w:rPr>
                <w:rFonts w:cs="Arial"/>
                <w:b/>
                <w:bCs/>
                <w:color w:val="FFFFFF"/>
              </w:rPr>
              <w:t>Full year 2014</w:t>
            </w:r>
          </w:p>
        </w:tc>
        <w:tc>
          <w:tcPr>
            <w:tcW w:w="1297" w:type="dxa"/>
            <w:tcBorders>
              <w:top w:val="nil"/>
              <w:left w:val="nil"/>
              <w:bottom w:val="nil"/>
              <w:right w:val="single" w:sz="8" w:space="0" w:color="FFFFFF"/>
            </w:tcBorders>
            <w:shd w:val="clear" w:color="000000" w:fill="00A9E0"/>
            <w:vAlign w:val="center"/>
            <w:hideMark/>
          </w:tcPr>
          <w:p w14:paraId="3027D028" w14:textId="77777777" w:rsidR="00694752" w:rsidRPr="00A31345" w:rsidRDefault="00694752" w:rsidP="004D2521">
            <w:pPr>
              <w:suppressAutoHyphens/>
              <w:spacing w:line="240" w:lineRule="auto"/>
              <w:jc w:val="center"/>
              <w:rPr>
                <w:rFonts w:cs="Arial"/>
                <w:b/>
                <w:bCs/>
                <w:color w:val="FFFFFF"/>
              </w:rPr>
            </w:pPr>
            <w:r w:rsidRPr="00A31345">
              <w:rPr>
                <w:rFonts w:cs="Arial"/>
                <w:b/>
                <w:bCs/>
                <w:color w:val="FFFFFF"/>
              </w:rPr>
              <w:t>% of Total</w:t>
            </w:r>
          </w:p>
        </w:tc>
        <w:tc>
          <w:tcPr>
            <w:tcW w:w="1297" w:type="dxa"/>
            <w:tcBorders>
              <w:top w:val="nil"/>
              <w:left w:val="nil"/>
              <w:bottom w:val="nil"/>
              <w:right w:val="single" w:sz="8" w:space="0" w:color="FFFFFF"/>
            </w:tcBorders>
            <w:shd w:val="clear" w:color="000000" w:fill="00A9E0"/>
            <w:vAlign w:val="center"/>
            <w:hideMark/>
          </w:tcPr>
          <w:p w14:paraId="02696A8C" w14:textId="77777777" w:rsidR="00694752" w:rsidRPr="00A31345" w:rsidRDefault="00694752" w:rsidP="004D2521">
            <w:pPr>
              <w:suppressAutoHyphens/>
              <w:spacing w:line="240" w:lineRule="auto"/>
              <w:jc w:val="center"/>
              <w:rPr>
                <w:rFonts w:cs="Arial"/>
                <w:b/>
                <w:bCs/>
                <w:color w:val="FFFFFF"/>
              </w:rPr>
            </w:pPr>
            <w:r w:rsidRPr="00A31345">
              <w:rPr>
                <w:rFonts w:cs="Arial"/>
                <w:b/>
                <w:bCs/>
                <w:color w:val="FFFFFF"/>
              </w:rPr>
              <w:t>Full year 2013</w:t>
            </w:r>
          </w:p>
        </w:tc>
        <w:tc>
          <w:tcPr>
            <w:tcW w:w="1297" w:type="dxa"/>
            <w:tcBorders>
              <w:top w:val="nil"/>
              <w:left w:val="nil"/>
              <w:bottom w:val="nil"/>
              <w:right w:val="single" w:sz="8" w:space="0" w:color="FFFFFF"/>
            </w:tcBorders>
            <w:shd w:val="clear" w:color="000000" w:fill="00A9E0"/>
            <w:vAlign w:val="center"/>
            <w:hideMark/>
          </w:tcPr>
          <w:p w14:paraId="2129326F" w14:textId="77777777" w:rsidR="00694752" w:rsidRPr="00A31345" w:rsidRDefault="00694752" w:rsidP="004D2521">
            <w:pPr>
              <w:suppressAutoHyphens/>
              <w:spacing w:line="240" w:lineRule="auto"/>
              <w:jc w:val="center"/>
              <w:rPr>
                <w:rFonts w:cs="Arial"/>
                <w:b/>
                <w:bCs/>
                <w:color w:val="FFFFFF"/>
              </w:rPr>
            </w:pPr>
            <w:r w:rsidRPr="00A31345">
              <w:rPr>
                <w:rFonts w:cs="Arial"/>
                <w:b/>
                <w:bCs/>
                <w:color w:val="FFFFFF"/>
              </w:rPr>
              <w:t>% of Total</w:t>
            </w:r>
          </w:p>
        </w:tc>
        <w:tc>
          <w:tcPr>
            <w:tcW w:w="1297" w:type="dxa"/>
            <w:tcBorders>
              <w:top w:val="nil"/>
              <w:left w:val="nil"/>
              <w:bottom w:val="nil"/>
              <w:right w:val="nil"/>
            </w:tcBorders>
            <w:shd w:val="clear" w:color="000000" w:fill="00A9E0"/>
            <w:vAlign w:val="center"/>
            <w:hideMark/>
          </w:tcPr>
          <w:p w14:paraId="4480A14C" w14:textId="77777777" w:rsidR="00694752" w:rsidRPr="00A31345" w:rsidRDefault="00694752" w:rsidP="004D2521">
            <w:pPr>
              <w:suppressAutoHyphens/>
              <w:spacing w:line="240" w:lineRule="auto"/>
              <w:jc w:val="center"/>
              <w:rPr>
                <w:rFonts w:cs="Arial"/>
                <w:b/>
                <w:bCs/>
                <w:color w:val="FFFFFF"/>
              </w:rPr>
            </w:pPr>
            <w:r w:rsidRPr="00A31345">
              <w:rPr>
                <w:rFonts w:cs="Arial"/>
                <w:b/>
                <w:bCs/>
                <w:color w:val="FFFFFF"/>
              </w:rPr>
              <w:t>% Change</w:t>
            </w:r>
          </w:p>
        </w:tc>
      </w:tr>
      <w:tr w:rsidR="00694752" w14:paraId="7C6D778B" w14:textId="77777777" w:rsidTr="00E238E7">
        <w:trPr>
          <w:trHeight w:val="113"/>
        </w:trPr>
        <w:tc>
          <w:tcPr>
            <w:tcW w:w="3828" w:type="dxa"/>
            <w:tcBorders>
              <w:top w:val="nil"/>
              <w:left w:val="nil"/>
              <w:bottom w:val="nil"/>
              <w:right w:val="single" w:sz="8" w:space="0" w:color="FFFFFF"/>
            </w:tcBorders>
            <w:shd w:val="clear" w:color="000000" w:fill="FFFFFF"/>
            <w:noWrap/>
            <w:vAlign w:val="center"/>
          </w:tcPr>
          <w:p w14:paraId="686B9B41" w14:textId="77777777" w:rsidR="00694752" w:rsidRPr="00A31345" w:rsidRDefault="00694752" w:rsidP="004D2521">
            <w:pPr>
              <w:suppressAutoHyphens/>
              <w:spacing w:line="240" w:lineRule="auto"/>
              <w:rPr>
                <w:rFonts w:eastAsia="Times New Roman" w:cs="Arial"/>
                <w:color w:val="005EB8"/>
              </w:rPr>
            </w:pPr>
          </w:p>
        </w:tc>
        <w:tc>
          <w:tcPr>
            <w:tcW w:w="1296" w:type="dxa"/>
            <w:tcBorders>
              <w:top w:val="nil"/>
              <w:left w:val="nil"/>
              <w:bottom w:val="nil"/>
              <w:right w:val="single" w:sz="8" w:space="0" w:color="FFFFFF"/>
            </w:tcBorders>
            <w:shd w:val="clear" w:color="auto" w:fill="D7D2CB" w:themeFill="background2"/>
            <w:noWrap/>
            <w:vAlign w:val="center"/>
          </w:tcPr>
          <w:p w14:paraId="032FE9AE" w14:textId="77777777" w:rsidR="00694752" w:rsidRDefault="00694752" w:rsidP="004D2521">
            <w:pPr>
              <w:suppressAutoHyphens/>
              <w:spacing w:line="240" w:lineRule="auto"/>
              <w:jc w:val="right"/>
              <w:rPr>
                <w:rFonts w:cs="Arial"/>
                <w:color w:val="005EB8"/>
              </w:rPr>
            </w:pPr>
          </w:p>
        </w:tc>
        <w:tc>
          <w:tcPr>
            <w:tcW w:w="1297" w:type="dxa"/>
            <w:tcBorders>
              <w:top w:val="nil"/>
              <w:left w:val="nil"/>
              <w:bottom w:val="nil"/>
              <w:right w:val="single" w:sz="8" w:space="0" w:color="FFFFFF"/>
            </w:tcBorders>
            <w:shd w:val="clear" w:color="auto" w:fill="D7D2CB" w:themeFill="background2"/>
            <w:noWrap/>
            <w:vAlign w:val="center"/>
          </w:tcPr>
          <w:p w14:paraId="60245C40" w14:textId="77777777" w:rsidR="00694752" w:rsidRDefault="00694752" w:rsidP="004D2521">
            <w:pPr>
              <w:suppressAutoHyphens/>
              <w:spacing w:line="240" w:lineRule="auto"/>
              <w:jc w:val="right"/>
              <w:rPr>
                <w:rFonts w:cs="Arial"/>
                <w:color w:val="005EB8"/>
              </w:rPr>
            </w:pPr>
          </w:p>
        </w:tc>
        <w:tc>
          <w:tcPr>
            <w:tcW w:w="1297" w:type="dxa"/>
            <w:tcBorders>
              <w:top w:val="nil"/>
              <w:left w:val="nil"/>
              <w:bottom w:val="nil"/>
              <w:right w:val="single" w:sz="8" w:space="0" w:color="FFFFFF"/>
            </w:tcBorders>
            <w:shd w:val="clear" w:color="auto" w:fill="auto"/>
            <w:noWrap/>
            <w:vAlign w:val="center"/>
          </w:tcPr>
          <w:p w14:paraId="6DF3EB40" w14:textId="77777777" w:rsidR="00694752" w:rsidRPr="00A31345" w:rsidRDefault="00694752" w:rsidP="004D2521">
            <w:pPr>
              <w:suppressAutoHyphens/>
              <w:spacing w:line="240" w:lineRule="auto"/>
              <w:jc w:val="right"/>
              <w:rPr>
                <w:rFonts w:cs="Arial"/>
                <w:color w:val="005EB8"/>
              </w:rPr>
            </w:pPr>
          </w:p>
        </w:tc>
        <w:tc>
          <w:tcPr>
            <w:tcW w:w="1297" w:type="dxa"/>
            <w:tcBorders>
              <w:top w:val="nil"/>
              <w:left w:val="nil"/>
              <w:bottom w:val="nil"/>
              <w:right w:val="single" w:sz="8" w:space="0" w:color="FFFFFF"/>
            </w:tcBorders>
            <w:shd w:val="clear" w:color="auto" w:fill="FFFFFF" w:themeFill="background1"/>
            <w:noWrap/>
            <w:vAlign w:val="center"/>
          </w:tcPr>
          <w:p w14:paraId="4194EB97" w14:textId="77777777" w:rsidR="00694752" w:rsidRPr="00A31345" w:rsidRDefault="00694752" w:rsidP="004D2521">
            <w:pPr>
              <w:suppressAutoHyphens/>
              <w:spacing w:line="240" w:lineRule="auto"/>
              <w:jc w:val="right"/>
              <w:rPr>
                <w:rFonts w:cs="Arial"/>
                <w:color w:val="005EB8"/>
              </w:rPr>
            </w:pPr>
          </w:p>
        </w:tc>
        <w:tc>
          <w:tcPr>
            <w:tcW w:w="1297" w:type="dxa"/>
            <w:tcBorders>
              <w:top w:val="nil"/>
              <w:left w:val="nil"/>
              <w:bottom w:val="nil"/>
              <w:right w:val="nil"/>
            </w:tcBorders>
            <w:shd w:val="clear" w:color="auto" w:fill="D7D2CB" w:themeFill="background2"/>
            <w:noWrap/>
            <w:vAlign w:val="center"/>
          </w:tcPr>
          <w:p w14:paraId="091EC4B8" w14:textId="77777777" w:rsidR="00694752" w:rsidRDefault="00694752" w:rsidP="004D2521">
            <w:pPr>
              <w:suppressAutoHyphens/>
              <w:spacing w:line="240" w:lineRule="auto"/>
              <w:jc w:val="right"/>
              <w:rPr>
                <w:rFonts w:cs="Arial"/>
                <w:color w:val="005EB8"/>
              </w:rPr>
            </w:pPr>
          </w:p>
        </w:tc>
      </w:tr>
      <w:tr w:rsidR="00694752" w:rsidRPr="00A31345" w14:paraId="001332EE" w14:textId="77777777" w:rsidTr="00E238E7">
        <w:trPr>
          <w:trHeight w:val="284"/>
        </w:trPr>
        <w:tc>
          <w:tcPr>
            <w:tcW w:w="3828" w:type="dxa"/>
            <w:tcBorders>
              <w:top w:val="nil"/>
              <w:left w:val="nil"/>
              <w:bottom w:val="nil"/>
              <w:right w:val="single" w:sz="8" w:space="0" w:color="FFFFFF"/>
            </w:tcBorders>
            <w:shd w:val="clear" w:color="000000" w:fill="FFFFFF"/>
            <w:noWrap/>
            <w:vAlign w:val="center"/>
            <w:hideMark/>
          </w:tcPr>
          <w:p w14:paraId="0E901240" w14:textId="77777777" w:rsidR="00694752" w:rsidRPr="00A31345" w:rsidRDefault="00694752" w:rsidP="004D2521">
            <w:pPr>
              <w:suppressAutoHyphens/>
              <w:spacing w:line="240" w:lineRule="auto"/>
              <w:rPr>
                <w:rFonts w:eastAsia="Times New Roman" w:cs="Arial"/>
                <w:color w:val="005EB8"/>
              </w:rPr>
            </w:pPr>
            <w:r w:rsidRPr="00A31345">
              <w:rPr>
                <w:rFonts w:eastAsia="Times New Roman" w:cs="Arial"/>
                <w:color w:val="005EB8"/>
              </w:rPr>
              <w:t>Western Europe</w:t>
            </w:r>
          </w:p>
        </w:tc>
        <w:tc>
          <w:tcPr>
            <w:tcW w:w="1296" w:type="dxa"/>
            <w:tcBorders>
              <w:top w:val="nil"/>
              <w:left w:val="nil"/>
              <w:bottom w:val="nil"/>
              <w:right w:val="single" w:sz="8" w:space="0" w:color="FFFFFF"/>
            </w:tcBorders>
            <w:shd w:val="clear" w:color="auto" w:fill="D7D2CB" w:themeFill="background2"/>
            <w:noWrap/>
            <w:vAlign w:val="center"/>
          </w:tcPr>
          <w:p w14:paraId="4818D360" w14:textId="77777777" w:rsidR="00694752" w:rsidRPr="00A31345" w:rsidRDefault="00694752" w:rsidP="004D2521">
            <w:pPr>
              <w:suppressAutoHyphens/>
              <w:spacing w:line="240" w:lineRule="auto"/>
              <w:jc w:val="right"/>
              <w:rPr>
                <w:rFonts w:cs="Arial"/>
                <w:color w:val="005EB8"/>
              </w:rPr>
            </w:pPr>
            <w:r>
              <w:rPr>
                <w:rFonts w:cs="Arial"/>
                <w:color w:val="005EB8"/>
              </w:rPr>
              <w:t>318.7</w:t>
            </w:r>
          </w:p>
        </w:tc>
        <w:tc>
          <w:tcPr>
            <w:tcW w:w="1297" w:type="dxa"/>
            <w:tcBorders>
              <w:top w:val="nil"/>
              <w:left w:val="nil"/>
              <w:bottom w:val="nil"/>
              <w:right w:val="single" w:sz="8" w:space="0" w:color="FFFFFF"/>
            </w:tcBorders>
            <w:shd w:val="clear" w:color="auto" w:fill="D7D2CB" w:themeFill="background2"/>
            <w:noWrap/>
            <w:vAlign w:val="center"/>
            <w:hideMark/>
          </w:tcPr>
          <w:p w14:paraId="7B71F791" w14:textId="77777777" w:rsidR="00694752" w:rsidRPr="00A31345" w:rsidRDefault="00694752" w:rsidP="004D2521">
            <w:pPr>
              <w:suppressAutoHyphens/>
              <w:spacing w:line="240" w:lineRule="auto"/>
              <w:jc w:val="right"/>
              <w:rPr>
                <w:rFonts w:cs="Arial"/>
                <w:color w:val="005EB8"/>
              </w:rPr>
            </w:pPr>
            <w:r>
              <w:rPr>
                <w:rFonts w:cs="Arial"/>
                <w:color w:val="005EB8"/>
              </w:rPr>
              <w:t>45.8</w:t>
            </w:r>
            <w:r w:rsidRPr="00A31345">
              <w:rPr>
                <w:rFonts w:cs="Arial"/>
                <w:color w:val="005EB8"/>
              </w:rPr>
              <w:t>%</w:t>
            </w:r>
          </w:p>
        </w:tc>
        <w:tc>
          <w:tcPr>
            <w:tcW w:w="1297" w:type="dxa"/>
            <w:tcBorders>
              <w:top w:val="nil"/>
              <w:left w:val="nil"/>
              <w:bottom w:val="nil"/>
              <w:right w:val="single" w:sz="8" w:space="0" w:color="FFFFFF"/>
            </w:tcBorders>
            <w:shd w:val="clear" w:color="auto" w:fill="auto"/>
            <w:noWrap/>
            <w:vAlign w:val="center"/>
          </w:tcPr>
          <w:p w14:paraId="5E3372E1" w14:textId="77777777" w:rsidR="00694752" w:rsidRPr="00A31345" w:rsidRDefault="00694752" w:rsidP="004D2521">
            <w:pPr>
              <w:suppressAutoHyphens/>
              <w:spacing w:line="240" w:lineRule="auto"/>
              <w:jc w:val="right"/>
              <w:rPr>
                <w:rFonts w:cs="Arial"/>
                <w:color w:val="005EB8"/>
              </w:rPr>
            </w:pPr>
            <w:r w:rsidRPr="00A31345">
              <w:rPr>
                <w:rFonts w:cs="Arial"/>
                <w:color w:val="005EB8"/>
              </w:rPr>
              <w:t>308.6</w:t>
            </w:r>
          </w:p>
        </w:tc>
        <w:tc>
          <w:tcPr>
            <w:tcW w:w="1297" w:type="dxa"/>
            <w:tcBorders>
              <w:top w:val="nil"/>
              <w:left w:val="nil"/>
              <w:bottom w:val="nil"/>
              <w:right w:val="single" w:sz="8" w:space="0" w:color="FFFFFF"/>
            </w:tcBorders>
            <w:shd w:val="clear" w:color="auto" w:fill="FFFFFF" w:themeFill="background1"/>
            <w:noWrap/>
            <w:vAlign w:val="center"/>
            <w:hideMark/>
          </w:tcPr>
          <w:p w14:paraId="76CB0FA8" w14:textId="77777777" w:rsidR="00694752" w:rsidRPr="00A31345" w:rsidRDefault="00694752" w:rsidP="004D2521">
            <w:pPr>
              <w:suppressAutoHyphens/>
              <w:spacing w:line="240" w:lineRule="auto"/>
              <w:jc w:val="right"/>
              <w:rPr>
                <w:rFonts w:cs="Arial"/>
                <w:color w:val="005EB8"/>
              </w:rPr>
            </w:pPr>
            <w:r w:rsidRPr="00A31345">
              <w:rPr>
                <w:rFonts w:cs="Arial"/>
                <w:color w:val="005EB8"/>
              </w:rPr>
              <w:t>50.1%</w:t>
            </w:r>
          </w:p>
        </w:tc>
        <w:tc>
          <w:tcPr>
            <w:tcW w:w="1297" w:type="dxa"/>
            <w:tcBorders>
              <w:top w:val="nil"/>
              <w:left w:val="nil"/>
              <w:bottom w:val="nil"/>
              <w:right w:val="nil"/>
            </w:tcBorders>
            <w:shd w:val="clear" w:color="auto" w:fill="D7D2CB" w:themeFill="background2"/>
            <w:noWrap/>
            <w:vAlign w:val="center"/>
            <w:hideMark/>
          </w:tcPr>
          <w:p w14:paraId="67248BC7" w14:textId="77777777" w:rsidR="00694752" w:rsidRPr="00A31345" w:rsidRDefault="00694752" w:rsidP="004D2521">
            <w:pPr>
              <w:suppressAutoHyphens/>
              <w:spacing w:line="240" w:lineRule="auto"/>
              <w:jc w:val="right"/>
              <w:rPr>
                <w:rFonts w:cs="Arial"/>
                <w:color w:val="005EB8"/>
              </w:rPr>
            </w:pPr>
            <w:r>
              <w:rPr>
                <w:rFonts w:cs="Arial"/>
                <w:color w:val="005EB8"/>
              </w:rPr>
              <w:t>3.3</w:t>
            </w:r>
            <w:r w:rsidRPr="00A31345">
              <w:rPr>
                <w:rFonts w:cs="Arial"/>
                <w:color w:val="005EB8"/>
              </w:rPr>
              <w:t>%</w:t>
            </w:r>
          </w:p>
        </w:tc>
      </w:tr>
      <w:tr w:rsidR="00694752" w:rsidRPr="00A31345" w14:paraId="042A69BA" w14:textId="77777777" w:rsidTr="00E238E7">
        <w:trPr>
          <w:trHeight w:val="284"/>
        </w:trPr>
        <w:tc>
          <w:tcPr>
            <w:tcW w:w="3828" w:type="dxa"/>
            <w:tcBorders>
              <w:top w:val="nil"/>
              <w:left w:val="nil"/>
              <w:bottom w:val="nil"/>
              <w:right w:val="single" w:sz="8" w:space="0" w:color="FFFFFF"/>
            </w:tcBorders>
            <w:shd w:val="clear" w:color="000000" w:fill="FFFFFF"/>
            <w:noWrap/>
            <w:vAlign w:val="center"/>
            <w:hideMark/>
          </w:tcPr>
          <w:p w14:paraId="7B957B92" w14:textId="77777777" w:rsidR="00694752" w:rsidRPr="00A31345" w:rsidRDefault="00694752" w:rsidP="004D2521">
            <w:pPr>
              <w:suppressAutoHyphens/>
              <w:spacing w:line="240" w:lineRule="auto"/>
              <w:rPr>
                <w:rFonts w:eastAsia="Times New Roman" w:cs="Arial"/>
                <w:color w:val="005EB8"/>
              </w:rPr>
            </w:pPr>
            <w:r w:rsidRPr="00A31345">
              <w:rPr>
                <w:rFonts w:eastAsia="Times New Roman" w:cs="Arial"/>
                <w:color w:val="005EB8"/>
              </w:rPr>
              <w:t xml:space="preserve">Asia </w:t>
            </w:r>
            <w:r>
              <w:rPr>
                <w:rFonts w:eastAsia="Times New Roman" w:cs="Arial"/>
                <w:color w:val="005EB8"/>
              </w:rPr>
              <w:t>and</w:t>
            </w:r>
            <w:r w:rsidRPr="00A31345">
              <w:rPr>
                <w:rFonts w:eastAsia="Times New Roman" w:cs="Arial"/>
                <w:color w:val="005EB8"/>
              </w:rPr>
              <w:t xml:space="preserve"> Pacific</w:t>
            </w:r>
          </w:p>
        </w:tc>
        <w:tc>
          <w:tcPr>
            <w:tcW w:w="1296" w:type="dxa"/>
            <w:tcBorders>
              <w:top w:val="nil"/>
              <w:left w:val="nil"/>
              <w:bottom w:val="nil"/>
              <w:right w:val="single" w:sz="8" w:space="0" w:color="FFFFFF"/>
            </w:tcBorders>
            <w:shd w:val="clear" w:color="auto" w:fill="D7D2CB" w:themeFill="background2"/>
            <w:noWrap/>
            <w:vAlign w:val="center"/>
          </w:tcPr>
          <w:p w14:paraId="30B28933" w14:textId="77777777" w:rsidR="00694752" w:rsidRPr="00A31345" w:rsidRDefault="00694752" w:rsidP="004D2521">
            <w:pPr>
              <w:suppressAutoHyphens/>
              <w:spacing w:line="240" w:lineRule="auto"/>
              <w:jc w:val="right"/>
              <w:rPr>
                <w:rFonts w:cs="Arial"/>
                <w:color w:val="005EB8"/>
              </w:rPr>
            </w:pPr>
            <w:r>
              <w:rPr>
                <w:rFonts w:cs="Arial"/>
                <w:color w:val="005EB8"/>
              </w:rPr>
              <w:t>166.6</w:t>
            </w:r>
          </w:p>
        </w:tc>
        <w:tc>
          <w:tcPr>
            <w:tcW w:w="1297" w:type="dxa"/>
            <w:tcBorders>
              <w:top w:val="nil"/>
              <w:left w:val="nil"/>
              <w:bottom w:val="nil"/>
              <w:right w:val="single" w:sz="8" w:space="0" w:color="FFFFFF"/>
            </w:tcBorders>
            <w:shd w:val="clear" w:color="auto" w:fill="D7D2CB" w:themeFill="background2"/>
            <w:noWrap/>
            <w:vAlign w:val="center"/>
            <w:hideMark/>
          </w:tcPr>
          <w:p w14:paraId="4C464610" w14:textId="77777777" w:rsidR="00694752" w:rsidRPr="00A31345" w:rsidRDefault="00694752" w:rsidP="004D2521">
            <w:pPr>
              <w:suppressAutoHyphens/>
              <w:spacing w:line="240" w:lineRule="auto"/>
              <w:jc w:val="right"/>
              <w:rPr>
                <w:rFonts w:cs="Arial"/>
                <w:color w:val="005EB8"/>
              </w:rPr>
            </w:pPr>
            <w:r>
              <w:rPr>
                <w:rFonts w:cs="Arial"/>
                <w:color w:val="005EB8"/>
              </w:rPr>
              <w:t>24.0</w:t>
            </w:r>
            <w:r w:rsidRPr="00A31345">
              <w:rPr>
                <w:rFonts w:cs="Arial"/>
                <w:color w:val="005EB8"/>
              </w:rPr>
              <w:t>%</w:t>
            </w:r>
          </w:p>
        </w:tc>
        <w:tc>
          <w:tcPr>
            <w:tcW w:w="1297" w:type="dxa"/>
            <w:tcBorders>
              <w:top w:val="nil"/>
              <w:left w:val="nil"/>
              <w:bottom w:val="nil"/>
              <w:right w:val="single" w:sz="8" w:space="0" w:color="FFFFFF"/>
            </w:tcBorders>
            <w:shd w:val="clear" w:color="auto" w:fill="auto"/>
            <w:noWrap/>
            <w:vAlign w:val="center"/>
          </w:tcPr>
          <w:p w14:paraId="3EFABA2A" w14:textId="77777777" w:rsidR="00694752" w:rsidRPr="00A31345" w:rsidRDefault="00694752" w:rsidP="004D2521">
            <w:pPr>
              <w:suppressAutoHyphens/>
              <w:spacing w:line="240" w:lineRule="auto"/>
              <w:jc w:val="right"/>
              <w:rPr>
                <w:rFonts w:cs="Arial"/>
                <w:color w:val="005EB8"/>
              </w:rPr>
            </w:pPr>
            <w:r w:rsidRPr="00A31345">
              <w:rPr>
                <w:rFonts w:cs="Arial"/>
                <w:color w:val="005EB8"/>
              </w:rPr>
              <w:t>109.2</w:t>
            </w:r>
          </w:p>
        </w:tc>
        <w:tc>
          <w:tcPr>
            <w:tcW w:w="1297" w:type="dxa"/>
            <w:tcBorders>
              <w:top w:val="nil"/>
              <w:left w:val="nil"/>
              <w:bottom w:val="nil"/>
              <w:right w:val="single" w:sz="8" w:space="0" w:color="FFFFFF"/>
            </w:tcBorders>
            <w:shd w:val="clear" w:color="auto" w:fill="FFFFFF" w:themeFill="background1"/>
            <w:noWrap/>
            <w:vAlign w:val="center"/>
            <w:hideMark/>
          </w:tcPr>
          <w:p w14:paraId="33C4BBBE" w14:textId="77777777" w:rsidR="00694752" w:rsidRPr="00A31345" w:rsidRDefault="00694752" w:rsidP="004D2521">
            <w:pPr>
              <w:suppressAutoHyphens/>
              <w:spacing w:line="240" w:lineRule="auto"/>
              <w:jc w:val="right"/>
              <w:rPr>
                <w:rFonts w:cs="Arial"/>
                <w:color w:val="005EB8"/>
              </w:rPr>
            </w:pPr>
            <w:r w:rsidRPr="00A31345">
              <w:rPr>
                <w:rFonts w:cs="Arial"/>
                <w:color w:val="005EB8"/>
              </w:rPr>
              <w:t>17.</w:t>
            </w:r>
            <w:r>
              <w:rPr>
                <w:rFonts w:cs="Arial"/>
                <w:color w:val="005EB8"/>
              </w:rPr>
              <w:t>7</w:t>
            </w:r>
            <w:r w:rsidRPr="00A31345">
              <w:rPr>
                <w:rFonts w:cs="Arial"/>
                <w:color w:val="005EB8"/>
              </w:rPr>
              <w:t>%</w:t>
            </w:r>
          </w:p>
        </w:tc>
        <w:tc>
          <w:tcPr>
            <w:tcW w:w="1297" w:type="dxa"/>
            <w:tcBorders>
              <w:top w:val="nil"/>
              <w:left w:val="nil"/>
              <w:bottom w:val="nil"/>
              <w:right w:val="nil"/>
            </w:tcBorders>
            <w:shd w:val="clear" w:color="auto" w:fill="D7D2CB" w:themeFill="background2"/>
            <w:noWrap/>
            <w:vAlign w:val="center"/>
            <w:hideMark/>
          </w:tcPr>
          <w:p w14:paraId="1D6343BD" w14:textId="77777777" w:rsidR="00694752" w:rsidRPr="00A31345" w:rsidRDefault="00694752" w:rsidP="004D2521">
            <w:pPr>
              <w:suppressAutoHyphens/>
              <w:spacing w:line="240" w:lineRule="auto"/>
              <w:jc w:val="right"/>
              <w:rPr>
                <w:rFonts w:cs="Arial"/>
                <w:color w:val="005EB8"/>
              </w:rPr>
            </w:pPr>
            <w:r>
              <w:rPr>
                <w:rFonts w:cs="Arial"/>
                <w:color w:val="005EB8"/>
              </w:rPr>
              <w:t>52.6</w:t>
            </w:r>
            <w:r w:rsidRPr="00A31345">
              <w:rPr>
                <w:rFonts w:cs="Arial"/>
                <w:color w:val="005EB8"/>
              </w:rPr>
              <w:t>%</w:t>
            </w:r>
          </w:p>
        </w:tc>
      </w:tr>
      <w:tr w:rsidR="00694752" w:rsidRPr="00A31345" w14:paraId="32F1195C" w14:textId="77777777" w:rsidTr="00E238E7">
        <w:trPr>
          <w:trHeight w:val="284"/>
        </w:trPr>
        <w:tc>
          <w:tcPr>
            <w:tcW w:w="3828" w:type="dxa"/>
            <w:tcBorders>
              <w:top w:val="nil"/>
              <w:left w:val="nil"/>
              <w:bottom w:val="nil"/>
              <w:right w:val="single" w:sz="8" w:space="0" w:color="FFFFFF"/>
            </w:tcBorders>
            <w:shd w:val="clear" w:color="000000" w:fill="FFFFFF"/>
            <w:noWrap/>
            <w:vAlign w:val="center"/>
            <w:hideMark/>
          </w:tcPr>
          <w:p w14:paraId="6A26C3A8" w14:textId="77777777" w:rsidR="00694752" w:rsidRPr="00A31345" w:rsidRDefault="00694752" w:rsidP="004D2521">
            <w:pPr>
              <w:suppressAutoHyphens/>
              <w:spacing w:line="240" w:lineRule="auto"/>
              <w:rPr>
                <w:rFonts w:eastAsia="Times New Roman" w:cs="Arial"/>
                <w:color w:val="005EB8"/>
              </w:rPr>
            </w:pPr>
            <w:r w:rsidRPr="00A31345">
              <w:rPr>
                <w:rFonts w:eastAsia="Times New Roman" w:cs="Arial"/>
                <w:color w:val="005EB8"/>
              </w:rPr>
              <w:t>Middle East and Africa</w:t>
            </w:r>
          </w:p>
        </w:tc>
        <w:tc>
          <w:tcPr>
            <w:tcW w:w="1296" w:type="dxa"/>
            <w:tcBorders>
              <w:top w:val="nil"/>
              <w:left w:val="nil"/>
              <w:bottom w:val="nil"/>
              <w:right w:val="single" w:sz="8" w:space="0" w:color="FFFFFF"/>
            </w:tcBorders>
            <w:shd w:val="clear" w:color="auto" w:fill="D7D2CB" w:themeFill="background2"/>
            <w:noWrap/>
            <w:vAlign w:val="center"/>
          </w:tcPr>
          <w:p w14:paraId="6C2D01FC" w14:textId="77777777" w:rsidR="00694752" w:rsidRPr="00A31345" w:rsidRDefault="00694752" w:rsidP="004D2521">
            <w:pPr>
              <w:suppressAutoHyphens/>
              <w:spacing w:line="240" w:lineRule="auto"/>
              <w:jc w:val="right"/>
              <w:rPr>
                <w:rFonts w:cs="Arial"/>
                <w:color w:val="005EB8"/>
              </w:rPr>
            </w:pPr>
            <w:r>
              <w:rPr>
                <w:rFonts w:cs="Arial"/>
                <w:color w:val="005EB8"/>
              </w:rPr>
              <w:t>100.5</w:t>
            </w:r>
          </w:p>
        </w:tc>
        <w:tc>
          <w:tcPr>
            <w:tcW w:w="1297" w:type="dxa"/>
            <w:tcBorders>
              <w:top w:val="nil"/>
              <w:left w:val="nil"/>
              <w:bottom w:val="nil"/>
              <w:right w:val="single" w:sz="8" w:space="0" w:color="FFFFFF"/>
            </w:tcBorders>
            <w:shd w:val="clear" w:color="auto" w:fill="D7D2CB" w:themeFill="background2"/>
            <w:noWrap/>
            <w:vAlign w:val="center"/>
            <w:hideMark/>
          </w:tcPr>
          <w:p w14:paraId="15B2075A" w14:textId="77777777" w:rsidR="00694752" w:rsidRPr="00A31345" w:rsidRDefault="00694752" w:rsidP="004D2521">
            <w:pPr>
              <w:suppressAutoHyphens/>
              <w:spacing w:line="240" w:lineRule="auto"/>
              <w:jc w:val="right"/>
              <w:rPr>
                <w:rFonts w:cs="Arial"/>
                <w:color w:val="005EB8"/>
              </w:rPr>
            </w:pPr>
            <w:r>
              <w:rPr>
                <w:rFonts w:cs="Arial"/>
                <w:color w:val="005EB8"/>
              </w:rPr>
              <w:t>14.5</w:t>
            </w:r>
            <w:r w:rsidRPr="00A31345">
              <w:rPr>
                <w:rFonts w:cs="Arial"/>
                <w:color w:val="005EB8"/>
              </w:rPr>
              <w:t>%</w:t>
            </w:r>
          </w:p>
        </w:tc>
        <w:tc>
          <w:tcPr>
            <w:tcW w:w="1297" w:type="dxa"/>
            <w:tcBorders>
              <w:top w:val="nil"/>
              <w:left w:val="nil"/>
              <w:bottom w:val="nil"/>
              <w:right w:val="single" w:sz="8" w:space="0" w:color="FFFFFF"/>
            </w:tcBorders>
            <w:shd w:val="clear" w:color="auto" w:fill="auto"/>
            <w:noWrap/>
            <w:vAlign w:val="center"/>
          </w:tcPr>
          <w:p w14:paraId="69D0C343" w14:textId="77777777" w:rsidR="00694752" w:rsidRPr="00A31345" w:rsidRDefault="00694752" w:rsidP="004D2521">
            <w:pPr>
              <w:suppressAutoHyphens/>
              <w:spacing w:line="240" w:lineRule="auto"/>
              <w:jc w:val="right"/>
              <w:rPr>
                <w:rFonts w:cs="Arial"/>
                <w:color w:val="005EB8"/>
              </w:rPr>
            </w:pPr>
            <w:r w:rsidRPr="00A31345">
              <w:rPr>
                <w:rFonts w:cs="Arial"/>
                <w:color w:val="005EB8"/>
              </w:rPr>
              <w:t>96.3</w:t>
            </w:r>
          </w:p>
        </w:tc>
        <w:tc>
          <w:tcPr>
            <w:tcW w:w="1297" w:type="dxa"/>
            <w:tcBorders>
              <w:top w:val="nil"/>
              <w:left w:val="nil"/>
              <w:bottom w:val="nil"/>
              <w:right w:val="single" w:sz="8" w:space="0" w:color="FFFFFF"/>
            </w:tcBorders>
            <w:shd w:val="clear" w:color="auto" w:fill="FFFFFF" w:themeFill="background1"/>
            <w:noWrap/>
            <w:vAlign w:val="center"/>
            <w:hideMark/>
          </w:tcPr>
          <w:p w14:paraId="08DFCAB1" w14:textId="77777777" w:rsidR="00694752" w:rsidRPr="00A31345" w:rsidRDefault="00694752" w:rsidP="004D2521">
            <w:pPr>
              <w:suppressAutoHyphens/>
              <w:spacing w:line="240" w:lineRule="auto"/>
              <w:jc w:val="right"/>
              <w:rPr>
                <w:rFonts w:cs="Arial"/>
                <w:color w:val="005EB8"/>
              </w:rPr>
            </w:pPr>
            <w:r w:rsidRPr="00A31345">
              <w:rPr>
                <w:rFonts w:cs="Arial"/>
                <w:color w:val="005EB8"/>
              </w:rPr>
              <w:t>15.6%</w:t>
            </w:r>
          </w:p>
        </w:tc>
        <w:tc>
          <w:tcPr>
            <w:tcW w:w="1297" w:type="dxa"/>
            <w:tcBorders>
              <w:top w:val="nil"/>
              <w:left w:val="nil"/>
              <w:bottom w:val="nil"/>
              <w:right w:val="nil"/>
            </w:tcBorders>
            <w:shd w:val="clear" w:color="auto" w:fill="D7D2CB" w:themeFill="background2"/>
            <w:noWrap/>
            <w:vAlign w:val="center"/>
            <w:hideMark/>
          </w:tcPr>
          <w:p w14:paraId="0C6FAA9E" w14:textId="77777777" w:rsidR="00694752" w:rsidRPr="00A31345" w:rsidRDefault="00694752" w:rsidP="004D2521">
            <w:pPr>
              <w:suppressAutoHyphens/>
              <w:spacing w:line="240" w:lineRule="auto"/>
              <w:jc w:val="right"/>
              <w:rPr>
                <w:rFonts w:cs="Arial"/>
                <w:color w:val="005EB8"/>
              </w:rPr>
            </w:pPr>
            <w:r>
              <w:rPr>
                <w:rFonts w:cs="Arial"/>
                <w:color w:val="005EB8"/>
              </w:rPr>
              <w:t>4.4</w:t>
            </w:r>
            <w:r w:rsidRPr="00A31345">
              <w:rPr>
                <w:rFonts w:cs="Arial"/>
                <w:color w:val="005EB8"/>
              </w:rPr>
              <w:t>%</w:t>
            </w:r>
          </w:p>
        </w:tc>
      </w:tr>
      <w:tr w:rsidR="00694752" w:rsidRPr="00A31345" w14:paraId="04B4608D" w14:textId="77777777" w:rsidTr="00E238E7">
        <w:trPr>
          <w:trHeight w:val="284"/>
        </w:trPr>
        <w:tc>
          <w:tcPr>
            <w:tcW w:w="3828" w:type="dxa"/>
            <w:tcBorders>
              <w:top w:val="nil"/>
              <w:left w:val="nil"/>
              <w:right w:val="single" w:sz="8" w:space="0" w:color="FFFFFF"/>
            </w:tcBorders>
            <w:shd w:val="clear" w:color="000000" w:fill="FFFFFF"/>
            <w:noWrap/>
            <w:vAlign w:val="center"/>
            <w:hideMark/>
          </w:tcPr>
          <w:p w14:paraId="6666AD78" w14:textId="77777777" w:rsidR="00694752" w:rsidRPr="00A31345" w:rsidRDefault="00694752" w:rsidP="004D2521">
            <w:pPr>
              <w:suppressAutoHyphens/>
              <w:spacing w:line="240" w:lineRule="auto"/>
              <w:rPr>
                <w:rFonts w:eastAsia="Times New Roman" w:cs="Arial"/>
                <w:color w:val="005EB8"/>
              </w:rPr>
            </w:pPr>
            <w:r w:rsidRPr="00A31345">
              <w:rPr>
                <w:rFonts w:eastAsia="Times New Roman" w:cs="Arial"/>
                <w:color w:val="005EB8"/>
              </w:rPr>
              <w:t>Latin America</w:t>
            </w:r>
          </w:p>
        </w:tc>
        <w:tc>
          <w:tcPr>
            <w:tcW w:w="1296" w:type="dxa"/>
            <w:tcBorders>
              <w:top w:val="nil"/>
              <w:left w:val="nil"/>
              <w:right w:val="single" w:sz="8" w:space="0" w:color="FFFFFF"/>
            </w:tcBorders>
            <w:shd w:val="clear" w:color="auto" w:fill="D7D2CB" w:themeFill="background2"/>
            <w:noWrap/>
            <w:vAlign w:val="center"/>
          </w:tcPr>
          <w:p w14:paraId="0C19C6A3" w14:textId="77777777" w:rsidR="00694752" w:rsidRPr="00A31345" w:rsidRDefault="00694752" w:rsidP="004D2521">
            <w:pPr>
              <w:suppressAutoHyphens/>
              <w:spacing w:line="240" w:lineRule="auto"/>
              <w:jc w:val="right"/>
              <w:rPr>
                <w:rFonts w:cs="Arial"/>
                <w:color w:val="005EB8"/>
              </w:rPr>
            </w:pPr>
            <w:r>
              <w:rPr>
                <w:rFonts w:cs="Arial"/>
                <w:color w:val="005EB8"/>
              </w:rPr>
              <w:t>73.2</w:t>
            </w:r>
          </w:p>
        </w:tc>
        <w:tc>
          <w:tcPr>
            <w:tcW w:w="1297" w:type="dxa"/>
            <w:tcBorders>
              <w:top w:val="nil"/>
              <w:left w:val="nil"/>
              <w:right w:val="single" w:sz="8" w:space="0" w:color="FFFFFF"/>
            </w:tcBorders>
            <w:shd w:val="clear" w:color="auto" w:fill="D7D2CB" w:themeFill="background2"/>
            <w:noWrap/>
            <w:vAlign w:val="center"/>
            <w:hideMark/>
          </w:tcPr>
          <w:p w14:paraId="53E62039" w14:textId="77777777" w:rsidR="00694752" w:rsidRPr="00A31345" w:rsidRDefault="00694752" w:rsidP="004D2521">
            <w:pPr>
              <w:suppressAutoHyphens/>
              <w:spacing w:line="240" w:lineRule="auto"/>
              <w:jc w:val="right"/>
              <w:rPr>
                <w:rFonts w:cs="Arial"/>
                <w:color w:val="005EB8"/>
              </w:rPr>
            </w:pPr>
            <w:r>
              <w:rPr>
                <w:rFonts w:cs="Arial"/>
                <w:color w:val="005EB8"/>
              </w:rPr>
              <w:t>10.5</w:t>
            </w:r>
            <w:r w:rsidRPr="00A31345">
              <w:rPr>
                <w:rFonts w:cs="Arial"/>
                <w:color w:val="005EB8"/>
              </w:rPr>
              <w:t>%</w:t>
            </w:r>
          </w:p>
        </w:tc>
        <w:tc>
          <w:tcPr>
            <w:tcW w:w="1297" w:type="dxa"/>
            <w:tcBorders>
              <w:top w:val="nil"/>
              <w:left w:val="nil"/>
              <w:right w:val="single" w:sz="8" w:space="0" w:color="FFFFFF"/>
            </w:tcBorders>
            <w:shd w:val="clear" w:color="auto" w:fill="auto"/>
            <w:noWrap/>
            <w:vAlign w:val="center"/>
          </w:tcPr>
          <w:p w14:paraId="3E6F0FB6" w14:textId="77777777" w:rsidR="00694752" w:rsidRPr="00A31345" w:rsidRDefault="00694752" w:rsidP="004D2521">
            <w:pPr>
              <w:suppressAutoHyphens/>
              <w:spacing w:line="240" w:lineRule="auto"/>
              <w:jc w:val="right"/>
              <w:rPr>
                <w:rFonts w:cs="Arial"/>
                <w:color w:val="005EB8"/>
              </w:rPr>
            </w:pPr>
            <w:r w:rsidRPr="00A31345">
              <w:rPr>
                <w:rFonts w:cs="Arial"/>
                <w:color w:val="005EB8"/>
              </w:rPr>
              <w:t>66.6</w:t>
            </w:r>
          </w:p>
        </w:tc>
        <w:tc>
          <w:tcPr>
            <w:tcW w:w="1297" w:type="dxa"/>
            <w:tcBorders>
              <w:top w:val="nil"/>
              <w:left w:val="nil"/>
              <w:right w:val="single" w:sz="8" w:space="0" w:color="FFFFFF"/>
            </w:tcBorders>
            <w:shd w:val="clear" w:color="auto" w:fill="FFFFFF" w:themeFill="background1"/>
            <w:noWrap/>
            <w:vAlign w:val="center"/>
            <w:hideMark/>
          </w:tcPr>
          <w:p w14:paraId="45BA8D43" w14:textId="77777777" w:rsidR="00694752" w:rsidRPr="00A31345" w:rsidRDefault="00694752" w:rsidP="004D2521">
            <w:pPr>
              <w:suppressAutoHyphens/>
              <w:spacing w:line="240" w:lineRule="auto"/>
              <w:jc w:val="right"/>
              <w:rPr>
                <w:rFonts w:cs="Arial"/>
                <w:color w:val="005EB8"/>
              </w:rPr>
            </w:pPr>
            <w:r w:rsidRPr="00A31345">
              <w:rPr>
                <w:rFonts w:cs="Arial"/>
                <w:color w:val="005EB8"/>
              </w:rPr>
              <w:t>10.8%</w:t>
            </w:r>
          </w:p>
        </w:tc>
        <w:tc>
          <w:tcPr>
            <w:tcW w:w="1297" w:type="dxa"/>
            <w:tcBorders>
              <w:top w:val="nil"/>
              <w:left w:val="nil"/>
              <w:right w:val="nil"/>
            </w:tcBorders>
            <w:shd w:val="clear" w:color="auto" w:fill="D7D2CB" w:themeFill="background2"/>
            <w:noWrap/>
            <w:vAlign w:val="center"/>
            <w:hideMark/>
          </w:tcPr>
          <w:p w14:paraId="20CA1C82" w14:textId="77777777" w:rsidR="00694752" w:rsidRPr="00A31345" w:rsidRDefault="00694752" w:rsidP="004D2521">
            <w:pPr>
              <w:suppressAutoHyphens/>
              <w:spacing w:line="240" w:lineRule="auto"/>
              <w:jc w:val="right"/>
              <w:rPr>
                <w:rFonts w:cs="Arial"/>
                <w:color w:val="005EB8"/>
              </w:rPr>
            </w:pPr>
            <w:r>
              <w:rPr>
                <w:rFonts w:cs="Arial"/>
                <w:color w:val="005EB8"/>
              </w:rPr>
              <w:t>10.0</w:t>
            </w:r>
            <w:r w:rsidRPr="00A31345">
              <w:rPr>
                <w:rFonts w:cs="Arial"/>
                <w:color w:val="005EB8"/>
              </w:rPr>
              <w:t>%</w:t>
            </w:r>
          </w:p>
        </w:tc>
      </w:tr>
      <w:tr w:rsidR="00694752" w:rsidRPr="00A31345" w14:paraId="78187A93" w14:textId="77777777" w:rsidTr="00E238E7">
        <w:trPr>
          <w:trHeight w:val="284"/>
        </w:trPr>
        <w:tc>
          <w:tcPr>
            <w:tcW w:w="3828" w:type="dxa"/>
            <w:tcBorders>
              <w:top w:val="nil"/>
              <w:left w:val="nil"/>
              <w:right w:val="single" w:sz="8" w:space="0" w:color="FFFFFF"/>
            </w:tcBorders>
            <w:shd w:val="clear" w:color="000000" w:fill="FFFFFF"/>
            <w:noWrap/>
            <w:vAlign w:val="center"/>
            <w:hideMark/>
          </w:tcPr>
          <w:p w14:paraId="16E8B2FA" w14:textId="77777777" w:rsidR="00694752" w:rsidRPr="00A31345" w:rsidRDefault="00694752" w:rsidP="004D2521">
            <w:pPr>
              <w:suppressAutoHyphens/>
              <w:spacing w:line="240" w:lineRule="auto"/>
              <w:rPr>
                <w:rFonts w:eastAsia="Times New Roman" w:cs="Arial"/>
                <w:color w:val="005EB8"/>
              </w:rPr>
            </w:pPr>
            <w:r w:rsidRPr="00A31345">
              <w:rPr>
                <w:rFonts w:eastAsia="Times New Roman" w:cs="Arial"/>
                <w:color w:val="005EB8"/>
              </w:rPr>
              <w:t>Central, Eastern and Southern Europe</w:t>
            </w:r>
          </w:p>
        </w:tc>
        <w:tc>
          <w:tcPr>
            <w:tcW w:w="1296" w:type="dxa"/>
            <w:tcBorders>
              <w:top w:val="nil"/>
              <w:left w:val="nil"/>
              <w:right w:val="single" w:sz="8" w:space="0" w:color="FFFFFF"/>
            </w:tcBorders>
            <w:shd w:val="clear" w:color="auto" w:fill="D7D2CB" w:themeFill="background2"/>
            <w:noWrap/>
            <w:vAlign w:val="center"/>
          </w:tcPr>
          <w:p w14:paraId="7826EBAC" w14:textId="77777777" w:rsidR="00694752" w:rsidRPr="00A31345" w:rsidRDefault="00694752" w:rsidP="004D2521">
            <w:pPr>
              <w:suppressAutoHyphens/>
              <w:spacing w:line="240" w:lineRule="auto"/>
              <w:jc w:val="right"/>
              <w:rPr>
                <w:rFonts w:cs="Arial"/>
                <w:color w:val="005EB8"/>
              </w:rPr>
            </w:pPr>
            <w:r>
              <w:rPr>
                <w:rFonts w:cs="Arial"/>
                <w:color w:val="005EB8"/>
              </w:rPr>
              <w:t>35.6</w:t>
            </w:r>
          </w:p>
        </w:tc>
        <w:tc>
          <w:tcPr>
            <w:tcW w:w="1297" w:type="dxa"/>
            <w:tcBorders>
              <w:top w:val="nil"/>
              <w:left w:val="nil"/>
              <w:right w:val="single" w:sz="8" w:space="0" w:color="FFFFFF"/>
            </w:tcBorders>
            <w:shd w:val="clear" w:color="auto" w:fill="D7D2CB" w:themeFill="background2"/>
            <w:noWrap/>
            <w:vAlign w:val="center"/>
            <w:hideMark/>
          </w:tcPr>
          <w:p w14:paraId="082C10EF" w14:textId="77777777" w:rsidR="00694752" w:rsidRPr="00A31345" w:rsidRDefault="00694752" w:rsidP="004D2521">
            <w:pPr>
              <w:suppressAutoHyphens/>
              <w:spacing w:line="240" w:lineRule="auto"/>
              <w:jc w:val="right"/>
              <w:rPr>
                <w:rFonts w:cs="Arial"/>
                <w:color w:val="005EB8"/>
              </w:rPr>
            </w:pPr>
            <w:r>
              <w:rPr>
                <w:rFonts w:cs="Arial"/>
                <w:color w:val="005EB8"/>
              </w:rPr>
              <w:t>5.1</w:t>
            </w:r>
            <w:r w:rsidRPr="00A31345">
              <w:rPr>
                <w:rFonts w:cs="Arial"/>
                <w:color w:val="005EB8"/>
              </w:rPr>
              <w:t>%</w:t>
            </w:r>
          </w:p>
        </w:tc>
        <w:tc>
          <w:tcPr>
            <w:tcW w:w="1297" w:type="dxa"/>
            <w:tcBorders>
              <w:top w:val="nil"/>
              <w:left w:val="nil"/>
              <w:right w:val="single" w:sz="8" w:space="0" w:color="FFFFFF"/>
            </w:tcBorders>
            <w:shd w:val="clear" w:color="auto" w:fill="auto"/>
            <w:noWrap/>
            <w:vAlign w:val="center"/>
          </w:tcPr>
          <w:p w14:paraId="1D926696" w14:textId="77777777" w:rsidR="00694752" w:rsidRPr="00A31345" w:rsidRDefault="00694752" w:rsidP="004D2521">
            <w:pPr>
              <w:suppressAutoHyphens/>
              <w:spacing w:line="240" w:lineRule="auto"/>
              <w:jc w:val="right"/>
              <w:rPr>
                <w:rFonts w:cs="Arial"/>
                <w:color w:val="005EB8"/>
              </w:rPr>
            </w:pPr>
            <w:r w:rsidRPr="00A31345">
              <w:rPr>
                <w:rFonts w:cs="Arial"/>
                <w:color w:val="005EB8"/>
              </w:rPr>
              <w:t>35.1</w:t>
            </w:r>
          </w:p>
        </w:tc>
        <w:tc>
          <w:tcPr>
            <w:tcW w:w="1297" w:type="dxa"/>
            <w:tcBorders>
              <w:top w:val="nil"/>
              <w:left w:val="nil"/>
              <w:right w:val="single" w:sz="8" w:space="0" w:color="FFFFFF"/>
            </w:tcBorders>
            <w:shd w:val="clear" w:color="auto" w:fill="FFFFFF" w:themeFill="background1"/>
            <w:noWrap/>
            <w:vAlign w:val="center"/>
            <w:hideMark/>
          </w:tcPr>
          <w:p w14:paraId="14764018" w14:textId="77777777" w:rsidR="00694752" w:rsidRPr="00A31345" w:rsidRDefault="00694752" w:rsidP="004D2521">
            <w:pPr>
              <w:suppressAutoHyphens/>
              <w:spacing w:line="240" w:lineRule="auto"/>
              <w:jc w:val="right"/>
              <w:rPr>
                <w:rFonts w:cs="Arial"/>
                <w:color w:val="005EB8"/>
              </w:rPr>
            </w:pPr>
            <w:r w:rsidRPr="00A31345">
              <w:rPr>
                <w:rFonts w:cs="Arial"/>
                <w:color w:val="005EB8"/>
              </w:rPr>
              <w:t>5.7%</w:t>
            </w:r>
          </w:p>
        </w:tc>
        <w:tc>
          <w:tcPr>
            <w:tcW w:w="1297" w:type="dxa"/>
            <w:tcBorders>
              <w:top w:val="nil"/>
              <w:left w:val="nil"/>
              <w:right w:val="nil"/>
            </w:tcBorders>
            <w:shd w:val="clear" w:color="auto" w:fill="D7D2CB" w:themeFill="background2"/>
            <w:noWrap/>
            <w:vAlign w:val="center"/>
            <w:hideMark/>
          </w:tcPr>
          <w:p w14:paraId="178583A8" w14:textId="77777777" w:rsidR="00694752" w:rsidRPr="00A31345" w:rsidRDefault="00694752" w:rsidP="004D2521">
            <w:pPr>
              <w:suppressAutoHyphens/>
              <w:spacing w:line="240" w:lineRule="auto"/>
              <w:jc w:val="right"/>
              <w:rPr>
                <w:rFonts w:cs="Arial"/>
                <w:color w:val="005EB8"/>
              </w:rPr>
            </w:pPr>
            <w:r>
              <w:rPr>
                <w:rFonts w:cs="Arial"/>
                <w:color w:val="005EB8"/>
              </w:rPr>
              <w:t>1.4</w:t>
            </w:r>
            <w:r w:rsidRPr="00A31345">
              <w:rPr>
                <w:rFonts w:cs="Arial"/>
                <w:color w:val="005EB8"/>
              </w:rPr>
              <w:t>%</w:t>
            </w:r>
          </w:p>
        </w:tc>
      </w:tr>
      <w:tr w:rsidR="00694752" w:rsidRPr="00704D33" w14:paraId="100277B8" w14:textId="77777777" w:rsidTr="00E238E7">
        <w:trPr>
          <w:trHeight w:val="284"/>
        </w:trPr>
        <w:tc>
          <w:tcPr>
            <w:tcW w:w="3828" w:type="dxa"/>
            <w:tcBorders>
              <w:bottom w:val="single" w:sz="4" w:space="0" w:color="1A61A9"/>
              <w:right w:val="single" w:sz="8" w:space="0" w:color="FFFFFF"/>
            </w:tcBorders>
            <w:shd w:val="clear" w:color="000000" w:fill="FFFFFF"/>
            <w:noWrap/>
            <w:vAlign w:val="center"/>
          </w:tcPr>
          <w:p w14:paraId="5E236298" w14:textId="77777777" w:rsidR="00694752" w:rsidRPr="00704D33" w:rsidRDefault="00694752" w:rsidP="004D2521">
            <w:pPr>
              <w:suppressAutoHyphens/>
              <w:spacing w:line="240" w:lineRule="auto"/>
              <w:rPr>
                <w:rFonts w:eastAsia="Times New Roman" w:cs="Arial"/>
                <w:bCs/>
                <w:color w:val="005EB8"/>
              </w:rPr>
            </w:pPr>
            <w:r w:rsidRPr="00704D33">
              <w:rPr>
                <w:rFonts w:eastAsia="Times New Roman" w:cs="Arial"/>
                <w:bCs/>
                <w:color w:val="005EB8"/>
              </w:rPr>
              <w:t>North America</w:t>
            </w:r>
          </w:p>
        </w:tc>
        <w:tc>
          <w:tcPr>
            <w:tcW w:w="1296" w:type="dxa"/>
            <w:tcBorders>
              <w:left w:val="nil"/>
              <w:bottom w:val="single" w:sz="4" w:space="0" w:color="1A61A9"/>
              <w:right w:val="single" w:sz="8" w:space="0" w:color="FFFFFF"/>
            </w:tcBorders>
            <w:shd w:val="clear" w:color="auto" w:fill="D7D2CB" w:themeFill="background2"/>
            <w:noWrap/>
            <w:vAlign w:val="center"/>
          </w:tcPr>
          <w:p w14:paraId="0E8A518A" w14:textId="77777777" w:rsidR="00694752" w:rsidRPr="00704D33" w:rsidRDefault="00694752" w:rsidP="004D2521">
            <w:pPr>
              <w:suppressAutoHyphens/>
              <w:spacing w:line="240" w:lineRule="auto"/>
              <w:jc w:val="right"/>
              <w:rPr>
                <w:rFonts w:cs="Arial"/>
                <w:bCs/>
                <w:color w:val="005EB8"/>
              </w:rPr>
            </w:pPr>
            <w:r>
              <w:rPr>
                <w:rFonts w:cs="Arial"/>
                <w:bCs/>
                <w:color w:val="005EB8"/>
              </w:rPr>
              <w:t>0.8</w:t>
            </w:r>
          </w:p>
        </w:tc>
        <w:tc>
          <w:tcPr>
            <w:tcW w:w="1297" w:type="dxa"/>
            <w:tcBorders>
              <w:left w:val="nil"/>
              <w:bottom w:val="single" w:sz="4" w:space="0" w:color="1A61A9"/>
              <w:right w:val="single" w:sz="8" w:space="0" w:color="FFFFFF"/>
            </w:tcBorders>
            <w:shd w:val="clear" w:color="auto" w:fill="D7D2CB" w:themeFill="background2"/>
            <w:noWrap/>
            <w:vAlign w:val="center"/>
          </w:tcPr>
          <w:p w14:paraId="6B66D952" w14:textId="77777777" w:rsidR="00694752" w:rsidRPr="00704D33" w:rsidRDefault="00694752" w:rsidP="004D2521">
            <w:pPr>
              <w:suppressAutoHyphens/>
              <w:spacing w:line="240" w:lineRule="auto"/>
              <w:jc w:val="right"/>
              <w:rPr>
                <w:rFonts w:cs="Arial"/>
                <w:bCs/>
                <w:color w:val="005EB8"/>
              </w:rPr>
            </w:pPr>
            <w:r>
              <w:rPr>
                <w:rFonts w:cs="Arial"/>
                <w:bCs/>
                <w:color w:val="005EB8"/>
              </w:rPr>
              <w:t>0.1</w:t>
            </w:r>
            <w:r w:rsidRPr="00704D33">
              <w:rPr>
                <w:rFonts w:cs="Arial"/>
                <w:bCs/>
                <w:color w:val="005EB8"/>
              </w:rPr>
              <w:t>%</w:t>
            </w:r>
          </w:p>
        </w:tc>
        <w:tc>
          <w:tcPr>
            <w:tcW w:w="1297" w:type="dxa"/>
            <w:tcBorders>
              <w:left w:val="nil"/>
              <w:bottom w:val="single" w:sz="4" w:space="0" w:color="1A61A9"/>
              <w:right w:val="single" w:sz="8" w:space="0" w:color="FFFFFF"/>
            </w:tcBorders>
            <w:shd w:val="clear" w:color="auto" w:fill="auto"/>
            <w:noWrap/>
            <w:vAlign w:val="center"/>
          </w:tcPr>
          <w:p w14:paraId="63AC15D9" w14:textId="77777777" w:rsidR="00694752" w:rsidRPr="00704D33" w:rsidRDefault="00694752" w:rsidP="004D2521">
            <w:pPr>
              <w:suppressAutoHyphens/>
              <w:spacing w:line="240" w:lineRule="auto"/>
              <w:jc w:val="right"/>
              <w:rPr>
                <w:rFonts w:cs="Arial"/>
                <w:bCs/>
                <w:color w:val="005EB8"/>
              </w:rPr>
            </w:pPr>
            <w:r w:rsidRPr="00704D33">
              <w:rPr>
                <w:rFonts w:cs="Arial"/>
                <w:bCs/>
                <w:color w:val="005EB8"/>
              </w:rPr>
              <w:t>-</w:t>
            </w:r>
          </w:p>
        </w:tc>
        <w:tc>
          <w:tcPr>
            <w:tcW w:w="1297" w:type="dxa"/>
            <w:tcBorders>
              <w:left w:val="nil"/>
              <w:bottom w:val="single" w:sz="4" w:space="0" w:color="1A61A9"/>
              <w:right w:val="single" w:sz="8" w:space="0" w:color="FFFFFF"/>
            </w:tcBorders>
            <w:shd w:val="clear" w:color="auto" w:fill="FFFFFF" w:themeFill="background1"/>
            <w:noWrap/>
            <w:vAlign w:val="center"/>
          </w:tcPr>
          <w:p w14:paraId="5BCF17CC" w14:textId="77777777" w:rsidR="00694752" w:rsidRPr="00704D33" w:rsidRDefault="00694752" w:rsidP="004D2521">
            <w:pPr>
              <w:suppressAutoHyphens/>
              <w:spacing w:line="240" w:lineRule="auto"/>
              <w:jc w:val="right"/>
              <w:rPr>
                <w:rFonts w:cs="Arial"/>
                <w:bCs/>
                <w:color w:val="005EB8"/>
              </w:rPr>
            </w:pPr>
            <w:r w:rsidRPr="00704D33">
              <w:rPr>
                <w:rFonts w:cs="Arial"/>
                <w:bCs/>
                <w:color w:val="005EB8"/>
              </w:rPr>
              <w:t>-</w:t>
            </w:r>
          </w:p>
        </w:tc>
        <w:tc>
          <w:tcPr>
            <w:tcW w:w="1297" w:type="dxa"/>
            <w:tcBorders>
              <w:left w:val="nil"/>
              <w:bottom w:val="single" w:sz="4" w:space="0" w:color="1A61A9"/>
              <w:right w:val="nil"/>
            </w:tcBorders>
            <w:shd w:val="clear" w:color="auto" w:fill="D7D2CB" w:themeFill="background2"/>
            <w:noWrap/>
            <w:vAlign w:val="center"/>
          </w:tcPr>
          <w:p w14:paraId="32D0D184" w14:textId="77777777" w:rsidR="00694752" w:rsidRPr="00704D33" w:rsidRDefault="00694752" w:rsidP="004D2521">
            <w:pPr>
              <w:suppressAutoHyphens/>
              <w:spacing w:line="240" w:lineRule="auto"/>
              <w:jc w:val="right"/>
              <w:rPr>
                <w:rFonts w:cs="Arial"/>
                <w:bCs/>
                <w:color w:val="005EB8"/>
              </w:rPr>
            </w:pPr>
            <w:r w:rsidRPr="00704D33">
              <w:rPr>
                <w:rFonts w:cs="Arial"/>
                <w:bCs/>
                <w:color w:val="005EB8"/>
              </w:rPr>
              <w:t>n.m.</w:t>
            </w:r>
          </w:p>
        </w:tc>
      </w:tr>
      <w:tr w:rsidR="00694752" w:rsidRPr="00A31345" w14:paraId="0DDA7CBF" w14:textId="77777777" w:rsidTr="00E238E7">
        <w:trPr>
          <w:trHeight w:val="284"/>
        </w:trPr>
        <w:tc>
          <w:tcPr>
            <w:tcW w:w="3828" w:type="dxa"/>
            <w:tcBorders>
              <w:top w:val="single" w:sz="4" w:space="0" w:color="1A61A9"/>
              <w:bottom w:val="double" w:sz="6" w:space="0" w:color="1A61A9"/>
              <w:right w:val="single" w:sz="8" w:space="0" w:color="FFFFFF"/>
            </w:tcBorders>
            <w:shd w:val="clear" w:color="000000" w:fill="FFFFFF"/>
            <w:noWrap/>
            <w:vAlign w:val="center"/>
            <w:hideMark/>
          </w:tcPr>
          <w:p w14:paraId="49B77B40" w14:textId="77777777" w:rsidR="00694752" w:rsidRPr="00A31345" w:rsidRDefault="00694752" w:rsidP="004D2521">
            <w:pPr>
              <w:suppressAutoHyphens/>
              <w:spacing w:line="240" w:lineRule="auto"/>
              <w:rPr>
                <w:rFonts w:eastAsia="Times New Roman" w:cs="Arial"/>
                <w:b/>
                <w:bCs/>
                <w:color w:val="005EB8"/>
              </w:rPr>
            </w:pPr>
            <w:r w:rsidRPr="00A31345">
              <w:rPr>
                <w:rFonts w:eastAsia="Times New Roman" w:cs="Arial"/>
                <w:b/>
                <w:bCs/>
                <w:color w:val="005EB8"/>
              </w:rPr>
              <w:t>Total PB</w:t>
            </w:r>
          </w:p>
        </w:tc>
        <w:tc>
          <w:tcPr>
            <w:tcW w:w="1296" w:type="dxa"/>
            <w:tcBorders>
              <w:top w:val="single" w:sz="4" w:space="0" w:color="1A61A9"/>
              <w:left w:val="nil"/>
              <w:bottom w:val="double" w:sz="6" w:space="0" w:color="1A61A9"/>
              <w:right w:val="single" w:sz="8" w:space="0" w:color="FFFFFF"/>
            </w:tcBorders>
            <w:shd w:val="clear" w:color="auto" w:fill="D7D2CB" w:themeFill="background2"/>
            <w:noWrap/>
            <w:vAlign w:val="center"/>
          </w:tcPr>
          <w:p w14:paraId="1F0022F0" w14:textId="77777777" w:rsidR="00694752" w:rsidRPr="00A31345" w:rsidRDefault="00694752" w:rsidP="004D2521">
            <w:pPr>
              <w:suppressAutoHyphens/>
              <w:spacing w:line="240" w:lineRule="auto"/>
              <w:jc w:val="right"/>
              <w:rPr>
                <w:rFonts w:cs="Arial"/>
                <w:b/>
                <w:bCs/>
                <w:color w:val="005EB8"/>
              </w:rPr>
            </w:pPr>
            <w:r>
              <w:rPr>
                <w:rFonts w:cs="Arial"/>
                <w:b/>
                <w:bCs/>
                <w:color w:val="005EB8"/>
              </w:rPr>
              <w:t>695.4</w:t>
            </w:r>
          </w:p>
        </w:tc>
        <w:tc>
          <w:tcPr>
            <w:tcW w:w="1297" w:type="dxa"/>
            <w:tcBorders>
              <w:top w:val="single" w:sz="4" w:space="0" w:color="1A61A9"/>
              <w:left w:val="nil"/>
              <w:bottom w:val="double" w:sz="6" w:space="0" w:color="1A61A9"/>
              <w:right w:val="single" w:sz="8" w:space="0" w:color="FFFFFF"/>
            </w:tcBorders>
            <w:shd w:val="clear" w:color="auto" w:fill="D7D2CB" w:themeFill="background2"/>
            <w:noWrap/>
            <w:vAlign w:val="center"/>
            <w:hideMark/>
          </w:tcPr>
          <w:p w14:paraId="63491F1C" w14:textId="77777777" w:rsidR="00694752" w:rsidRPr="00A31345" w:rsidRDefault="00694752" w:rsidP="004D2521">
            <w:pPr>
              <w:suppressAutoHyphens/>
              <w:spacing w:line="240" w:lineRule="auto"/>
              <w:jc w:val="right"/>
              <w:rPr>
                <w:rFonts w:cs="Arial"/>
                <w:b/>
                <w:bCs/>
                <w:color w:val="005EB8"/>
              </w:rPr>
            </w:pPr>
            <w:r w:rsidRPr="00A31345">
              <w:rPr>
                <w:rFonts w:cs="Arial"/>
                <w:b/>
                <w:bCs/>
                <w:color w:val="005EB8"/>
              </w:rPr>
              <w:t>100.0%</w:t>
            </w:r>
          </w:p>
        </w:tc>
        <w:tc>
          <w:tcPr>
            <w:tcW w:w="1297" w:type="dxa"/>
            <w:tcBorders>
              <w:top w:val="single" w:sz="4" w:space="0" w:color="1A61A9"/>
              <w:left w:val="nil"/>
              <w:bottom w:val="double" w:sz="6" w:space="0" w:color="1A61A9"/>
              <w:right w:val="single" w:sz="8" w:space="0" w:color="FFFFFF"/>
            </w:tcBorders>
            <w:shd w:val="clear" w:color="auto" w:fill="auto"/>
            <w:noWrap/>
            <w:vAlign w:val="center"/>
          </w:tcPr>
          <w:p w14:paraId="073B71C8" w14:textId="77777777" w:rsidR="00694752" w:rsidRPr="00A31345" w:rsidRDefault="00694752" w:rsidP="004D2521">
            <w:pPr>
              <w:suppressAutoHyphens/>
              <w:spacing w:line="240" w:lineRule="auto"/>
              <w:jc w:val="right"/>
              <w:rPr>
                <w:rFonts w:cs="Arial"/>
                <w:b/>
                <w:bCs/>
                <w:color w:val="005EB8"/>
              </w:rPr>
            </w:pPr>
            <w:r w:rsidRPr="00A31345">
              <w:rPr>
                <w:rFonts w:cs="Arial"/>
                <w:b/>
                <w:bCs/>
                <w:color w:val="005EB8"/>
              </w:rPr>
              <w:t>615.7</w:t>
            </w:r>
          </w:p>
        </w:tc>
        <w:tc>
          <w:tcPr>
            <w:tcW w:w="1297" w:type="dxa"/>
            <w:tcBorders>
              <w:top w:val="single" w:sz="4" w:space="0" w:color="1A61A9"/>
              <w:left w:val="nil"/>
              <w:bottom w:val="double" w:sz="6" w:space="0" w:color="1A61A9"/>
              <w:right w:val="single" w:sz="8" w:space="0" w:color="FFFFFF"/>
            </w:tcBorders>
            <w:shd w:val="clear" w:color="auto" w:fill="FFFFFF" w:themeFill="background1"/>
            <w:noWrap/>
            <w:vAlign w:val="center"/>
            <w:hideMark/>
          </w:tcPr>
          <w:p w14:paraId="0E88BBC2" w14:textId="77777777" w:rsidR="00694752" w:rsidRPr="00A31345" w:rsidRDefault="00694752" w:rsidP="004D2521">
            <w:pPr>
              <w:suppressAutoHyphens/>
              <w:spacing w:line="240" w:lineRule="auto"/>
              <w:jc w:val="right"/>
              <w:rPr>
                <w:rFonts w:cs="Arial"/>
                <w:b/>
                <w:bCs/>
                <w:color w:val="005EB8"/>
              </w:rPr>
            </w:pPr>
            <w:r w:rsidRPr="00A31345">
              <w:rPr>
                <w:rFonts w:cs="Arial"/>
                <w:b/>
                <w:bCs/>
                <w:color w:val="005EB8"/>
              </w:rPr>
              <w:t>100.0%</w:t>
            </w:r>
          </w:p>
        </w:tc>
        <w:tc>
          <w:tcPr>
            <w:tcW w:w="1297" w:type="dxa"/>
            <w:tcBorders>
              <w:top w:val="single" w:sz="4" w:space="0" w:color="1A61A9"/>
              <w:left w:val="nil"/>
              <w:bottom w:val="double" w:sz="6" w:space="0" w:color="1A61A9"/>
              <w:right w:val="nil"/>
            </w:tcBorders>
            <w:shd w:val="clear" w:color="auto" w:fill="D7D2CB" w:themeFill="background2"/>
            <w:noWrap/>
            <w:vAlign w:val="center"/>
            <w:hideMark/>
          </w:tcPr>
          <w:p w14:paraId="2E97BA80" w14:textId="77777777" w:rsidR="00694752" w:rsidRPr="00A31345" w:rsidRDefault="00694752" w:rsidP="004D2521">
            <w:pPr>
              <w:suppressAutoHyphens/>
              <w:spacing w:line="240" w:lineRule="auto"/>
              <w:jc w:val="right"/>
              <w:rPr>
                <w:rFonts w:cs="Arial"/>
                <w:b/>
                <w:bCs/>
                <w:color w:val="005EB8"/>
              </w:rPr>
            </w:pPr>
            <w:r>
              <w:rPr>
                <w:rFonts w:cs="Arial"/>
                <w:b/>
                <w:bCs/>
                <w:color w:val="005EB8"/>
              </w:rPr>
              <w:t>12.9</w:t>
            </w:r>
            <w:r w:rsidRPr="00A31345">
              <w:rPr>
                <w:rFonts w:cs="Arial"/>
                <w:b/>
                <w:bCs/>
                <w:color w:val="005EB8"/>
              </w:rPr>
              <w:t>%</w:t>
            </w:r>
          </w:p>
        </w:tc>
      </w:tr>
    </w:tbl>
    <w:p w14:paraId="728F2615" w14:textId="77777777" w:rsidR="00541289" w:rsidRDefault="00541289" w:rsidP="004D2521">
      <w:pPr>
        <w:suppressAutoHyphens/>
        <w:spacing w:line="240" w:lineRule="auto"/>
        <w:jc w:val="both"/>
        <w:rPr>
          <w:sz w:val="16"/>
          <w:szCs w:val="20"/>
        </w:rPr>
      </w:pPr>
    </w:p>
    <w:p w14:paraId="2950F934" w14:textId="77777777" w:rsidR="009C6CA1" w:rsidRDefault="00D8066A" w:rsidP="004D2521">
      <w:pPr>
        <w:suppressAutoHyphens/>
        <w:rPr>
          <w:lang w:val="en-US"/>
        </w:rPr>
      </w:pPr>
      <w:r>
        <w:rPr>
          <w:rFonts w:eastAsia="Times New Roman" w:cs="Times New Roman"/>
          <w:b/>
          <w:bCs/>
          <w:color w:val="005EB8"/>
          <w:lang w:eastAsia="en-GB"/>
        </w:rPr>
        <w:t xml:space="preserve">Airport </w:t>
      </w:r>
      <w:r w:rsidR="00A53949" w:rsidRPr="00A53949">
        <w:rPr>
          <w:rFonts w:eastAsia="Times New Roman" w:cs="Times New Roman"/>
          <w:b/>
          <w:bCs/>
          <w:color w:val="005EB8"/>
          <w:lang w:eastAsia="en-GB"/>
        </w:rPr>
        <w:t>IT:</w:t>
      </w:r>
      <w:r w:rsidR="009C6CA1">
        <w:rPr>
          <w:lang w:val="en-US"/>
        </w:rPr>
        <w:t xml:space="preserve"> </w:t>
      </w:r>
    </w:p>
    <w:p w14:paraId="22751875" w14:textId="77777777" w:rsidR="00D8066A" w:rsidRDefault="00D8066A" w:rsidP="004D2521">
      <w:pPr>
        <w:suppressAutoHyphens/>
        <w:rPr>
          <w:lang w:val="en-US"/>
        </w:rPr>
      </w:pPr>
    </w:p>
    <w:p w14:paraId="70AC2668" w14:textId="7920EA13" w:rsidR="003E26FA" w:rsidRDefault="00B41565" w:rsidP="004D2521">
      <w:pPr>
        <w:suppressAutoHyphens/>
        <w:rPr>
          <w:lang w:val="en-US"/>
        </w:rPr>
      </w:pPr>
      <w:r w:rsidRPr="009D5AF6">
        <w:rPr>
          <w:lang w:val="en-US"/>
        </w:rPr>
        <w:t xml:space="preserve">Amadeus continued its expansion into the Airport IT space with the acquisition of </w:t>
      </w:r>
      <w:r w:rsidRPr="00D72CE1">
        <w:rPr>
          <w:b/>
          <w:lang w:val="en-US"/>
        </w:rPr>
        <w:t>UFIS</w:t>
      </w:r>
      <w:r w:rsidRPr="009D5AF6">
        <w:rPr>
          <w:lang w:val="en-US"/>
        </w:rPr>
        <w:t xml:space="preserve">, a leading information technology player </w:t>
      </w:r>
      <w:r w:rsidR="00FD5931">
        <w:rPr>
          <w:lang w:val="en-US"/>
        </w:rPr>
        <w:t>that</w:t>
      </w:r>
      <w:r w:rsidRPr="009D5AF6">
        <w:rPr>
          <w:lang w:val="en-US"/>
        </w:rPr>
        <w:t xml:space="preserve"> brings a complementary suite of airport technology solutions as well as a set of important customer relationships worldwide.</w:t>
      </w:r>
    </w:p>
    <w:p w14:paraId="1A49BF20" w14:textId="77777777" w:rsidR="003E26FA" w:rsidRDefault="003E26FA" w:rsidP="004D2521">
      <w:pPr>
        <w:suppressAutoHyphens/>
        <w:rPr>
          <w:lang w:val="en-US"/>
        </w:rPr>
      </w:pPr>
    </w:p>
    <w:p w14:paraId="763BF599" w14:textId="72786343" w:rsidR="00B41565" w:rsidRDefault="00B41565" w:rsidP="004D2521">
      <w:pPr>
        <w:suppressAutoHyphens/>
        <w:rPr>
          <w:lang w:val="en-US"/>
        </w:rPr>
      </w:pPr>
      <w:r w:rsidRPr="009D5AF6">
        <w:rPr>
          <w:lang w:val="en-US"/>
        </w:rPr>
        <w:t>Reinforcing its commitment to developing the airport of the future, Amadeus launched Amadeus Airport Common Use Service (ACUS), a next-generation airport platform capable of carrying out all passenger processing functions</w:t>
      </w:r>
      <w:r w:rsidR="00E474FA">
        <w:rPr>
          <w:lang w:val="en-US"/>
        </w:rPr>
        <w:t xml:space="preserve"> while allowing airlines and ground handlers to share the physical space and IT resources of the airport.</w:t>
      </w:r>
    </w:p>
    <w:p w14:paraId="39A2A606" w14:textId="77777777" w:rsidR="009C14B7" w:rsidRDefault="009C14B7" w:rsidP="004D2521">
      <w:pPr>
        <w:suppressAutoHyphens/>
        <w:rPr>
          <w:color w:val="1F497D"/>
          <w:lang w:val="en-IE"/>
        </w:rPr>
      </w:pPr>
    </w:p>
    <w:p w14:paraId="7FB764CA" w14:textId="7EC0E4D8" w:rsidR="009C14B7" w:rsidRPr="00E20A99" w:rsidRDefault="009C14B7" w:rsidP="004D2521">
      <w:pPr>
        <w:suppressAutoHyphens/>
        <w:rPr>
          <w:lang w:val="en-IE"/>
        </w:rPr>
      </w:pPr>
      <w:r w:rsidRPr="00D72CE1">
        <w:rPr>
          <w:b/>
          <w:lang w:val="en-IE"/>
        </w:rPr>
        <w:t>Innsbruck</w:t>
      </w:r>
      <w:r w:rsidRPr="00E20A99">
        <w:rPr>
          <w:lang w:val="en-IE"/>
        </w:rPr>
        <w:t xml:space="preserve"> became the first airport to contract the Amadeus Airport Passenger Verification solution, which facilitates smoother security control processes, as well as the first airport to deploy Amadeus Airport Common Use Service</w:t>
      </w:r>
      <w:r w:rsidR="00FD5931">
        <w:rPr>
          <w:lang w:val="en-IE"/>
        </w:rPr>
        <w:t xml:space="preserve"> (ACUS)</w:t>
      </w:r>
      <w:r w:rsidRPr="00E20A99">
        <w:rPr>
          <w:lang w:val="en-IE"/>
        </w:rPr>
        <w:t xml:space="preserve">. In addition the airport </w:t>
      </w:r>
      <w:r w:rsidR="00A10957">
        <w:rPr>
          <w:lang w:val="en-IE"/>
        </w:rPr>
        <w:t>is</w:t>
      </w:r>
      <w:r w:rsidR="00930669">
        <w:rPr>
          <w:lang w:val="en-IE"/>
        </w:rPr>
        <w:t xml:space="preserve"> </w:t>
      </w:r>
      <w:r w:rsidRPr="00E20A99">
        <w:rPr>
          <w:lang w:val="en-IE"/>
        </w:rPr>
        <w:t xml:space="preserve">also </w:t>
      </w:r>
      <w:r w:rsidR="00930669">
        <w:rPr>
          <w:lang w:val="en-IE"/>
        </w:rPr>
        <w:t>implement</w:t>
      </w:r>
      <w:r w:rsidR="00A10957">
        <w:rPr>
          <w:lang w:val="en-IE"/>
        </w:rPr>
        <w:t xml:space="preserve">ing </w:t>
      </w:r>
      <w:r w:rsidRPr="00E20A99">
        <w:rPr>
          <w:lang w:val="en-IE"/>
        </w:rPr>
        <w:t>Baggage Reconciliation Solution (BRS).</w:t>
      </w:r>
    </w:p>
    <w:p w14:paraId="53F4EEE6" w14:textId="77777777" w:rsidR="009C14B7" w:rsidRPr="00E20A99" w:rsidRDefault="009C14B7" w:rsidP="004D2521">
      <w:pPr>
        <w:suppressAutoHyphens/>
        <w:rPr>
          <w:lang w:val="en-IE"/>
        </w:rPr>
      </w:pPr>
    </w:p>
    <w:p w14:paraId="1DFEB7D4" w14:textId="7F1AADD8" w:rsidR="009C14B7" w:rsidRPr="00E20A99" w:rsidRDefault="009C14B7" w:rsidP="004D2521">
      <w:pPr>
        <w:suppressAutoHyphens/>
        <w:rPr>
          <w:lang w:val="en-US"/>
        </w:rPr>
      </w:pPr>
      <w:r w:rsidRPr="00E20A99">
        <w:rPr>
          <w:lang w:val="en-IE"/>
        </w:rPr>
        <w:t xml:space="preserve">The </w:t>
      </w:r>
      <w:proofErr w:type="spellStart"/>
      <w:r w:rsidRPr="00E20A99">
        <w:rPr>
          <w:lang w:val="en-IE"/>
        </w:rPr>
        <w:t>Altéa</w:t>
      </w:r>
      <w:proofErr w:type="spellEnd"/>
      <w:r w:rsidRPr="00E20A99">
        <w:rPr>
          <w:lang w:val="en-IE"/>
        </w:rPr>
        <w:t xml:space="preserve"> Ground Handler Departure Control was contracted by 19 new ground handlers during the year, bringing the total figure to 84. </w:t>
      </w:r>
    </w:p>
    <w:p w14:paraId="7549DE86" w14:textId="77777777" w:rsidR="00B41565" w:rsidRPr="009D5AF6" w:rsidRDefault="00B41565" w:rsidP="004D2521">
      <w:pPr>
        <w:suppressAutoHyphens/>
        <w:rPr>
          <w:lang w:val="en-US"/>
        </w:rPr>
      </w:pPr>
    </w:p>
    <w:p w14:paraId="2DEAA2E8" w14:textId="1E5D8116" w:rsidR="00B41565" w:rsidRPr="009D5AF6" w:rsidRDefault="00B41565" w:rsidP="004D2521">
      <w:pPr>
        <w:suppressAutoHyphens/>
        <w:rPr>
          <w:lang w:val="en-US"/>
        </w:rPr>
      </w:pPr>
      <w:r w:rsidRPr="009D5AF6">
        <w:rPr>
          <w:lang w:val="en-US"/>
        </w:rPr>
        <w:t xml:space="preserve">Meanwhile </w:t>
      </w:r>
      <w:r w:rsidRPr="00D72CE1">
        <w:rPr>
          <w:b/>
          <w:lang w:val="en-US"/>
        </w:rPr>
        <w:t>London Gatwick Airport (LGW)</w:t>
      </w:r>
      <w:r w:rsidRPr="009D5AF6">
        <w:rPr>
          <w:lang w:val="en-US"/>
        </w:rPr>
        <w:t xml:space="preserve"> became the first airport to implement the Amadeus cloud-based Airport-Collaborative Decision Making Portal (A-CDM). Assisted by Amadeus, London Gatwick Airport will handle 55 flights per hour from the world’s busiest runway and estimates up to 2 million additional passengers.</w:t>
      </w:r>
    </w:p>
    <w:p w14:paraId="0E741B9C" w14:textId="77777777" w:rsidR="00B41565" w:rsidRPr="00B41565" w:rsidRDefault="00B41565" w:rsidP="004D2521">
      <w:pPr>
        <w:suppressAutoHyphens/>
        <w:rPr>
          <w:lang w:val="en"/>
        </w:rPr>
      </w:pPr>
    </w:p>
    <w:p w14:paraId="4AFE9F57" w14:textId="4B9BDD08" w:rsidR="00B41565" w:rsidRDefault="00B41565" w:rsidP="004D2521">
      <w:pPr>
        <w:suppressAutoHyphens/>
        <w:rPr>
          <w:lang w:val="en-US"/>
        </w:rPr>
      </w:pPr>
      <w:r>
        <w:rPr>
          <w:rFonts w:eastAsia="Times New Roman" w:cs="Times New Roman"/>
          <w:b/>
          <w:bCs/>
          <w:color w:val="005EB8"/>
          <w:lang w:eastAsia="en-GB"/>
        </w:rPr>
        <w:t xml:space="preserve">Hotel </w:t>
      </w:r>
      <w:r w:rsidRPr="00A53949">
        <w:rPr>
          <w:rFonts w:eastAsia="Times New Roman" w:cs="Times New Roman"/>
          <w:b/>
          <w:bCs/>
          <w:color w:val="005EB8"/>
          <w:lang w:eastAsia="en-GB"/>
        </w:rPr>
        <w:t>IT:</w:t>
      </w:r>
      <w:r>
        <w:rPr>
          <w:lang w:val="en-US"/>
        </w:rPr>
        <w:t xml:space="preserve"> </w:t>
      </w:r>
    </w:p>
    <w:p w14:paraId="1753E6D2" w14:textId="77777777" w:rsidR="00B41565" w:rsidRDefault="00B41565" w:rsidP="004D2521">
      <w:pPr>
        <w:suppressAutoHyphens/>
        <w:rPr>
          <w:lang w:val="en-US"/>
        </w:rPr>
      </w:pPr>
    </w:p>
    <w:p w14:paraId="37449E4D" w14:textId="3CED29CE" w:rsidR="00B41565" w:rsidRPr="009D5AF6" w:rsidRDefault="00B41565" w:rsidP="004D2521">
      <w:pPr>
        <w:suppressAutoHyphens/>
        <w:rPr>
          <w:lang w:val="en-US"/>
        </w:rPr>
      </w:pPr>
      <w:r w:rsidRPr="009D5AF6">
        <w:rPr>
          <w:lang w:val="en-US"/>
        </w:rPr>
        <w:t xml:space="preserve">Following the announcement </w:t>
      </w:r>
      <w:r w:rsidR="00FD5931">
        <w:rPr>
          <w:lang w:val="en-US"/>
        </w:rPr>
        <w:t>in</w:t>
      </w:r>
      <w:r w:rsidRPr="009D5AF6">
        <w:rPr>
          <w:lang w:val="en-US"/>
        </w:rPr>
        <w:t xml:space="preserve"> late 2013, during the first quarter of 2014 Amadeus completed the acquisition of US-based </w:t>
      </w:r>
      <w:proofErr w:type="spellStart"/>
      <w:r w:rsidRPr="00D72CE1">
        <w:rPr>
          <w:b/>
          <w:lang w:val="en-US"/>
        </w:rPr>
        <w:t>Newmarket</w:t>
      </w:r>
      <w:proofErr w:type="spellEnd"/>
      <w:r w:rsidRPr="00D72CE1">
        <w:rPr>
          <w:b/>
          <w:lang w:val="en-US"/>
        </w:rPr>
        <w:t xml:space="preserve"> International</w:t>
      </w:r>
      <w:r w:rsidRPr="009D5AF6">
        <w:rPr>
          <w:lang w:val="en-US"/>
        </w:rPr>
        <w:t xml:space="preserve"> for USD 500 million. </w:t>
      </w:r>
      <w:proofErr w:type="spellStart"/>
      <w:r w:rsidRPr="009D5AF6">
        <w:rPr>
          <w:lang w:val="en-US"/>
        </w:rPr>
        <w:t>Newmarket</w:t>
      </w:r>
      <w:proofErr w:type="spellEnd"/>
      <w:r w:rsidRPr="009D5AF6">
        <w:rPr>
          <w:lang w:val="en-US"/>
        </w:rPr>
        <w:t xml:space="preserve"> International operates in the group and event management segment, serving around 22,000 unique properties in 154 countries. The newly acquired company will operate as a stand-alone business within Amadeus’ Global Hotel Group, integrating several Amadeus products and services.</w:t>
      </w:r>
    </w:p>
    <w:p w14:paraId="5E79CD1B" w14:textId="77777777" w:rsidR="00B41565" w:rsidRPr="009D5AF6" w:rsidRDefault="00B41565" w:rsidP="004D2521">
      <w:pPr>
        <w:suppressAutoHyphens/>
        <w:rPr>
          <w:lang w:val="en-US"/>
        </w:rPr>
      </w:pPr>
    </w:p>
    <w:p w14:paraId="01BE7C8C" w14:textId="7C0F24CD" w:rsidR="00B41565" w:rsidRPr="009D5AF6" w:rsidRDefault="00B41565" w:rsidP="004D2521">
      <w:pPr>
        <w:suppressAutoHyphens/>
        <w:rPr>
          <w:lang w:val="en-US"/>
        </w:rPr>
      </w:pPr>
      <w:r w:rsidRPr="009D5AF6">
        <w:rPr>
          <w:lang w:val="en-US"/>
        </w:rPr>
        <w:t xml:space="preserve">A strategic technology relationship was signed with </w:t>
      </w:r>
      <w:r w:rsidRPr="00D72CE1">
        <w:rPr>
          <w:b/>
          <w:lang w:val="en-US"/>
        </w:rPr>
        <w:t>InterContinental Hotels Group</w:t>
      </w:r>
      <w:r w:rsidRPr="009D5AF6">
        <w:rPr>
          <w:lang w:val="en-US"/>
        </w:rPr>
        <w:t xml:space="preserve"> to support our mission of building a community model for the hotel industry. The combination of IHG’s industry insight and expertise with Amadeus’ technolog</w:t>
      </w:r>
      <w:r w:rsidR="00FD5931">
        <w:rPr>
          <w:lang w:val="en-US"/>
        </w:rPr>
        <w:t>ical</w:t>
      </w:r>
      <w:r w:rsidRPr="009D5AF6">
        <w:rPr>
          <w:lang w:val="en-US"/>
        </w:rPr>
        <w:t xml:space="preserve"> capabilities and broad travel experience will ensure that IHG continues to offer the most innovative and efficient technology solutions at all stages of the guest journey. </w:t>
      </w:r>
    </w:p>
    <w:p w14:paraId="0799DCBE" w14:textId="77777777" w:rsidR="00B41565" w:rsidRPr="004008E4" w:rsidRDefault="00B41565" w:rsidP="004D2521">
      <w:pPr>
        <w:suppressAutoHyphens/>
        <w:spacing w:line="240" w:lineRule="auto"/>
        <w:jc w:val="both"/>
        <w:rPr>
          <w:rFonts w:ascii="Arial" w:eastAsia="Times New Roman" w:hAnsi="Arial" w:cs="Arial"/>
          <w:sz w:val="24"/>
          <w:szCs w:val="24"/>
          <w:lang w:val="en"/>
        </w:rPr>
      </w:pPr>
    </w:p>
    <w:p w14:paraId="5326EDB6" w14:textId="48521061" w:rsidR="00B41565" w:rsidRDefault="00B41565" w:rsidP="004D2521">
      <w:pPr>
        <w:suppressAutoHyphens/>
        <w:rPr>
          <w:lang w:val="en-US"/>
        </w:rPr>
      </w:pPr>
      <w:r>
        <w:rPr>
          <w:rFonts w:eastAsia="Times New Roman" w:cs="Times New Roman"/>
          <w:b/>
          <w:bCs/>
          <w:color w:val="005EB8"/>
          <w:lang w:eastAsia="en-GB"/>
        </w:rPr>
        <w:t xml:space="preserve">Rail </w:t>
      </w:r>
      <w:r w:rsidRPr="00A53949">
        <w:rPr>
          <w:rFonts w:eastAsia="Times New Roman" w:cs="Times New Roman"/>
          <w:b/>
          <w:bCs/>
          <w:color w:val="005EB8"/>
          <w:lang w:eastAsia="en-GB"/>
        </w:rPr>
        <w:t>IT:</w:t>
      </w:r>
      <w:r>
        <w:rPr>
          <w:lang w:val="en-US"/>
        </w:rPr>
        <w:t xml:space="preserve"> </w:t>
      </w:r>
    </w:p>
    <w:p w14:paraId="3B1A21F8" w14:textId="77777777" w:rsidR="00B41565" w:rsidRDefault="00B41565" w:rsidP="004D2521">
      <w:pPr>
        <w:suppressAutoHyphens/>
        <w:rPr>
          <w:lang w:val="en"/>
        </w:rPr>
      </w:pPr>
    </w:p>
    <w:p w14:paraId="223753EF" w14:textId="2F0E287F" w:rsidR="00B41565" w:rsidRPr="00B41565" w:rsidRDefault="00B41565" w:rsidP="004D2521">
      <w:pPr>
        <w:suppressAutoHyphens/>
        <w:rPr>
          <w:rFonts w:eastAsia="Times New Roman" w:cs="Arial"/>
          <w:lang w:val="en"/>
        </w:rPr>
      </w:pPr>
      <w:proofErr w:type="spellStart"/>
      <w:r w:rsidRPr="00D72CE1">
        <w:rPr>
          <w:b/>
          <w:lang w:val="en-US"/>
        </w:rPr>
        <w:t>BeNe</w:t>
      </w:r>
      <w:proofErr w:type="spellEnd"/>
      <w:r w:rsidRPr="00D72CE1">
        <w:rPr>
          <w:b/>
          <w:lang w:val="en-US"/>
        </w:rPr>
        <w:t xml:space="preserve"> Rail International (</w:t>
      </w:r>
      <w:proofErr w:type="spellStart"/>
      <w:r w:rsidRPr="00D72CE1">
        <w:rPr>
          <w:b/>
          <w:lang w:val="en-US"/>
        </w:rPr>
        <w:t>BeNe</w:t>
      </w:r>
      <w:proofErr w:type="spellEnd"/>
      <w:r w:rsidRPr="00D72CE1">
        <w:rPr>
          <w:b/>
          <w:lang w:val="en-US"/>
        </w:rPr>
        <w:t xml:space="preserve"> RI)</w:t>
      </w:r>
      <w:r w:rsidRPr="009D5AF6">
        <w:rPr>
          <w:lang w:val="en-US"/>
        </w:rPr>
        <w:t xml:space="preserve">, an international distribution technology joint venture set up by </w:t>
      </w:r>
      <w:r w:rsidRPr="00D72CE1">
        <w:rPr>
          <w:b/>
          <w:lang w:val="en-US"/>
        </w:rPr>
        <w:t>NS</w:t>
      </w:r>
      <w:r w:rsidRPr="009D5AF6">
        <w:rPr>
          <w:lang w:val="en-US"/>
        </w:rPr>
        <w:t xml:space="preserve"> and </w:t>
      </w:r>
      <w:r w:rsidRPr="00D72CE1">
        <w:rPr>
          <w:b/>
          <w:lang w:val="en-US"/>
        </w:rPr>
        <w:t>SNCB/NMBS2</w:t>
      </w:r>
      <w:r w:rsidRPr="009D5AF6">
        <w:rPr>
          <w:lang w:val="en-US"/>
        </w:rPr>
        <w:t xml:space="preserve">, agreed to enter into a long-term strategic IT partnership with Amadeus to create a new rail community IT platform as part of Amadeus’ Total Rail solution. This unique platform is based on the concept of a community model whereby a third party IT expert, Amadeus, develops and hosts applications for several rail companies to share and benefit from synergies. The platform proposes a solution to cover all end-to-end processes for rail travel in Europe, hosted and run from Amadeus’ Data Centre in </w:t>
      </w:r>
      <w:proofErr w:type="spellStart"/>
      <w:r w:rsidRPr="009D5AF6">
        <w:rPr>
          <w:lang w:val="en-US"/>
        </w:rPr>
        <w:t>Erding</w:t>
      </w:r>
      <w:proofErr w:type="spellEnd"/>
      <w:r w:rsidRPr="009D5AF6">
        <w:rPr>
          <w:lang w:val="en-US"/>
        </w:rPr>
        <w:t xml:space="preserve"> (Germany</w:t>
      </w:r>
      <w:r w:rsidR="00E474FA">
        <w:rPr>
          <w:lang w:val="en-US"/>
        </w:rPr>
        <w:t>)</w:t>
      </w:r>
      <w:r w:rsidRPr="009D5AF6">
        <w:rPr>
          <w:lang w:val="en-US"/>
        </w:rPr>
        <w:t xml:space="preserve">. </w:t>
      </w:r>
    </w:p>
    <w:p w14:paraId="7495F0D2" w14:textId="77777777" w:rsidR="00B41565" w:rsidRDefault="00B41565" w:rsidP="004D2521">
      <w:pPr>
        <w:suppressAutoHyphens/>
        <w:rPr>
          <w:lang w:val="en-US"/>
        </w:rPr>
      </w:pPr>
    </w:p>
    <w:p w14:paraId="0B7A4B8F" w14:textId="77777777" w:rsidR="00A53949" w:rsidRPr="00D1454B" w:rsidRDefault="00D1454B" w:rsidP="004D2521">
      <w:pPr>
        <w:suppressAutoHyphens/>
        <w:rPr>
          <w:rFonts w:eastAsia="Times New Roman" w:cs="Times New Roman"/>
          <w:b/>
          <w:bCs/>
          <w:color w:val="005EB8"/>
          <w:lang w:eastAsia="en-GB"/>
        </w:rPr>
      </w:pPr>
      <w:r w:rsidRPr="00D1454B">
        <w:rPr>
          <w:rFonts w:eastAsia="Times New Roman" w:cs="Times New Roman"/>
          <w:b/>
          <w:bCs/>
          <w:color w:val="005EB8"/>
          <w:lang w:eastAsia="en-GB"/>
        </w:rPr>
        <w:t xml:space="preserve">Payments: </w:t>
      </w:r>
    </w:p>
    <w:p w14:paraId="6DB175ED" w14:textId="77777777" w:rsidR="00D1454B" w:rsidRDefault="00D1454B" w:rsidP="004D2521">
      <w:pPr>
        <w:suppressAutoHyphens/>
        <w:rPr>
          <w:lang w:val="en-US"/>
        </w:rPr>
      </w:pPr>
    </w:p>
    <w:p w14:paraId="2C893BA2" w14:textId="3E64DBE0" w:rsidR="00B41565" w:rsidRPr="009D5AF6" w:rsidRDefault="00B41565" w:rsidP="004D2521">
      <w:pPr>
        <w:suppressAutoHyphens/>
        <w:rPr>
          <w:lang w:val="en-US"/>
        </w:rPr>
      </w:pPr>
      <w:r w:rsidRPr="009D5AF6">
        <w:rPr>
          <w:lang w:val="en-US"/>
        </w:rPr>
        <w:t xml:space="preserve">Debit and credit cards from </w:t>
      </w:r>
      <w:proofErr w:type="spellStart"/>
      <w:r w:rsidRPr="00D72CE1">
        <w:rPr>
          <w:b/>
          <w:lang w:val="en-US"/>
        </w:rPr>
        <w:t>UnionPay</w:t>
      </w:r>
      <w:proofErr w:type="spellEnd"/>
      <w:r w:rsidRPr="009D5AF6">
        <w:rPr>
          <w:lang w:val="en-US"/>
        </w:rPr>
        <w:t xml:space="preserve">, the largest card scheme worldwide with over 4.3 billion cards in circulation, were integrated into the Amadeus Payment Platform (APP) following an agreement reached with </w:t>
      </w:r>
      <w:proofErr w:type="spellStart"/>
      <w:r w:rsidRPr="00D72CE1">
        <w:rPr>
          <w:b/>
          <w:lang w:val="en-US"/>
        </w:rPr>
        <w:t>UnionPay</w:t>
      </w:r>
      <w:proofErr w:type="spellEnd"/>
      <w:r w:rsidRPr="00D72CE1">
        <w:rPr>
          <w:b/>
          <w:lang w:val="en-US"/>
        </w:rPr>
        <w:t xml:space="preserve"> International</w:t>
      </w:r>
      <w:r w:rsidRPr="009D5AF6">
        <w:rPr>
          <w:lang w:val="en-US"/>
        </w:rPr>
        <w:t xml:space="preserve">, a subsidiary of </w:t>
      </w:r>
      <w:r w:rsidRPr="00D72CE1">
        <w:rPr>
          <w:b/>
          <w:lang w:val="en-US"/>
        </w:rPr>
        <w:t xml:space="preserve">China </w:t>
      </w:r>
      <w:proofErr w:type="spellStart"/>
      <w:r w:rsidRPr="00D72CE1">
        <w:rPr>
          <w:b/>
          <w:lang w:val="en-US"/>
        </w:rPr>
        <w:t>UnionPay</w:t>
      </w:r>
      <w:proofErr w:type="spellEnd"/>
      <w:r w:rsidRPr="009D5AF6">
        <w:rPr>
          <w:lang w:val="en-US"/>
        </w:rPr>
        <w:t xml:space="preserve">. </w:t>
      </w:r>
    </w:p>
    <w:p w14:paraId="1A643688" w14:textId="77777777" w:rsidR="00B41565" w:rsidRPr="009D5AF6" w:rsidRDefault="00B41565" w:rsidP="004D2521">
      <w:pPr>
        <w:suppressAutoHyphens/>
        <w:rPr>
          <w:lang w:val="en-US"/>
        </w:rPr>
      </w:pPr>
    </w:p>
    <w:p w14:paraId="27C190D1" w14:textId="77777777" w:rsidR="00B41565" w:rsidRPr="009D5AF6" w:rsidRDefault="00B41565" w:rsidP="004D2521">
      <w:pPr>
        <w:suppressAutoHyphens/>
        <w:rPr>
          <w:lang w:val="en-US"/>
        </w:rPr>
      </w:pPr>
      <w:r w:rsidRPr="009D5AF6">
        <w:rPr>
          <w:lang w:val="en-US"/>
        </w:rPr>
        <w:t xml:space="preserve">Further expanding the capacity of Amadeus travel customers to accept more payment types from </w:t>
      </w:r>
      <w:proofErr w:type="spellStart"/>
      <w:r w:rsidRPr="009D5AF6">
        <w:rPr>
          <w:lang w:val="en-US"/>
        </w:rPr>
        <w:t>travellers</w:t>
      </w:r>
      <w:proofErr w:type="spellEnd"/>
      <w:r w:rsidRPr="009D5AF6">
        <w:rPr>
          <w:lang w:val="en-US"/>
        </w:rPr>
        <w:t xml:space="preserve"> in more countries and in more currencies, a global agreement was reached to integrate into the Amadeus Payment Platform (APP) the extensive payment services of </w:t>
      </w:r>
      <w:proofErr w:type="spellStart"/>
      <w:r w:rsidRPr="00D72CE1">
        <w:rPr>
          <w:b/>
          <w:lang w:val="en-US"/>
        </w:rPr>
        <w:t>Worldpay</w:t>
      </w:r>
      <w:proofErr w:type="spellEnd"/>
      <w:r w:rsidRPr="009D5AF6">
        <w:rPr>
          <w:lang w:val="en-US"/>
        </w:rPr>
        <w:t xml:space="preserve">, the global leader in payment processing, risk management and alternative payments. </w:t>
      </w:r>
    </w:p>
    <w:p w14:paraId="066D9D5C" w14:textId="77777777" w:rsidR="00CE7958" w:rsidRDefault="00CE7958" w:rsidP="004D2521">
      <w:pPr>
        <w:suppressAutoHyphens/>
        <w:rPr>
          <w:rFonts w:eastAsia="Times New Roman" w:cs="Times New Roman"/>
          <w:b/>
          <w:bCs/>
          <w:color w:val="005EB8"/>
          <w:lang w:eastAsia="en-GB"/>
        </w:rPr>
      </w:pPr>
    </w:p>
    <w:p w14:paraId="3F32C603" w14:textId="312F3215" w:rsidR="00E474FA" w:rsidRDefault="00E20A99" w:rsidP="004D2521">
      <w:pPr>
        <w:suppressAutoHyphens/>
        <w:rPr>
          <w:rFonts w:eastAsia="Times New Roman" w:cs="Times New Roman"/>
          <w:b/>
          <w:bCs/>
          <w:color w:val="005EB8"/>
          <w:lang w:eastAsia="en-GB"/>
        </w:rPr>
      </w:pPr>
      <w:r>
        <w:rPr>
          <w:rFonts w:eastAsia="Times New Roman" w:cs="Times New Roman"/>
          <w:b/>
          <w:bCs/>
          <w:color w:val="005EB8"/>
          <w:lang w:eastAsia="en-GB"/>
        </w:rPr>
        <w:t>Additional</w:t>
      </w:r>
      <w:r w:rsidR="00E474FA">
        <w:rPr>
          <w:rFonts w:eastAsia="Times New Roman" w:cs="Times New Roman"/>
          <w:b/>
          <w:bCs/>
          <w:color w:val="005EB8"/>
          <w:lang w:eastAsia="en-GB"/>
        </w:rPr>
        <w:t xml:space="preserve"> information:</w:t>
      </w:r>
    </w:p>
    <w:p w14:paraId="3BF9DDE9" w14:textId="77777777" w:rsidR="00E474FA" w:rsidRDefault="00E474FA" w:rsidP="004D2521">
      <w:pPr>
        <w:suppressAutoHyphens/>
        <w:rPr>
          <w:rFonts w:eastAsia="Times New Roman" w:cs="Times New Roman"/>
          <w:b/>
          <w:bCs/>
          <w:color w:val="005EB8"/>
          <w:lang w:eastAsia="en-GB"/>
        </w:rPr>
      </w:pPr>
    </w:p>
    <w:p w14:paraId="5E3F1A69" w14:textId="19E331CA" w:rsidR="00E474FA" w:rsidRPr="00D1454B" w:rsidRDefault="00E474FA" w:rsidP="004D2521">
      <w:pPr>
        <w:suppressAutoHyphens/>
        <w:rPr>
          <w:rFonts w:eastAsia="Times New Roman" w:cs="Times New Roman"/>
          <w:b/>
          <w:bCs/>
          <w:color w:val="005EB8"/>
          <w:lang w:eastAsia="en-GB"/>
        </w:rPr>
      </w:pPr>
      <w:r w:rsidRPr="00D1454B">
        <w:rPr>
          <w:rFonts w:eastAsia="Times New Roman" w:cs="Times New Roman"/>
          <w:b/>
          <w:bCs/>
          <w:color w:val="005EB8"/>
          <w:lang w:eastAsia="en-GB"/>
        </w:rPr>
        <w:t xml:space="preserve"> </w:t>
      </w:r>
    </w:p>
    <w:p w14:paraId="363A7677" w14:textId="667D112A" w:rsidR="00CE7958" w:rsidRPr="00932A95" w:rsidRDefault="00CE7958" w:rsidP="004D2521">
      <w:pPr>
        <w:suppressAutoHyphens/>
        <w:rPr>
          <w:lang w:val="en-US"/>
        </w:rPr>
      </w:pPr>
      <w:r w:rsidRPr="00932A95">
        <w:rPr>
          <w:lang w:val="en-US"/>
        </w:rPr>
        <w:t xml:space="preserve">Further recognition of our long-standing commitment to innovation was gained: Amadeus </w:t>
      </w:r>
      <w:r w:rsidR="00FD5931">
        <w:rPr>
          <w:lang w:val="en-US"/>
        </w:rPr>
        <w:t>was</w:t>
      </w:r>
      <w:r w:rsidRPr="00932A95">
        <w:rPr>
          <w:lang w:val="en-US"/>
        </w:rPr>
        <w:t xml:space="preserve"> recently announced </w:t>
      </w:r>
      <w:r w:rsidR="00FD5931">
        <w:rPr>
          <w:lang w:val="en-US"/>
        </w:rPr>
        <w:t>as</w:t>
      </w:r>
      <w:r w:rsidRPr="00932A95">
        <w:rPr>
          <w:lang w:val="en-US"/>
        </w:rPr>
        <w:t xml:space="preserve"> 2013´s leading European investor in R&amp;D for the travel and tourism sector by the </w:t>
      </w:r>
      <w:hyperlink r:id="rId8" w:tgtFrame="_blank" w:history="1">
        <w:r w:rsidRPr="00D72CE1">
          <w:rPr>
            <w:b/>
            <w:lang w:val="en-US"/>
          </w:rPr>
          <w:t>EU Industrial R&amp;D Investment Scoreboard</w:t>
        </w:r>
      </w:hyperlink>
      <w:r w:rsidRPr="00932A95">
        <w:rPr>
          <w:lang w:val="en-US"/>
        </w:rPr>
        <w:t>, which ranks European companies by total investment in R&amp;D. Between 2004 and 2013 Amadeus invested close to €3 billion in R&amp;D.</w:t>
      </w:r>
    </w:p>
    <w:p w14:paraId="7BDF74DD" w14:textId="77777777" w:rsidR="00CE7958" w:rsidRPr="00932A95" w:rsidRDefault="00CE7958" w:rsidP="004D2521">
      <w:pPr>
        <w:suppressAutoHyphens/>
        <w:rPr>
          <w:lang w:val="en-US"/>
        </w:rPr>
      </w:pPr>
    </w:p>
    <w:p w14:paraId="469346FC" w14:textId="3A0A5C49" w:rsidR="00CE7958" w:rsidRDefault="00CE7958" w:rsidP="004D2521">
      <w:pPr>
        <w:suppressAutoHyphens/>
        <w:rPr>
          <w:rFonts w:eastAsia="Times New Roman" w:cs="Arial"/>
          <w:lang w:val="en"/>
        </w:rPr>
      </w:pPr>
      <w:r w:rsidRPr="00932A95">
        <w:rPr>
          <w:lang w:val="en-US"/>
        </w:rPr>
        <w:t xml:space="preserve">Shortly before Christmas </w:t>
      </w:r>
      <w:proofErr w:type="spellStart"/>
      <w:r w:rsidRPr="00932A95">
        <w:rPr>
          <w:lang w:val="en-US"/>
        </w:rPr>
        <w:t>Iberia.com</w:t>
      </w:r>
      <w:r w:rsidR="00386AE2">
        <w:rPr>
          <w:lang w:val="en-US"/>
        </w:rPr>
        <w:t>’s</w:t>
      </w:r>
      <w:proofErr w:type="spellEnd"/>
      <w:r w:rsidRPr="00932A95">
        <w:rPr>
          <w:lang w:val="en-US"/>
        </w:rPr>
        <w:t xml:space="preserve"> </w:t>
      </w:r>
      <w:r w:rsidRPr="00D72CE1">
        <w:rPr>
          <w:b/>
          <w:lang w:val="en-US"/>
        </w:rPr>
        <w:t>UNICEF</w:t>
      </w:r>
      <w:r w:rsidRPr="00932A95">
        <w:rPr>
          <w:lang w:val="en-US"/>
        </w:rPr>
        <w:t xml:space="preserve"> initiative celebrated its first year by announcing that its Amadeus-powered micro-donation engine had raised more than €200,000 – demonstrating the still unfulfilled but transformative potential of using travel technology to help social causes. This news followed </w:t>
      </w:r>
      <w:r w:rsidRPr="00D72CE1">
        <w:rPr>
          <w:b/>
          <w:lang w:val="en-US"/>
        </w:rPr>
        <w:t xml:space="preserve">Finnair </w:t>
      </w:r>
      <w:r w:rsidRPr="00932A95">
        <w:rPr>
          <w:lang w:val="en-US"/>
        </w:rPr>
        <w:t>also joining the initiative during the fourth quarter and installing the Amadeus-powered micro-donation engine on its website to help further support UNICEF.</w:t>
      </w:r>
      <w:r w:rsidRPr="00B41565">
        <w:rPr>
          <w:rFonts w:eastAsia="Times New Roman" w:cs="Arial"/>
          <w:lang w:val="en"/>
        </w:rPr>
        <w:t xml:space="preserve"> </w:t>
      </w:r>
    </w:p>
    <w:p w14:paraId="1B16FF66" w14:textId="77777777" w:rsidR="00CE7958" w:rsidRPr="00B41565" w:rsidRDefault="00CE7958" w:rsidP="004D2521">
      <w:pPr>
        <w:suppressAutoHyphens/>
        <w:spacing w:line="240" w:lineRule="auto"/>
        <w:jc w:val="both"/>
        <w:rPr>
          <w:rFonts w:eastAsia="Times New Roman" w:cs="Arial"/>
          <w:lang w:val="en"/>
        </w:rPr>
      </w:pPr>
    </w:p>
    <w:p w14:paraId="35E50ECE" w14:textId="77777777" w:rsidR="00E474FA" w:rsidRPr="00E20A99" w:rsidRDefault="00E474FA" w:rsidP="004D2521">
      <w:pPr>
        <w:suppressAutoHyphens/>
        <w:rPr>
          <w:lang w:val="en"/>
        </w:rPr>
      </w:pPr>
    </w:p>
    <w:p w14:paraId="56610FCB" w14:textId="77777777" w:rsidR="00986113" w:rsidRDefault="00986113" w:rsidP="004D2521">
      <w:pPr>
        <w:suppressAutoHyphens/>
        <w:rPr>
          <w:lang w:val="en-US"/>
        </w:rPr>
      </w:pPr>
    </w:p>
    <w:p w14:paraId="466CBD6B" w14:textId="042DEDC8" w:rsidR="00B41565" w:rsidRPr="00B41565" w:rsidRDefault="00B41565" w:rsidP="004D2521">
      <w:pPr>
        <w:suppressAutoHyphens/>
        <w:spacing w:line="240" w:lineRule="auto"/>
        <w:jc w:val="both"/>
        <w:rPr>
          <w:rFonts w:eastAsia="Times New Roman" w:cs="Arial"/>
          <w:lang w:val="en"/>
        </w:rPr>
      </w:pPr>
      <w:r w:rsidRPr="00B41565">
        <w:rPr>
          <w:rFonts w:eastAsia="Times New Roman" w:cs="Arial"/>
          <w:lang w:val="en"/>
        </w:rPr>
        <w:t xml:space="preserve"> </w:t>
      </w:r>
    </w:p>
    <w:p w14:paraId="64A7BF7A" w14:textId="541C0EAE" w:rsidR="00986113" w:rsidRDefault="00986113" w:rsidP="004D2521">
      <w:pPr>
        <w:suppressAutoHyphens/>
        <w:rPr>
          <w:lang w:val="en-US"/>
        </w:rPr>
      </w:pPr>
      <w:r>
        <w:rPr>
          <w:lang w:val="en-US"/>
        </w:rPr>
        <w:br w:type="page"/>
      </w:r>
    </w:p>
    <w:p w14:paraId="22855C29" w14:textId="77777777" w:rsidR="005410F6" w:rsidRPr="00A31345" w:rsidRDefault="005410F6" w:rsidP="004D2521">
      <w:pPr>
        <w:pStyle w:val="Heading2"/>
        <w:numPr>
          <w:ilvl w:val="1"/>
          <w:numId w:val="0"/>
        </w:numPr>
        <w:suppressAutoHyphens/>
        <w:spacing w:before="360" w:after="160"/>
        <w:ind w:left="851" w:hanging="851"/>
      </w:pPr>
      <w:bookmarkStart w:id="1" w:name="_Toc411267527"/>
      <w:r w:rsidRPr="00A31345">
        <w:lastRenderedPageBreak/>
        <w:t>Summary of operating and financial information</w:t>
      </w:r>
      <w:bookmarkEnd w:id="1"/>
    </w:p>
    <w:tbl>
      <w:tblPr>
        <w:tblW w:w="10200" w:type="dxa"/>
        <w:tblCellMar>
          <w:left w:w="0" w:type="dxa"/>
          <w:right w:w="0" w:type="dxa"/>
        </w:tblCellMar>
        <w:tblLook w:val="04A0" w:firstRow="1" w:lastRow="0" w:firstColumn="1" w:lastColumn="0" w:noHBand="0" w:noVBand="1"/>
      </w:tblPr>
      <w:tblGrid>
        <w:gridCol w:w="3206"/>
        <w:gridCol w:w="1400"/>
        <w:gridCol w:w="1400"/>
        <w:gridCol w:w="1394"/>
        <w:gridCol w:w="1400"/>
        <w:gridCol w:w="1400"/>
      </w:tblGrid>
      <w:tr w:rsidR="000902A0" w14:paraId="00585834" w14:textId="77777777" w:rsidTr="000902A0">
        <w:trPr>
          <w:trHeight w:val="1020"/>
        </w:trPr>
        <w:tc>
          <w:tcPr>
            <w:tcW w:w="3206" w:type="dxa"/>
            <w:tcBorders>
              <w:top w:val="nil"/>
              <w:left w:val="nil"/>
              <w:bottom w:val="nil"/>
              <w:right w:val="single" w:sz="8" w:space="0" w:color="FFFFFF"/>
            </w:tcBorders>
            <w:shd w:val="clear" w:color="auto" w:fill="005EB8"/>
            <w:tcMar>
              <w:top w:w="0" w:type="dxa"/>
              <w:left w:w="108" w:type="dxa"/>
              <w:bottom w:w="0" w:type="dxa"/>
              <w:right w:w="108" w:type="dxa"/>
            </w:tcMar>
            <w:vAlign w:val="center"/>
            <w:hideMark/>
          </w:tcPr>
          <w:p w14:paraId="24D7DD0F" w14:textId="77777777" w:rsidR="000902A0" w:rsidRDefault="000902A0" w:rsidP="004D2521">
            <w:pPr>
              <w:suppressAutoHyphens/>
              <w:rPr>
                <w:b/>
                <w:bCs/>
                <w:color w:val="FFFFFF"/>
              </w:rPr>
            </w:pPr>
            <w:r>
              <w:rPr>
                <w:b/>
                <w:bCs/>
                <w:color w:val="FFFFFF"/>
              </w:rPr>
              <w:t>Summary of KPI</w:t>
            </w:r>
            <w:r>
              <w:rPr>
                <w:b/>
                <w:bCs/>
                <w:color w:val="FFFFFF"/>
              </w:rPr>
              <w:br/>
            </w:r>
            <w:r>
              <w:rPr>
                <w:b/>
                <w:bCs/>
                <w:i/>
                <w:iCs/>
                <w:color w:val="FFFFFF"/>
              </w:rPr>
              <w:t>Figures in million euros</w:t>
            </w:r>
          </w:p>
        </w:tc>
        <w:tc>
          <w:tcPr>
            <w:tcW w:w="1400" w:type="dxa"/>
            <w:tcBorders>
              <w:top w:val="nil"/>
              <w:left w:val="nil"/>
              <w:bottom w:val="nil"/>
              <w:right w:val="single" w:sz="8" w:space="0" w:color="FFFFFF"/>
            </w:tcBorders>
            <w:shd w:val="clear" w:color="auto" w:fill="00A9E0"/>
            <w:tcMar>
              <w:top w:w="0" w:type="dxa"/>
              <w:left w:w="108" w:type="dxa"/>
              <w:bottom w:w="0" w:type="dxa"/>
              <w:right w:w="108" w:type="dxa"/>
            </w:tcMar>
            <w:vAlign w:val="center"/>
            <w:hideMark/>
          </w:tcPr>
          <w:p w14:paraId="08484DD6" w14:textId="77777777" w:rsidR="000902A0" w:rsidRDefault="000902A0" w:rsidP="004D2521">
            <w:pPr>
              <w:suppressAutoHyphens/>
              <w:jc w:val="center"/>
              <w:rPr>
                <w:b/>
                <w:bCs/>
                <w:color w:val="FFFFFF"/>
              </w:rPr>
            </w:pPr>
            <w:r>
              <w:rPr>
                <w:b/>
                <w:bCs/>
                <w:color w:val="FFFFFF"/>
              </w:rPr>
              <w:t>Full year</w:t>
            </w:r>
            <w:r>
              <w:rPr>
                <w:b/>
                <w:bCs/>
                <w:color w:val="FFFFFF"/>
              </w:rPr>
              <w:br/>
              <w:t>2014</w:t>
            </w:r>
          </w:p>
        </w:tc>
        <w:tc>
          <w:tcPr>
            <w:tcW w:w="1400" w:type="dxa"/>
            <w:tcBorders>
              <w:top w:val="nil"/>
              <w:left w:val="nil"/>
              <w:bottom w:val="nil"/>
              <w:right w:val="single" w:sz="8" w:space="0" w:color="FFFFFF"/>
            </w:tcBorders>
            <w:shd w:val="clear" w:color="auto" w:fill="00A9E0"/>
            <w:tcMar>
              <w:top w:w="0" w:type="dxa"/>
              <w:left w:w="108" w:type="dxa"/>
              <w:bottom w:w="0" w:type="dxa"/>
              <w:right w:w="108" w:type="dxa"/>
            </w:tcMar>
            <w:vAlign w:val="center"/>
            <w:hideMark/>
          </w:tcPr>
          <w:p w14:paraId="58DEC5DC" w14:textId="77777777" w:rsidR="000902A0" w:rsidRDefault="000902A0" w:rsidP="004D2521">
            <w:pPr>
              <w:suppressAutoHyphens/>
              <w:jc w:val="center"/>
              <w:rPr>
                <w:b/>
                <w:bCs/>
                <w:color w:val="FFFFFF"/>
              </w:rPr>
            </w:pPr>
            <w:r>
              <w:rPr>
                <w:b/>
                <w:bCs/>
                <w:color w:val="FFFFFF"/>
              </w:rPr>
              <w:t>Full year</w:t>
            </w:r>
            <w:r>
              <w:rPr>
                <w:b/>
                <w:bCs/>
                <w:color w:val="FFFFFF"/>
              </w:rPr>
              <w:br/>
              <w:t>2013</w:t>
            </w:r>
          </w:p>
        </w:tc>
        <w:tc>
          <w:tcPr>
            <w:tcW w:w="1394" w:type="dxa"/>
            <w:tcBorders>
              <w:top w:val="nil"/>
              <w:left w:val="nil"/>
              <w:bottom w:val="nil"/>
              <w:right w:val="single" w:sz="8" w:space="0" w:color="FFFFFF"/>
            </w:tcBorders>
            <w:shd w:val="clear" w:color="auto" w:fill="00A9E0"/>
            <w:tcMar>
              <w:top w:w="0" w:type="dxa"/>
              <w:left w:w="108" w:type="dxa"/>
              <w:bottom w:w="0" w:type="dxa"/>
              <w:right w:w="108" w:type="dxa"/>
            </w:tcMar>
            <w:vAlign w:val="center"/>
            <w:hideMark/>
          </w:tcPr>
          <w:p w14:paraId="75596ED2" w14:textId="77777777" w:rsidR="000902A0" w:rsidRDefault="000902A0" w:rsidP="004D2521">
            <w:pPr>
              <w:suppressAutoHyphens/>
              <w:jc w:val="center"/>
              <w:rPr>
                <w:b/>
                <w:bCs/>
                <w:color w:val="FFFFFF"/>
              </w:rPr>
            </w:pPr>
            <w:r>
              <w:rPr>
                <w:b/>
                <w:bCs/>
                <w:color w:val="FFFFFF"/>
              </w:rPr>
              <w:t>% Change</w:t>
            </w:r>
          </w:p>
        </w:tc>
        <w:tc>
          <w:tcPr>
            <w:tcW w:w="1400" w:type="dxa"/>
            <w:tcBorders>
              <w:top w:val="nil"/>
              <w:left w:val="nil"/>
              <w:bottom w:val="nil"/>
              <w:right w:val="single" w:sz="8" w:space="0" w:color="FFFFFF"/>
            </w:tcBorders>
            <w:shd w:val="clear" w:color="auto" w:fill="00A9E0"/>
            <w:tcMar>
              <w:top w:w="0" w:type="dxa"/>
              <w:left w:w="108" w:type="dxa"/>
              <w:bottom w:w="0" w:type="dxa"/>
              <w:right w:w="108" w:type="dxa"/>
            </w:tcMar>
            <w:vAlign w:val="center"/>
            <w:hideMark/>
          </w:tcPr>
          <w:p w14:paraId="02FD6FB2" w14:textId="77777777" w:rsidR="000902A0" w:rsidRDefault="000902A0" w:rsidP="004D2521">
            <w:pPr>
              <w:suppressAutoHyphens/>
              <w:jc w:val="center"/>
              <w:rPr>
                <w:b/>
                <w:bCs/>
                <w:color w:val="FFFFFF"/>
                <w:sz w:val="22"/>
                <w:szCs w:val="22"/>
              </w:rPr>
            </w:pPr>
            <w:r>
              <w:rPr>
                <w:b/>
                <w:bCs/>
                <w:color w:val="FFFFFF"/>
              </w:rPr>
              <w:t xml:space="preserve">Full year </w:t>
            </w:r>
            <w:r>
              <w:rPr>
                <w:b/>
                <w:bCs/>
                <w:color w:val="FFFFFF"/>
              </w:rPr>
              <w:br/>
              <w:t>2014</w:t>
            </w:r>
          </w:p>
          <w:p w14:paraId="4FB2A773" w14:textId="77777777" w:rsidR="000902A0" w:rsidRDefault="000902A0" w:rsidP="004D2521">
            <w:pPr>
              <w:suppressAutoHyphens/>
              <w:jc w:val="center"/>
              <w:rPr>
                <w:b/>
                <w:bCs/>
                <w:color w:val="FFFFFF"/>
              </w:rPr>
            </w:pPr>
            <w:r>
              <w:rPr>
                <w:b/>
                <w:bCs/>
                <w:color w:val="FFFFFF"/>
              </w:rPr>
              <w:t>(excl. M&amp;A)</w:t>
            </w:r>
            <w:r>
              <w:rPr>
                <w:b/>
                <w:bCs/>
                <w:color w:val="FFFFFF"/>
                <w:vertAlign w:val="superscript"/>
              </w:rPr>
              <w:t>1</w:t>
            </w:r>
          </w:p>
        </w:tc>
        <w:tc>
          <w:tcPr>
            <w:tcW w:w="1400" w:type="dxa"/>
            <w:shd w:val="clear" w:color="auto" w:fill="00A9E0"/>
            <w:noWrap/>
            <w:tcMar>
              <w:top w:w="0" w:type="dxa"/>
              <w:left w:w="108" w:type="dxa"/>
              <w:bottom w:w="0" w:type="dxa"/>
              <w:right w:w="108" w:type="dxa"/>
            </w:tcMar>
            <w:vAlign w:val="center"/>
            <w:hideMark/>
          </w:tcPr>
          <w:p w14:paraId="13CED1EE" w14:textId="77777777" w:rsidR="000902A0" w:rsidRDefault="000902A0" w:rsidP="004D2521">
            <w:pPr>
              <w:suppressAutoHyphens/>
              <w:jc w:val="center"/>
              <w:rPr>
                <w:b/>
                <w:bCs/>
                <w:color w:val="FFFFFF"/>
              </w:rPr>
            </w:pPr>
            <w:r>
              <w:rPr>
                <w:b/>
                <w:bCs/>
                <w:color w:val="FFFFFF"/>
              </w:rPr>
              <w:t xml:space="preserve">% </w:t>
            </w:r>
            <w:r>
              <w:rPr>
                <w:b/>
                <w:bCs/>
                <w:color w:val="FFFFFF"/>
              </w:rPr>
              <w:br/>
              <w:t>Change (excl. M&amp;A)</w:t>
            </w:r>
            <w:r>
              <w:rPr>
                <w:b/>
                <w:bCs/>
                <w:color w:val="FFFFFF"/>
                <w:vertAlign w:val="superscript"/>
              </w:rPr>
              <w:t>1</w:t>
            </w:r>
          </w:p>
        </w:tc>
      </w:tr>
      <w:tr w:rsidR="000902A0" w14:paraId="66C67954" w14:textId="77777777" w:rsidTr="000902A0">
        <w:trPr>
          <w:trHeight w:hRule="exact" w:val="11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tcPr>
          <w:p w14:paraId="583C73F8" w14:textId="77777777" w:rsidR="000902A0" w:rsidRDefault="000902A0" w:rsidP="004D2521">
            <w:pPr>
              <w:suppressAutoHyphens/>
              <w:rPr>
                <w:b/>
                <w:bCs/>
                <w:color w:val="005EB8"/>
                <w:u w:val="single"/>
              </w:rPr>
            </w:pP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2239C9F6" w14:textId="77777777" w:rsidR="000902A0" w:rsidRDefault="000902A0" w:rsidP="004D2521">
            <w:pPr>
              <w:suppressAutoHyphens/>
              <w:rPr>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tcPr>
          <w:p w14:paraId="1E05B491" w14:textId="77777777" w:rsidR="000902A0" w:rsidRDefault="000902A0" w:rsidP="004D2521">
            <w:pPr>
              <w:suppressAutoHyphens/>
              <w:rPr>
                <w:color w:val="005EB8"/>
              </w:rPr>
            </w:pP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tcPr>
          <w:p w14:paraId="5BECDC1E" w14:textId="77777777" w:rsidR="000902A0" w:rsidRDefault="000902A0" w:rsidP="004D2521">
            <w:pPr>
              <w:suppressAutoHyphens/>
              <w:rPr>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28C542A4" w14:textId="77777777" w:rsidR="000902A0" w:rsidRDefault="000902A0" w:rsidP="004D2521">
            <w:pPr>
              <w:suppressAutoHyphens/>
              <w:rPr>
                <w:color w:val="005EB8"/>
              </w:rPr>
            </w:pPr>
          </w:p>
        </w:tc>
        <w:tc>
          <w:tcPr>
            <w:tcW w:w="1400" w:type="dxa"/>
            <w:shd w:val="clear" w:color="auto" w:fill="EEECE1"/>
            <w:noWrap/>
            <w:tcMar>
              <w:top w:w="0" w:type="dxa"/>
              <w:left w:w="108" w:type="dxa"/>
              <w:bottom w:w="0" w:type="dxa"/>
              <w:right w:w="108" w:type="dxa"/>
            </w:tcMar>
            <w:vAlign w:val="center"/>
          </w:tcPr>
          <w:p w14:paraId="329A5BF4" w14:textId="77777777" w:rsidR="000902A0" w:rsidRDefault="000902A0" w:rsidP="004D2521">
            <w:pPr>
              <w:suppressAutoHyphens/>
              <w:rPr>
                <w:color w:val="005EB8"/>
              </w:rPr>
            </w:pPr>
          </w:p>
        </w:tc>
      </w:tr>
      <w:tr w:rsidR="000902A0" w14:paraId="6215BFA6"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6729759D" w14:textId="77777777" w:rsidR="000902A0" w:rsidRDefault="000902A0" w:rsidP="004D2521">
            <w:pPr>
              <w:suppressAutoHyphens/>
              <w:rPr>
                <w:b/>
                <w:bCs/>
                <w:color w:val="005EB8"/>
                <w:u w:val="single"/>
              </w:rPr>
            </w:pPr>
            <w:r>
              <w:rPr>
                <w:b/>
                <w:bCs/>
                <w:color w:val="005EB8"/>
                <w:u w:val="single"/>
              </w:rPr>
              <w:t>Operating KPI</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3C91E9AB" w14:textId="77777777" w:rsidR="000902A0" w:rsidRDefault="000902A0" w:rsidP="004D2521">
            <w:pPr>
              <w:suppressAutoHyphens/>
              <w:rPr>
                <w:color w:val="005EB8"/>
              </w:rPr>
            </w:pPr>
            <w:r>
              <w:rPr>
                <w:color w:val="005EB8"/>
              </w:rPr>
              <w:t> </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44BE1299" w14:textId="77777777" w:rsidR="000902A0" w:rsidRDefault="000902A0" w:rsidP="004D2521">
            <w:pPr>
              <w:suppressAutoHyphens/>
              <w:rPr>
                <w:color w:val="005EB8"/>
              </w:rPr>
            </w:pPr>
            <w:r>
              <w:rPr>
                <w:color w:val="005EB8"/>
              </w:rPr>
              <w:t> </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tcPr>
          <w:p w14:paraId="4ADC4A61" w14:textId="77777777" w:rsidR="000902A0" w:rsidRDefault="000902A0" w:rsidP="004D2521">
            <w:pPr>
              <w:suppressAutoHyphens/>
              <w:rPr>
                <w:color w:val="005EB8"/>
              </w:rPr>
            </w:pP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001E3A11" w14:textId="77777777" w:rsidR="000902A0" w:rsidRDefault="000902A0" w:rsidP="004D2521">
            <w:pPr>
              <w:suppressAutoHyphens/>
              <w:rPr>
                <w:color w:val="005EB8"/>
              </w:rPr>
            </w:pPr>
            <w:r>
              <w:rPr>
                <w:color w:val="005EB8"/>
              </w:rPr>
              <w:t> </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22A654F3" w14:textId="77777777" w:rsidR="000902A0" w:rsidRDefault="000902A0" w:rsidP="004D2521">
            <w:pPr>
              <w:suppressAutoHyphens/>
              <w:rPr>
                <w:color w:val="005EB8"/>
              </w:rPr>
            </w:pPr>
            <w:r>
              <w:rPr>
                <w:color w:val="005EB8"/>
              </w:rPr>
              <w:t> </w:t>
            </w:r>
          </w:p>
        </w:tc>
      </w:tr>
      <w:tr w:rsidR="000902A0" w14:paraId="291FA337"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77663591" w14:textId="77777777" w:rsidR="000902A0" w:rsidRDefault="000902A0" w:rsidP="004D2521">
            <w:pPr>
              <w:suppressAutoHyphens/>
              <w:rPr>
                <w:b/>
                <w:bCs/>
                <w:color w:val="005EB8"/>
              </w:rPr>
            </w:pPr>
            <w:r>
              <w:rPr>
                <w:b/>
                <w:bCs/>
                <w:color w:val="005EB8"/>
              </w:rPr>
              <w:t>Air TA Market Share</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2721FBF4" w14:textId="77777777" w:rsidR="000902A0" w:rsidRDefault="000902A0" w:rsidP="004D2521">
            <w:pPr>
              <w:suppressAutoHyphens/>
              <w:jc w:val="right"/>
              <w:rPr>
                <w:b/>
                <w:bCs/>
                <w:color w:val="005EB8"/>
              </w:rPr>
            </w:pPr>
            <w:r>
              <w:rPr>
                <w:b/>
                <w:bCs/>
                <w:color w:val="005EB8"/>
              </w:rPr>
              <w:t>40.7%</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5DCB9848" w14:textId="77777777" w:rsidR="000902A0" w:rsidRDefault="000902A0" w:rsidP="004D2521">
            <w:pPr>
              <w:suppressAutoHyphens/>
              <w:jc w:val="right"/>
              <w:rPr>
                <w:b/>
                <w:bCs/>
                <w:color w:val="005EB8"/>
              </w:rPr>
            </w:pPr>
            <w:r>
              <w:rPr>
                <w:b/>
                <w:bCs/>
                <w:color w:val="005EB8"/>
              </w:rPr>
              <w:t>40.1%</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669DD76C" w14:textId="77777777" w:rsidR="000902A0" w:rsidRDefault="000902A0" w:rsidP="004D2521">
            <w:pPr>
              <w:suppressAutoHyphens/>
              <w:jc w:val="right"/>
              <w:rPr>
                <w:b/>
                <w:bCs/>
                <w:color w:val="005EB8"/>
              </w:rPr>
            </w:pPr>
            <w:r>
              <w:rPr>
                <w:b/>
                <w:bCs/>
                <w:color w:val="005EB8"/>
              </w:rPr>
              <w:t>0.7 p.p.</w:t>
            </w: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505E3F32" w14:textId="77777777" w:rsidR="000902A0" w:rsidRDefault="000902A0" w:rsidP="004D2521">
            <w:pPr>
              <w:suppressAutoHyphens/>
              <w:jc w:val="right"/>
              <w:rPr>
                <w:b/>
                <w:bCs/>
                <w:color w:val="005EB8"/>
              </w:rPr>
            </w:pPr>
            <w:r>
              <w:rPr>
                <w:b/>
                <w:bCs/>
                <w:color w:val="005EB8"/>
              </w:rPr>
              <w:t>40.7%</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4AAB4FC2" w14:textId="77777777" w:rsidR="000902A0" w:rsidRDefault="000902A0" w:rsidP="004D2521">
            <w:pPr>
              <w:suppressAutoHyphens/>
              <w:jc w:val="right"/>
              <w:rPr>
                <w:b/>
                <w:bCs/>
                <w:color w:val="005EB8"/>
              </w:rPr>
            </w:pPr>
            <w:r>
              <w:rPr>
                <w:b/>
                <w:bCs/>
                <w:color w:val="005EB8"/>
              </w:rPr>
              <w:t>0.7 p.p.</w:t>
            </w:r>
          </w:p>
        </w:tc>
      </w:tr>
      <w:tr w:rsidR="000902A0" w14:paraId="5C671DCB"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3DC53160" w14:textId="77777777" w:rsidR="000902A0" w:rsidRDefault="000902A0" w:rsidP="004D2521">
            <w:pPr>
              <w:suppressAutoHyphens/>
              <w:rPr>
                <w:color w:val="005EB8"/>
              </w:rPr>
            </w:pPr>
            <w:r>
              <w:rPr>
                <w:color w:val="005EB8"/>
              </w:rPr>
              <w:t>Air TA bookings (m)</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5103F2C9" w14:textId="77777777" w:rsidR="000902A0" w:rsidRDefault="000902A0" w:rsidP="004D2521">
            <w:pPr>
              <w:suppressAutoHyphens/>
              <w:jc w:val="right"/>
              <w:rPr>
                <w:color w:val="005EB8"/>
              </w:rPr>
            </w:pPr>
            <w:r>
              <w:rPr>
                <w:color w:val="005EB8"/>
              </w:rPr>
              <w:t>466.5</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1F85EABA" w14:textId="77777777" w:rsidR="000902A0" w:rsidRDefault="000902A0" w:rsidP="004D2521">
            <w:pPr>
              <w:suppressAutoHyphens/>
              <w:jc w:val="right"/>
              <w:rPr>
                <w:color w:val="005EB8"/>
              </w:rPr>
            </w:pPr>
            <w:r>
              <w:rPr>
                <w:color w:val="005EB8"/>
              </w:rPr>
              <w:t>443.4</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6F8AB603" w14:textId="77777777" w:rsidR="000902A0" w:rsidRDefault="000902A0" w:rsidP="004D2521">
            <w:pPr>
              <w:suppressAutoHyphens/>
              <w:jc w:val="right"/>
              <w:rPr>
                <w:color w:val="005EB8"/>
              </w:rPr>
            </w:pPr>
            <w:r>
              <w:rPr>
                <w:color w:val="005EB8"/>
              </w:rPr>
              <w:t>5.2%</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37758621" w14:textId="77777777" w:rsidR="000902A0" w:rsidRDefault="000902A0" w:rsidP="004D2521">
            <w:pPr>
              <w:suppressAutoHyphens/>
              <w:jc w:val="right"/>
              <w:rPr>
                <w:color w:val="005EB8"/>
              </w:rPr>
            </w:pPr>
            <w:r>
              <w:rPr>
                <w:color w:val="005EB8"/>
              </w:rPr>
              <w:t>466.5</w:t>
            </w:r>
          </w:p>
        </w:tc>
        <w:tc>
          <w:tcPr>
            <w:tcW w:w="1400" w:type="dxa"/>
            <w:shd w:val="clear" w:color="auto" w:fill="EEECE1"/>
            <w:noWrap/>
            <w:tcMar>
              <w:top w:w="0" w:type="dxa"/>
              <w:left w:w="108" w:type="dxa"/>
              <w:bottom w:w="0" w:type="dxa"/>
              <w:right w:w="108" w:type="dxa"/>
            </w:tcMar>
            <w:vAlign w:val="center"/>
            <w:hideMark/>
          </w:tcPr>
          <w:p w14:paraId="32A76F57" w14:textId="77777777" w:rsidR="000902A0" w:rsidRDefault="000902A0" w:rsidP="004D2521">
            <w:pPr>
              <w:suppressAutoHyphens/>
              <w:jc w:val="right"/>
              <w:rPr>
                <w:color w:val="005EB8"/>
              </w:rPr>
            </w:pPr>
            <w:r>
              <w:rPr>
                <w:color w:val="005EB8"/>
              </w:rPr>
              <w:t>5.2%</w:t>
            </w:r>
          </w:p>
        </w:tc>
      </w:tr>
      <w:tr w:rsidR="000902A0" w14:paraId="4C0F970E"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7AEECFA1" w14:textId="77777777" w:rsidR="000902A0" w:rsidRDefault="000902A0" w:rsidP="004D2521">
            <w:pPr>
              <w:suppressAutoHyphens/>
              <w:rPr>
                <w:color w:val="005EB8"/>
              </w:rPr>
            </w:pPr>
            <w:r>
              <w:rPr>
                <w:color w:val="005EB8"/>
              </w:rPr>
              <w:t>Non air bookings (m)</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36A0605B" w14:textId="77777777" w:rsidR="000902A0" w:rsidRDefault="000902A0" w:rsidP="004D2521">
            <w:pPr>
              <w:suppressAutoHyphens/>
              <w:jc w:val="right"/>
              <w:rPr>
                <w:color w:val="005EB8"/>
              </w:rPr>
            </w:pPr>
            <w:r>
              <w:rPr>
                <w:color w:val="005EB8"/>
              </w:rPr>
              <w:t>59.4</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419D491E" w14:textId="77777777" w:rsidR="000902A0" w:rsidRDefault="000902A0" w:rsidP="004D2521">
            <w:pPr>
              <w:suppressAutoHyphens/>
              <w:jc w:val="right"/>
              <w:rPr>
                <w:color w:val="005EB8"/>
              </w:rPr>
            </w:pPr>
            <w:r>
              <w:rPr>
                <w:color w:val="005EB8"/>
              </w:rPr>
              <w:t>59.2</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4A0AD75E" w14:textId="77777777" w:rsidR="000902A0" w:rsidRDefault="000902A0" w:rsidP="004D2521">
            <w:pPr>
              <w:suppressAutoHyphens/>
              <w:jc w:val="right"/>
              <w:rPr>
                <w:color w:val="005EB8"/>
              </w:rPr>
            </w:pPr>
            <w:r>
              <w:rPr>
                <w:color w:val="005EB8"/>
              </w:rPr>
              <w:t>0.3%</w:t>
            </w: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1CF51854" w14:textId="77777777" w:rsidR="000902A0" w:rsidRDefault="000902A0" w:rsidP="004D2521">
            <w:pPr>
              <w:suppressAutoHyphens/>
              <w:jc w:val="right"/>
              <w:rPr>
                <w:color w:val="005EB8"/>
              </w:rPr>
            </w:pPr>
            <w:r>
              <w:rPr>
                <w:color w:val="005EB8"/>
              </w:rPr>
              <w:t>59.4</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01B30691" w14:textId="77777777" w:rsidR="000902A0" w:rsidRDefault="000902A0" w:rsidP="004D2521">
            <w:pPr>
              <w:suppressAutoHyphens/>
              <w:jc w:val="right"/>
              <w:rPr>
                <w:color w:val="005EB8"/>
              </w:rPr>
            </w:pPr>
            <w:r>
              <w:rPr>
                <w:color w:val="005EB8"/>
              </w:rPr>
              <w:t>0.3%</w:t>
            </w:r>
          </w:p>
        </w:tc>
      </w:tr>
      <w:tr w:rsidR="000902A0" w14:paraId="1D60531D"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0D22DEA4" w14:textId="77777777" w:rsidR="000902A0" w:rsidRDefault="000902A0" w:rsidP="004D2521">
            <w:pPr>
              <w:suppressAutoHyphens/>
              <w:rPr>
                <w:b/>
                <w:bCs/>
                <w:color w:val="005EB8"/>
              </w:rPr>
            </w:pPr>
            <w:r>
              <w:rPr>
                <w:b/>
                <w:bCs/>
                <w:color w:val="005EB8"/>
              </w:rPr>
              <w:t>Total bookings (m)</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0DC3E8F0" w14:textId="77777777" w:rsidR="000902A0" w:rsidRDefault="000902A0" w:rsidP="004D2521">
            <w:pPr>
              <w:suppressAutoHyphens/>
              <w:jc w:val="right"/>
              <w:rPr>
                <w:b/>
                <w:bCs/>
                <w:color w:val="005EB8"/>
              </w:rPr>
            </w:pPr>
            <w:r>
              <w:rPr>
                <w:b/>
                <w:bCs/>
                <w:color w:val="005EB8"/>
              </w:rPr>
              <w:t>525.8</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2FCBEADF" w14:textId="77777777" w:rsidR="000902A0" w:rsidRDefault="000902A0" w:rsidP="004D2521">
            <w:pPr>
              <w:suppressAutoHyphens/>
              <w:jc w:val="right"/>
              <w:rPr>
                <w:b/>
                <w:bCs/>
                <w:color w:val="005EB8"/>
              </w:rPr>
            </w:pPr>
            <w:r>
              <w:rPr>
                <w:b/>
                <w:bCs/>
                <w:color w:val="005EB8"/>
              </w:rPr>
              <w:t>502.6</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3CFE42E1" w14:textId="77777777" w:rsidR="000902A0" w:rsidRDefault="000902A0" w:rsidP="004D2521">
            <w:pPr>
              <w:suppressAutoHyphens/>
              <w:jc w:val="right"/>
              <w:rPr>
                <w:b/>
                <w:bCs/>
                <w:color w:val="005EB8"/>
              </w:rPr>
            </w:pPr>
            <w:r>
              <w:rPr>
                <w:b/>
                <w:bCs/>
                <w:color w:val="005EB8"/>
              </w:rPr>
              <w:t>4.6%</w:t>
            </w: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015891BA" w14:textId="77777777" w:rsidR="000902A0" w:rsidRDefault="000902A0" w:rsidP="004D2521">
            <w:pPr>
              <w:suppressAutoHyphens/>
              <w:jc w:val="right"/>
              <w:rPr>
                <w:b/>
                <w:bCs/>
                <w:color w:val="005EB8"/>
              </w:rPr>
            </w:pPr>
            <w:r>
              <w:rPr>
                <w:b/>
                <w:bCs/>
                <w:color w:val="005EB8"/>
              </w:rPr>
              <w:t>525.8</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3DDB33D5" w14:textId="77777777" w:rsidR="000902A0" w:rsidRDefault="000902A0" w:rsidP="004D2521">
            <w:pPr>
              <w:suppressAutoHyphens/>
              <w:jc w:val="right"/>
              <w:rPr>
                <w:b/>
                <w:bCs/>
                <w:color w:val="005EB8"/>
              </w:rPr>
            </w:pPr>
            <w:r>
              <w:rPr>
                <w:b/>
                <w:bCs/>
                <w:color w:val="005EB8"/>
              </w:rPr>
              <w:t>4.6%</w:t>
            </w:r>
          </w:p>
        </w:tc>
      </w:tr>
      <w:tr w:rsidR="000902A0" w14:paraId="1764B28F"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13615196" w14:textId="77777777" w:rsidR="000902A0" w:rsidRDefault="000902A0" w:rsidP="004D2521">
            <w:pPr>
              <w:suppressAutoHyphens/>
              <w:rPr>
                <w:b/>
                <w:bCs/>
                <w:color w:val="005EB8"/>
              </w:rPr>
            </w:pPr>
            <w:r>
              <w:rPr>
                <w:b/>
                <w:bCs/>
                <w:color w:val="005EB8"/>
              </w:rPr>
              <w:t>Passengers Boarded (m)</w:t>
            </w:r>
          </w:p>
        </w:tc>
        <w:tc>
          <w:tcPr>
            <w:tcW w:w="1400" w:type="dxa"/>
            <w:tcBorders>
              <w:top w:val="nil"/>
              <w:left w:val="nil"/>
              <w:bottom w:val="double" w:sz="6" w:space="0" w:color="1A61A9"/>
              <w:right w:val="single" w:sz="8" w:space="0" w:color="FFFFFF"/>
            </w:tcBorders>
            <w:shd w:val="clear" w:color="auto" w:fill="EEECE1"/>
            <w:tcMar>
              <w:top w:w="0" w:type="dxa"/>
              <w:left w:w="108" w:type="dxa"/>
              <w:bottom w:w="0" w:type="dxa"/>
              <w:right w:w="108" w:type="dxa"/>
            </w:tcMar>
            <w:vAlign w:val="center"/>
            <w:hideMark/>
          </w:tcPr>
          <w:p w14:paraId="17839700" w14:textId="77777777" w:rsidR="000902A0" w:rsidRDefault="000902A0" w:rsidP="004D2521">
            <w:pPr>
              <w:suppressAutoHyphens/>
              <w:jc w:val="right"/>
              <w:rPr>
                <w:b/>
                <w:bCs/>
                <w:color w:val="005EB8"/>
              </w:rPr>
            </w:pPr>
            <w:r>
              <w:rPr>
                <w:b/>
                <w:bCs/>
                <w:color w:val="005EB8"/>
              </w:rPr>
              <w:t>695.4</w:t>
            </w:r>
          </w:p>
        </w:tc>
        <w:tc>
          <w:tcPr>
            <w:tcW w:w="1400" w:type="dxa"/>
            <w:tcBorders>
              <w:top w:val="nil"/>
              <w:left w:val="nil"/>
              <w:bottom w:val="double" w:sz="6" w:space="0" w:color="1A61A9"/>
              <w:right w:val="single" w:sz="8" w:space="0" w:color="FFFFFF"/>
            </w:tcBorders>
            <w:tcMar>
              <w:top w:w="0" w:type="dxa"/>
              <w:left w:w="108" w:type="dxa"/>
              <w:bottom w:w="0" w:type="dxa"/>
              <w:right w:w="108" w:type="dxa"/>
            </w:tcMar>
            <w:vAlign w:val="center"/>
            <w:hideMark/>
          </w:tcPr>
          <w:p w14:paraId="2E44949F" w14:textId="77777777" w:rsidR="000902A0" w:rsidRDefault="000902A0" w:rsidP="004D2521">
            <w:pPr>
              <w:suppressAutoHyphens/>
              <w:jc w:val="right"/>
              <w:rPr>
                <w:b/>
                <w:bCs/>
                <w:color w:val="005EB8"/>
              </w:rPr>
            </w:pPr>
            <w:r>
              <w:rPr>
                <w:b/>
                <w:bCs/>
                <w:color w:val="005EB8"/>
              </w:rPr>
              <w:t>615.7</w:t>
            </w:r>
          </w:p>
        </w:tc>
        <w:tc>
          <w:tcPr>
            <w:tcW w:w="1394" w:type="dxa"/>
            <w:tcBorders>
              <w:top w:val="nil"/>
              <w:left w:val="nil"/>
              <w:bottom w:val="double" w:sz="6" w:space="0" w:color="1A61A9"/>
              <w:right w:val="single" w:sz="8" w:space="0" w:color="FFFFFF"/>
            </w:tcBorders>
            <w:shd w:val="clear" w:color="auto" w:fill="EEECE1"/>
            <w:tcMar>
              <w:top w:w="0" w:type="dxa"/>
              <w:left w:w="108" w:type="dxa"/>
              <w:bottom w:w="0" w:type="dxa"/>
              <w:right w:w="108" w:type="dxa"/>
            </w:tcMar>
            <w:vAlign w:val="center"/>
            <w:hideMark/>
          </w:tcPr>
          <w:p w14:paraId="18066564" w14:textId="77777777" w:rsidR="000902A0" w:rsidRDefault="000902A0" w:rsidP="004D2521">
            <w:pPr>
              <w:suppressAutoHyphens/>
              <w:jc w:val="right"/>
              <w:rPr>
                <w:b/>
                <w:bCs/>
                <w:color w:val="005EB8"/>
              </w:rPr>
            </w:pPr>
            <w:r>
              <w:rPr>
                <w:b/>
                <w:bCs/>
                <w:color w:val="005EB8"/>
              </w:rPr>
              <w:t>12.9%</w:t>
            </w:r>
          </w:p>
        </w:tc>
        <w:tc>
          <w:tcPr>
            <w:tcW w:w="1400" w:type="dxa"/>
            <w:tcBorders>
              <w:top w:val="nil"/>
              <w:left w:val="nil"/>
              <w:bottom w:val="double" w:sz="6" w:space="0" w:color="1A61A9"/>
              <w:right w:val="single" w:sz="8" w:space="0" w:color="FFFFFF"/>
            </w:tcBorders>
            <w:noWrap/>
            <w:tcMar>
              <w:top w:w="0" w:type="dxa"/>
              <w:left w:w="108" w:type="dxa"/>
              <w:bottom w:w="0" w:type="dxa"/>
              <w:right w:w="108" w:type="dxa"/>
            </w:tcMar>
            <w:vAlign w:val="center"/>
            <w:hideMark/>
          </w:tcPr>
          <w:p w14:paraId="486C67B2" w14:textId="77777777" w:rsidR="000902A0" w:rsidRDefault="000902A0" w:rsidP="004D2521">
            <w:pPr>
              <w:suppressAutoHyphens/>
              <w:jc w:val="right"/>
              <w:rPr>
                <w:b/>
                <w:bCs/>
                <w:color w:val="005EB8"/>
              </w:rPr>
            </w:pPr>
            <w:r>
              <w:rPr>
                <w:b/>
                <w:bCs/>
                <w:color w:val="005EB8"/>
              </w:rPr>
              <w:t>695.4</w:t>
            </w:r>
          </w:p>
        </w:tc>
        <w:tc>
          <w:tcPr>
            <w:tcW w:w="1400" w:type="dxa"/>
            <w:tcBorders>
              <w:top w:val="nil"/>
              <w:left w:val="nil"/>
              <w:bottom w:val="double" w:sz="6" w:space="0" w:color="1A61A9"/>
              <w:right w:val="nil"/>
            </w:tcBorders>
            <w:shd w:val="clear" w:color="auto" w:fill="EEECE1"/>
            <w:noWrap/>
            <w:tcMar>
              <w:top w:w="0" w:type="dxa"/>
              <w:left w:w="108" w:type="dxa"/>
              <w:bottom w:w="0" w:type="dxa"/>
              <w:right w:w="108" w:type="dxa"/>
            </w:tcMar>
            <w:vAlign w:val="center"/>
            <w:hideMark/>
          </w:tcPr>
          <w:p w14:paraId="01D3049D" w14:textId="77777777" w:rsidR="000902A0" w:rsidRDefault="000902A0" w:rsidP="004D2521">
            <w:pPr>
              <w:suppressAutoHyphens/>
              <w:jc w:val="right"/>
              <w:rPr>
                <w:b/>
                <w:bCs/>
                <w:color w:val="005EB8"/>
              </w:rPr>
            </w:pPr>
            <w:r>
              <w:rPr>
                <w:b/>
                <w:bCs/>
                <w:color w:val="005EB8"/>
              </w:rPr>
              <w:t>12.9%</w:t>
            </w:r>
          </w:p>
        </w:tc>
      </w:tr>
      <w:tr w:rsidR="000902A0" w14:paraId="3B7DA147" w14:textId="77777777" w:rsidTr="000902A0">
        <w:trPr>
          <w:trHeight w:hRule="exact" w:val="96"/>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0D22E249" w14:textId="77777777" w:rsidR="000902A0" w:rsidRDefault="000902A0" w:rsidP="004D2521">
            <w:pPr>
              <w:suppressAutoHyphens/>
              <w:rPr>
                <w:color w:val="005EB8"/>
              </w:rPr>
            </w:pPr>
            <w:r>
              <w:rPr>
                <w:color w:val="005EB8"/>
              </w:rPr>
              <w:t> </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0E4FB5D5" w14:textId="77777777" w:rsidR="000902A0" w:rsidRDefault="000902A0" w:rsidP="004D2521">
            <w:pPr>
              <w:suppressAutoHyphens/>
              <w:rPr>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tcPr>
          <w:p w14:paraId="22FF5F68" w14:textId="77777777" w:rsidR="000902A0" w:rsidRDefault="000902A0" w:rsidP="004D2521">
            <w:pPr>
              <w:suppressAutoHyphens/>
              <w:rPr>
                <w:color w:val="005EB8"/>
              </w:rPr>
            </w:pP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39FBE702" w14:textId="77777777" w:rsidR="000902A0" w:rsidRDefault="000902A0" w:rsidP="004D2521">
            <w:pPr>
              <w:suppressAutoHyphens/>
              <w:rPr>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0FDA037B" w14:textId="77777777" w:rsidR="000902A0" w:rsidRDefault="000902A0" w:rsidP="004D2521">
            <w:pPr>
              <w:suppressAutoHyphens/>
              <w:rPr>
                <w:color w:val="005EB8"/>
              </w:rPr>
            </w:pPr>
          </w:p>
        </w:tc>
        <w:tc>
          <w:tcPr>
            <w:tcW w:w="1400" w:type="dxa"/>
            <w:shd w:val="clear" w:color="auto" w:fill="EEECE1"/>
            <w:noWrap/>
            <w:tcMar>
              <w:top w:w="0" w:type="dxa"/>
              <w:left w:w="108" w:type="dxa"/>
              <w:bottom w:w="0" w:type="dxa"/>
              <w:right w:w="108" w:type="dxa"/>
            </w:tcMar>
            <w:vAlign w:val="center"/>
          </w:tcPr>
          <w:p w14:paraId="39C451A9" w14:textId="77777777" w:rsidR="000902A0" w:rsidRDefault="000902A0" w:rsidP="004D2521">
            <w:pPr>
              <w:suppressAutoHyphens/>
              <w:rPr>
                <w:color w:val="005EB8"/>
              </w:rPr>
            </w:pPr>
          </w:p>
        </w:tc>
      </w:tr>
      <w:tr w:rsidR="000902A0" w14:paraId="0608D389"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5DA0F550" w14:textId="77777777" w:rsidR="000902A0" w:rsidRDefault="000902A0" w:rsidP="004D2521">
            <w:pPr>
              <w:suppressAutoHyphens/>
              <w:rPr>
                <w:b/>
                <w:bCs/>
                <w:color w:val="005EB8"/>
                <w:u w:val="single"/>
              </w:rPr>
            </w:pPr>
            <w:r>
              <w:rPr>
                <w:b/>
                <w:bCs/>
                <w:color w:val="005EB8"/>
                <w:u w:val="single"/>
              </w:rPr>
              <w:t>Financial results</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02EFD3B6" w14:textId="77777777" w:rsidR="000902A0" w:rsidRDefault="000902A0" w:rsidP="004D2521">
            <w:pPr>
              <w:suppressAutoHyphens/>
              <w:rPr>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tcPr>
          <w:p w14:paraId="459991D5" w14:textId="77777777" w:rsidR="000902A0" w:rsidRDefault="000902A0" w:rsidP="004D2521">
            <w:pPr>
              <w:suppressAutoHyphens/>
              <w:rPr>
                <w:color w:val="005EB8"/>
              </w:rPr>
            </w:pP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2F7C725F" w14:textId="77777777" w:rsidR="000902A0" w:rsidRDefault="000902A0" w:rsidP="004D2521">
            <w:pPr>
              <w:suppressAutoHyphens/>
              <w:jc w:val="right"/>
              <w:rPr>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543C76C2" w14:textId="77777777" w:rsidR="000902A0" w:rsidRDefault="000902A0" w:rsidP="004D2521">
            <w:pPr>
              <w:suppressAutoHyphens/>
              <w:rPr>
                <w:color w:val="005EB8"/>
              </w:rPr>
            </w:pPr>
          </w:p>
        </w:tc>
        <w:tc>
          <w:tcPr>
            <w:tcW w:w="1400" w:type="dxa"/>
            <w:shd w:val="clear" w:color="auto" w:fill="EEECE1"/>
            <w:noWrap/>
            <w:tcMar>
              <w:top w:w="0" w:type="dxa"/>
              <w:left w:w="108" w:type="dxa"/>
              <w:bottom w:w="0" w:type="dxa"/>
              <w:right w:w="108" w:type="dxa"/>
            </w:tcMar>
            <w:vAlign w:val="center"/>
          </w:tcPr>
          <w:p w14:paraId="2EA4DEEC" w14:textId="77777777" w:rsidR="000902A0" w:rsidRDefault="000902A0" w:rsidP="004D2521">
            <w:pPr>
              <w:suppressAutoHyphens/>
              <w:jc w:val="right"/>
              <w:rPr>
                <w:color w:val="005EB8"/>
              </w:rPr>
            </w:pPr>
          </w:p>
        </w:tc>
      </w:tr>
      <w:tr w:rsidR="000902A0" w14:paraId="1F5633D9"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1BA7F368" w14:textId="77777777" w:rsidR="000902A0" w:rsidRDefault="000902A0" w:rsidP="004D2521">
            <w:pPr>
              <w:suppressAutoHyphens/>
              <w:rPr>
                <w:color w:val="005EB8"/>
              </w:rPr>
            </w:pPr>
            <w:r>
              <w:rPr>
                <w:color w:val="005EB8"/>
              </w:rPr>
              <w:t>Distribution Revenue</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15319EF2" w14:textId="77777777" w:rsidR="000902A0" w:rsidRDefault="000902A0" w:rsidP="004D2521">
            <w:pPr>
              <w:suppressAutoHyphens/>
              <w:jc w:val="right"/>
              <w:rPr>
                <w:color w:val="005EB8"/>
              </w:rPr>
            </w:pPr>
            <w:r>
              <w:rPr>
                <w:color w:val="005EB8"/>
              </w:rPr>
              <w:t>2,455.1</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2BAB6C4D" w14:textId="77777777" w:rsidR="000902A0" w:rsidRDefault="000902A0" w:rsidP="004D2521">
            <w:pPr>
              <w:suppressAutoHyphens/>
              <w:jc w:val="right"/>
              <w:rPr>
                <w:color w:val="005EB8"/>
              </w:rPr>
            </w:pPr>
            <w:r>
              <w:rPr>
                <w:color w:val="005EB8"/>
              </w:rPr>
              <w:t>2,317.8</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6A669D43" w14:textId="77777777" w:rsidR="000902A0" w:rsidRDefault="000902A0" w:rsidP="004D2521">
            <w:pPr>
              <w:suppressAutoHyphens/>
              <w:jc w:val="right"/>
              <w:rPr>
                <w:color w:val="005EB8"/>
              </w:rPr>
            </w:pPr>
            <w:r>
              <w:rPr>
                <w:color w:val="005EB8"/>
              </w:rPr>
              <w:t>5.9%</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7DAC04A1" w14:textId="77777777" w:rsidR="000902A0" w:rsidRDefault="000902A0" w:rsidP="004D2521">
            <w:pPr>
              <w:suppressAutoHyphens/>
              <w:jc w:val="right"/>
              <w:rPr>
                <w:color w:val="005EB8"/>
              </w:rPr>
            </w:pPr>
            <w:r>
              <w:rPr>
                <w:color w:val="005EB8"/>
              </w:rPr>
              <w:t>2,447.7</w:t>
            </w:r>
          </w:p>
        </w:tc>
        <w:tc>
          <w:tcPr>
            <w:tcW w:w="1400" w:type="dxa"/>
            <w:shd w:val="clear" w:color="auto" w:fill="EEECE1"/>
            <w:noWrap/>
            <w:tcMar>
              <w:top w:w="0" w:type="dxa"/>
              <w:left w:w="108" w:type="dxa"/>
              <w:bottom w:w="0" w:type="dxa"/>
              <w:right w:w="108" w:type="dxa"/>
            </w:tcMar>
            <w:vAlign w:val="center"/>
            <w:hideMark/>
          </w:tcPr>
          <w:p w14:paraId="4B3A86E7" w14:textId="77777777" w:rsidR="000902A0" w:rsidRDefault="000902A0" w:rsidP="004D2521">
            <w:pPr>
              <w:suppressAutoHyphens/>
              <w:jc w:val="right"/>
              <w:rPr>
                <w:color w:val="005EB8"/>
              </w:rPr>
            </w:pPr>
            <w:r>
              <w:rPr>
                <w:color w:val="005EB8"/>
              </w:rPr>
              <w:t>5.6%</w:t>
            </w:r>
          </w:p>
        </w:tc>
      </w:tr>
      <w:tr w:rsidR="000902A0" w14:paraId="142B21DE"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490FBCD6" w14:textId="77777777" w:rsidR="000902A0" w:rsidRDefault="000902A0" w:rsidP="004D2521">
            <w:pPr>
              <w:suppressAutoHyphens/>
              <w:rPr>
                <w:color w:val="005EB8"/>
              </w:rPr>
            </w:pPr>
            <w:r>
              <w:rPr>
                <w:color w:val="005EB8"/>
              </w:rPr>
              <w:t>IT Solutions Revenue</w:t>
            </w:r>
            <w:r>
              <w:rPr>
                <w:rStyle w:val="FootnoteReference"/>
                <w:color w:val="005EB8"/>
              </w:rPr>
              <w:t>2</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7BCC2FA3" w14:textId="77777777" w:rsidR="000902A0" w:rsidRDefault="000902A0" w:rsidP="004D2521">
            <w:pPr>
              <w:suppressAutoHyphens/>
              <w:jc w:val="right"/>
              <w:rPr>
                <w:color w:val="005EB8"/>
              </w:rPr>
            </w:pPr>
            <w:r>
              <w:rPr>
                <w:color w:val="005EB8"/>
              </w:rPr>
              <w:t>962.6</w:t>
            </w:r>
            <w:r>
              <w:rPr>
                <w:color w:val="005EB8"/>
                <w:vertAlign w:val="superscript"/>
              </w:rPr>
              <w:t>2</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634C6E82" w14:textId="77777777" w:rsidR="000902A0" w:rsidRDefault="000902A0" w:rsidP="004D2521">
            <w:pPr>
              <w:suppressAutoHyphens/>
              <w:jc w:val="right"/>
              <w:rPr>
                <w:color w:val="005EB8"/>
              </w:rPr>
            </w:pPr>
            <w:r>
              <w:rPr>
                <w:color w:val="005EB8"/>
              </w:rPr>
              <w:t>785.9</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06385975" w14:textId="77777777" w:rsidR="000902A0" w:rsidRDefault="000902A0" w:rsidP="004D2521">
            <w:pPr>
              <w:suppressAutoHyphens/>
              <w:jc w:val="right"/>
              <w:rPr>
                <w:color w:val="005EB8"/>
              </w:rPr>
            </w:pPr>
            <w:r>
              <w:rPr>
                <w:color w:val="005EB8"/>
              </w:rPr>
              <w:t>22.5%</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3ACC8405" w14:textId="77777777" w:rsidR="000902A0" w:rsidRDefault="000902A0" w:rsidP="004D2521">
            <w:pPr>
              <w:suppressAutoHyphens/>
              <w:jc w:val="right"/>
              <w:rPr>
                <w:color w:val="005EB8"/>
              </w:rPr>
            </w:pPr>
            <w:r>
              <w:rPr>
                <w:color w:val="005EB8"/>
              </w:rPr>
              <w:t>887.3</w:t>
            </w:r>
          </w:p>
        </w:tc>
        <w:tc>
          <w:tcPr>
            <w:tcW w:w="1400" w:type="dxa"/>
            <w:shd w:val="clear" w:color="auto" w:fill="EEECE1"/>
            <w:noWrap/>
            <w:tcMar>
              <w:top w:w="0" w:type="dxa"/>
              <w:left w:w="108" w:type="dxa"/>
              <w:bottom w:w="0" w:type="dxa"/>
              <w:right w:w="108" w:type="dxa"/>
            </w:tcMar>
            <w:vAlign w:val="center"/>
            <w:hideMark/>
          </w:tcPr>
          <w:p w14:paraId="52F1753A" w14:textId="77777777" w:rsidR="000902A0" w:rsidRDefault="000902A0" w:rsidP="004D2521">
            <w:pPr>
              <w:suppressAutoHyphens/>
              <w:jc w:val="right"/>
              <w:rPr>
                <w:color w:val="005EB8"/>
              </w:rPr>
            </w:pPr>
            <w:r>
              <w:rPr>
                <w:color w:val="005EB8"/>
              </w:rPr>
              <w:t>12.9%</w:t>
            </w:r>
          </w:p>
        </w:tc>
      </w:tr>
      <w:tr w:rsidR="000902A0" w14:paraId="7895F8FC"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55BEF56C" w14:textId="77777777" w:rsidR="000902A0" w:rsidRDefault="000902A0" w:rsidP="004D2521">
            <w:pPr>
              <w:suppressAutoHyphens/>
              <w:rPr>
                <w:b/>
                <w:bCs/>
                <w:color w:val="005EB8"/>
              </w:rPr>
            </w:pPr>
            <w:r>
              <w:rPr>
                <w:b/>
                <w:bCs/>
                <w:color w:val="005EB8"/>
              </w:rPr>
              <w:t>Revenue</w:t>
            </w:r>
            <w:r>
              <w:rPr>
                <w:b/>
                <w:bCs/>
                <w:color w:val="005EB8"/>
                <w:vertAlign w:val="superscript"/>
              </w:rPr>
              <w:t>2</w:t>
            </w:r>
          </w:p>
        </w:tc>
        <w:tc>
          <w:tcPr>
            <w:tcW w:w="1400" w:type="dxa"/>
            <w:tcBorders>
              <w:top w:val="single" w:sz="8" w:space="0" w:color="1A61A9"/>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19DA1DC8" w14:textId="77777777" w:rsidR="000902A0" w:rsidRDefault="000902A0" w:rsidP="004D2521">
            <w:pPr>
              <w:suppressAutoHyphens/>
              <w:jc w:val="right"/>
              <w:rPr>
                <w:b/>
                <w:bCs/>
                <w:color w:val="005EB8"/>
              </w:rPr>
            </w:pPr>
            <w:r>
              <w:rPr>
                <w:b/>
                <w:bCs/>
                <w:color w:val="005EB8"/>
              </w:rPr>
              <w:t>3,417.7</w:t>
            </w:r>
            <w:r>
              <w:rPr>
                <w:b/>
                <w:bCs/>
                <w:color w:val="005EB8"/>
                <w:vertAlign w:val="superscript"/>
              </w:rPr>
              <w:t>2</w:t>
            </w:r>
          </w:p>
        </w:tc>
        <w:tc>
          <w:tcPr>
            <w:tcW w:w="1400" w:type="dxa"/>
            <w:tcBorders>
              <w:top w:val="single" w:sz="8" w:space="0" w:color="1A61A9"/>
              <w:left w:val="nil"/>
              <w:bottom w:val="single" w:sz="8" w:space="0" w:color="1A61A9"/>
              <w:right w:val="single" w:sz="8" w:space="0" w:color="FFFFFF"/>
            </w:tcBorders>
            <w:tcMar>
              <w:top w:w="0" w:type="dxa"/>
              <w:left w:w="108" w:type="dxa"/>
              <w:bottom w:w="0" w:type="dxa"/>
              <w:right w:w="108" w:type="dxa"/>
            </w:tcMar>
            <w:vAlign w:val="center"/>
            <w:hideMark/>
          </w:tcPr>
          <w:p w14:paraId="5FB54A8F" w14:textId="77777777" w:rsidR="000902A0" w:rsidRDefault="000902A0" w:rsidP="004D2521">
            <w:pPr>
              <w:suppressAutoHyphens/>
              <w:jc w:val="right"/>
              <w:rPr>
                <w:b/>
                <w:bCs/>
                <w:color w:val="005EB8"/>
              </w:rPr>
            </w:pPr>
            <w:r>
              <w:rPr>
                <w:b/>
                <w:bCs/>
                <w:color w:val="005EB8"/>
              </w:rPr>
              <w:t>3,103.7</w:t>
            </w:r>
          </w:p>
        </w:tc>
        <w:tc>
          <w:tcPr>
            <w:tcW w:w="1394" w:type="dxa"/>
            <w:tcBorders>
              <w:top w:val="single" w:sz="8" w:space="0" w:color="1A61A9"/>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48FA4609" w14:textId="77777777" w:rsidR="000902A0" w:rsidRDefault="000902A0" w:rsidP="004D2521">
            <w:pPr>
              <w:suppressAutoHyphens/>
              <w:jc w:val="right"/>
              <w:rPr>
                <w:b/>
                <w:bCs/>
                <w:color w:val="005EB8"/>
              </w:rPr>
            </w:pPr>
            <w:r>
              <w:rPr>
                <w:b/>
                <w:bCs/>
                <w:color w:val="005EB8"/>
              </w:rPr>
              <w:t>10.1%</w:t>
            </w:r>
          </w:p>
        </w:tc>
        <w:tc>
          <w:tcPr>
            <w:tcW w:w="1400" w:type="dxa"/>
            <w:tcBorders>
              <w:top w:val="single" w:sz="8" w:space="0" w:color="1A61A9"/>
              <w:left w:val="nil"/>
              <w:bottom w:val="single" w:sz="8" w:space="0" w:color="1A61A9"/>
              <w:right w:val="single" w:sz="8" w:space="0" w:color="FFFFFF"/>
            </w:tcBorders>
            <w:noWrap/>
            <w:tcMar>
              <w:top w:w="0" w:type="dxa"/>
              <w:left w:w="108" w:type="dxa"/>
              <w:bottom w:w="0" w:type="dxa"/>
              <w:right w:w="108" w:type="dxa"/>
            </w:tcMar>
            <w:vAlign w:val="center"/>
            <w:hideMark/>
          </w:tcPr>
          <w:p w14:paraId="445DAB4D" w14:textId="77777777" w:rsidR="000902A0" w:rsidRDefault="000902A0" w:rsidP="004D2521">
            <w:pPr>
              <w:suppressAutoHyphens/>
              <w:jc w:val="right"/>
              <w:rPr>
                <w:b/>
                <w:bCs/>
                <w:color w:val="005EB8"/>
              </w:rPr>
            </w:pPr>
            <w:r>
              <w:rPr>
                <w:b/>
                <w:bCs/>
                <w:color w:val="005EB8"/>
              </w:rPr>
              <w:t>3,335.0</w:t>
            </w:r>
          </w:p>
        </w:tc>
        <w:tc>
          <w:tcPr>
            <w:tcW w:w="1400" w:type="dxa"/>
            <w:tcBorders>
              <w:top w:val="single" w:sz="8" w:space="0" w:color="1A61A9"/>
              <w:left w:val="nil"/>
              <w:bottom w:val="single" w:sz="8" w:space="0" w:color="1A61A9"/>
              <w:right w:val="nil"/>
            </w:tcBorders>
            <w:shd w:val="clear" w:color="auto" w:fill="EEECE1"/>
            <w:noWrap/>
            <w:tcMar>
              <w:top w:w="0" w:type="dxa"/>
              <w:left w:w="108" w:type="dxa"/>
              <w:bottom w:w="0" w:type="dxa"/>
              <w:right w:w="108" w:type="dxa"/>
            </w:tcMar>
            <w:vAlign w:val="center"/>
            <w:hideMark/>
          </w:tcPr>
          <w:p w14:paraId="58816F41" w14:textId="77777777" w:rsidR="000902A0" w:rsidRDefault="000902A0" w:rsidP="004D2521">
            <w:pPr>
              <w:suppressAutoHyphens/>
              <w:jc w:val="right"/>
              <w:rPr>
                <w:b/>
                <w:bCs/>
                <w:color w:val="005EB8"/>
              </w:rPr>
            </w:pPr>
            <w:r>
              <w:rPr>
                <w:b/>
                <w:bCs/>
                <w:color w:val="005EB8"/>
              </w:rPr>
              <w:t>7.5%</w:t>
            </w:r>
          </w:p>
        </w:tc>
      </w:tr>
      <w:tr w:rsidR="000902A0" w14:paraId="26564A4D"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2C7DDCBA" w14:textId="77777777" w:rsidR="000902A0" w:rsidRDefault="000902A0" w:rsidP="004D2521">
            <w:pPr>
              <w:suppressAutoHyphens/>
              <w:rPr>
                <w:color w:val="005EB8"/>
              </w:rPr>
            </w:pPr>
            <w:r>
              <w:rPr>
                <w:color w:val="005EB8"/>
              </w:rPr>
              <w:t>Distribution Contribution</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738984BD" w14:textId="77777777" w:rsidR="000902A0" w:rsidRDefault="000902A0" w:rsidP="004D2521">
            <w:pPr>
              <w:suppressAutoHyphens/>
              <w:jc w:val="right"/>
              <w:rPr>
                <w:color w:val="005EB8"/>
              </w:rPr>
            </w:pPr>
            <w:r>
              <w:rPr>
                <w:color w:val="005EB8"/>
              </w:rPr>
              <w:t>1,082.1</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7DB63733" w14:textId="77777777" w:rsidR="000902A0" w:rsidRDefault="000902A0" w:rsidP="004D2521">
            <w:pPr>
              <w:suppressAutoHyphens/>
              <w:jc w:val="right"/>
              <w:rPr>
                <w:color w:val="005EB8"/>
              </w:rPr>
            </w:pPr>
            <w:r>
              <w:rPr>
                <w:color w:val="005EB8"/>
              </w:rPr>
              <w:t>1,035.9</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52709923" w14:textId="77777777" w:rsidR="000902A0" w:rsidRDefault="000902A0" w:rsidP="004D2521">
            <w:pPr>
              <w:suppressAutoHyphens/>
              <w:jc w:val="right"/>
              <w:rPr>
                <w:color w:val="005EB8"/>
              </w:rPr>
            </w:pPr>
            <w:r>
              <w:rPr>
                <w:color w:val="005EB8"/>
              </w:rPr>
              <w:t>4.5%</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44AFA610" w14:textId="77777777" w:rsidR="000902A0" w:rsidRDefault="000902A0" w:rsidP="004D2521">
            <w:pPr>
              <w:suppressAutoHyphens/>
              <w:jc w:val="right"/>
              <w:rPr>
                <w:color w:val="005EB8"/>
              </w:rPr>
            </w:pPr>
            <w:r>
              <w:rPr>
                <w:color w:val="005EB8"/>
              </w:rPr>
              <w:t>1,080.3</w:t>
            </w:r>
          </w:p>
        </w:tc>
        <w:tc>
          <w:tcPr>
            <w:tcW w:w="1400" w:type="dxa"/>
            <w:shd w:val="clear" w:color="auto" w:fill="EEECE1"/>
            <w:noWrap/>
            <w:tcMar>
              <w:top w:w="0" w:type="dxa"/>
              <w:left w:w="108" w:type="dxa"/>
              <w:bottom w:w="0" w:type="dxa"/>
              <w:right w:w="108" w:type="dxa"/>
            </w:tcMar>
            <w:vAlign w:val="center"/>
            <w:hideMark/>
          </w:tcPr>
          <w:p w14:paraId="21827F31" w14:textId="77777777" w:rsidR="000902A0" w:rsidRDefault="000902A0" w:rsidP="004D2521">
            <w:pPr>
              <w:suppressAutoHyphens/>
              <w:jc w:val="right"/>
              <w:rPr>
                <w:color w:val="005EB8"/>
              </w:rPr>
            </w:pPr>
            <w:r>
              <w:rPr>
                <w:color w:val="005EB8"/>
              </w:rPr>
              <w:t>4.3%</w:t>
            </w:r>
          </w:p>
        </w:tc>
      </w:tr>
      <w:tr w:rsidR="000902A0" w14:paraId="42B08379"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576D3B19" w14:textId="77777777" w:rsidR="000902A0" w:rsidRDefault="000902A0" w:rsidP="004D2521">
            <w:pPr>
              <w:suppressAutoHyphens/>
              <w:rPr>
                <w:color w:val="005EB8"/>
              </w:rPr>
            </w:pPr>
            <w:r>
              <w:rPr>
                <w:color w:val="005EB8"/>
              </w:rPr>
              <w:t>IT Solutions Contribution</w:t>
            </w:r>
            <w:r>
              <w:rPr>
                <w:rStyle w:val="FootnoteReference"/>
                <w:color w:val="005EB8"/>
              </w:rPr>
              <w:t>2</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148100BB" w14:textId="77777777" w:rsidR="000902A0" w:rsidRDefault="000902A0" w:rsidP="004D2521">
            <w:pPr>
              <w:suppressAutoHyphens/>
              <w:jc w:val="right"/>
              <w:rPr>
                <w:color w:val="005EB8"/>
              </w:rPr>
            </w:pPr>
            <w:r>
              <w:rPr>
                <w:color w:val="005EB8"/>
              </w:rPr>
              <w:t>651.0</w:t>
            </w:r>
            <w:r>
              <w:rPr>
                <w:color w:val="005EB8"/>
                <w:vertAlign w:val="superscript"/>
              </w:rPr>
              <w:t>2</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3405C6D3" w14:textId="77777777" w:rsidR="000902A0" w:rsidRDefault="000902A0" w:rsidP="004D2521">
            <w:pPr>
              <w:suppressAutoHyphens/>
              <w:jc w:val="right"/>
              <w:rPr>
                <w:color w:val="005EB8"/>
              </w:rPr>
            </w:pPr>
            <w:r>
              <w:rPr>
                <w:color w:val="005EB8"/>
              </w:rPr>
              <w:t>550.7</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5CA94BAA" w14:textId="77777777" w:rsidR="000902A0" w:rsidRDefault="000902A0" w:rsidP="004D2521">
            <w:pPr>
              <w:suppressAutoHyphens/>
              <w:jc w:val="right"/>
              <w:rPr>
                <w:color w:val="005EB8"/>
              </w:rPr>
            </w:pPr>
            <w:r>
              <w:rPr>
                <w:color w:val="005EB8"/>
              </w:rPr>
              <w:t>18.2%</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65C8AFBE" w14:textId="77777777" w:rsidR="000902A0" w:rsidRDefault="000902A0" w:rsidP="004D2521">
            <w:pPr>
              <w:suppressAutoHyphens/>
              <w:jc w:val="right"/>
              <w:rPr>
                <w:color w:val="005EB8"/>
              </w:rPr>
            </w:pPr>
            <w:r>
              <w:rPr>
                <w:color w:val="005EB8"/>
              </w:rPr>
              <w:t>627.0</w:t>
            </w:r>
          </w:p>
        </w:tc>
        <w:tc>
          <w:tcPr>
            <w:tcW w:w="1400" w:type="dxa"/>
            <w:shd w:val="clear" w:color="auto" w:fill="EEECE1"/>
            <w:noWrap/>
            <w:tcMar>
              <w:top w:w="0" w:type="dxa"/>
              <w:left w:w="108" w:type="dxa"/>
              <w:bottom w:w="0" w:type="dxa"/>
              <w:right w:w="108" w:type="dxa"/>
            </w:tcMar>
            <w:vAlign w:val="center"/>
            <w:hideMark/>
          </w:tcPr>
          <w:p w14:paraId="5F0AF6F2" w14:textId="77777777" w:rsidR="000902A0" w:rsidRDefault="000902A0" w:rsidP="004D2521">
            <w:pPr>
              <w:suppressAutoHyphens/>
              <w:jc w:val="right"/>
              <w:rPr>
                <w:color w:val="005EB8"/>
              </w:rPr>
            </w:pPr>
            <w:r>
              <w:rPr>
                <w:color w:val="005EB8"/>
              </w:rPr>
              <w:t>13.8%</w:t>
            </w:r>
          </w:p>
        </w:tc>
      </w:tr>
      <w:tr w:rsidR="000902A0" w14:paraId="48B5C698"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08B07F78" w14:textId="77777777" w:rsidR="000902A0" w:rsidRDefault="000902A0" w:rsidP="004D2521">
            <w:pPr>
              <w:suppressAutoHyphens/>
              <w:rPr>
                <w:b/>
                <w:bCs/>
                <w:color w:val="005EB8"/>
              </w:rPr>
            </w:pPr>
            <w:r>
              <w:rPr>
                <w:b/>
                <w:bCs/>
                <w:color w:val="005EB8"/>
              </w:rPr>
              <w:t>Contribution</w:t>
            </w:r>
            <w:r>
              <w:rPr>
                <w:b/>
                <w:bCs/>
                <w:color w:val="005EB8"/>
                <w:vertAlign w:val="superscript"/>
              </w:rPr>
              <w:t>2</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7616CF25" w14:textId="77777777" w:rsidR="000902A0" w:rsidRDefault="000902A0" w:rsidP="004D2521">
            <w:pPr>
              <w:suppressAutoHyphens/>
              <w:jc w:val="right"/>
              <w:rPr>
                <w:b/>
                <w:bCs/>
                <w:color w:val="005EB8"/>
              </w:rPr>
            </w:pPr>
            <w:r>
              <w:rPr>
                <w:b/>
                <w:bCs/>
                <w:color w:val="005EB8"/>
              </w:rPr>
              <w:t>1,733.1</w:t>
            </w:r>
            <w:r>
              <w:rPr>
                <w:b/>
                <w:bCs/>
                <w:color w:val="005EB8"/>
                <w:vertAlign w:val="superscript"/>
              </w:rPr>
              <w:t>2</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6415B341" w14:textId="77777777" w:rsidR="000902A0" w:rsidRDefault="000902A0" w:rsidP="004D2521">
            <w:pPr>
              <w:suppressAutoHyphens/>
              <w:jc w:val="right"/>
              <w:rPr>
                <w:b/>
                <w:bCs/>
                <w:color w:val="005EB8"/>
              </w:rPr>
            </w:pPr>
            <w:r>
              <w:rPr>
                <w:b/>
                <w:bCs/>
                <w:color w:val="005EB8"/>
              </w:rPr>
              <w:t>1,586.6</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2F8AA559" w14:textId="77777777" w:rsidR="000902A0" w:rsidRDefault="000902A0" w:rsidP="004D2521">
            <w:pPr>
              <w:suppressAutoHyphens/>
              <w:jc w:val="right"/>
              <w:rPr>
                <w:b/>
                <w:bCs/>
                <w:color w:val="005EB8"/>
              </w:rPr>
            </w:pPr>
            <w:r>
              <w:rPr>
                <w:b/>
                <w:bCs/>
                <w:color w:val="005EB8"/>
              </w:rPr>
              <w:t>9.2%</w:t>
            </w: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74F60DE9" w14:textId="77777777" w:rsidR="000902A0" w:rsidRDefault="000902A0" w:rsidP="004D2521">
            <w:pPr>
              <w:suppressAutoHyphens/>
              <w:jc w:val="right"/>
              <w:rPr>
                <w:b/>
                <w:bCs/>
                <w:color w:val="005EB8"/>
              </w:rPr>
            </w:pPr>
            <w:r>
              <w:rPr>
                <w:b/>
                <w:bCs/>
                <w:color w:val="005EB8"/>
              </w:rPr>
              <w:t>1,707.2</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1E80A7E5" w14:textId="1F8F0123" w:rsidR="000902A0" w:rsidRDefault="000902A0" w:rsidP="00EA3557">
            <w:pPr>
              <w:suppressAutoHyphens/>
              <w:jc w:val="right"/>
              <w:rPr>
                <w:b/>
                <w:bCs/>
                <w:color w:val="005EB8"/>
              </w:rPr>
            </w:pPr>
            <w:r>
              <w:rPr>
                <w:b/>
                <w:bCs/>
                <w:color w:val="005EB8"/>
              </w:rPr>
              <w:t>7.</w:t>
            </w:r>
            <w:r w:rsidR="00EA3557">
              <w:rPr>
                <w:b/>
                <w:bCs/>
                <w:color w:val="005EB8"/>
              </w:rPr>
              <w:t>6</w:t>
            </w:r>
            <w:r>
              <w:rPr>
                <w:b/>
                <w:bCs/>
                <w:color w:val="005EB8"/>
              </w:rPr>
              <w:t>%</w:t>
            </w:r>
          </w:p>
        </w:tc>
      </w:tr>
      <w:tr w:rsidR="000902A0" w14:paraId="2872D0DC"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00909D39" w14:textId="77777777" w:rsidR="000902A0" w:rsidRDefault="000902A0" w:rsidP="004D2521">
            <w:pPr>
              <w:suppressAutoHyphens/>
              <w:rPr>
                <w:b/>
                <w:bCs/>
                <w:color w:val="005EB8"/>
              </w:rPr>
            </w:pPr>
            <w:r>
              <w:rPr>
                <w:b/>
                <w:bCs/>
                <w:color w:val="005EB8"/>
              </w:rPr>
              <w:t>EBITDA</w:t>
            </w:r>
            <w:r>
              <w:rPr>
                <w:b/>
                <w:bCs/>
                <w:color w:val="005EB8"/>
                <w:vertAlign w:val="superscript"/>
              </w:rPr>
              <w:t>2</w:t>
            </w:r>
          </w:p>
        </w:tc>
        <w:tc>
          <w:tcPr>
            <w:tcW w:w="1400"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46EC4BAE" w14:textId="77777777" w:rsidR="000902A0" w:rsidRDefault="000902A0" w:rsidP="004D2521">
            <w:pPr>
              <w:suppressAutoHyphens/>
              <w:jc w:val="right"/>
              <w:rPr>
                <w:b/>
                <w:bCs/>
                <w:color w:val="005EB8"/>
              </w:rPr>
            </w:pPr>
            <w:r>
              <w:rPr>
                <w:b/>
                <w:bCs/>
                <w:color w:val="005EB8"/>
              </w:rPr>
              <w:t>1,306.0</w:t>
            </w:r>
            <w:r>
              <w:rPr>
                <w:b/>
                <w:bCs/>
                <w:color w:val="005EB8"/>
                <w:vertAlign w:val="superscript"/>
              </w:rPr>
              <w:t>2</w:t>
            </w:r>
          </w:p>
        </w:tc>
        <w:tc>
          <w:tcPr>
            <w:tcW w:w="1400" w:type="dxa"/>
            <w:tcBorders>
              <w:top w:val="nil"/>
              <w:left w:val="nil"/>
              <w:bottom w:val="single" w:sz="8" w:space="0" w:color="1A61A9"/>
              <w:right w:val="single" w:sz="8" w:space="0" w:color="FFFFFF"/>
            </w:tcBorders>
            <w:tcMar>
              <w:top w:w="0" w:type="dxa"/>
              <w:left w:w="108" w:type="dxa"/>
              <w:bottom w:w="0" w:type="dxa"/>
              <w:right w:w="108" w:type="dxa"/>
            </w:tcMar>
            <w:vAlign w:val="center"/>
            <w:hideMark/>
          </w:tcPr>
          <w:p w14:paraId="72201FFC" w14:textId="77777777" w:rsidR="000902A0" w:rsidRDefault="000902A0" w:rsidP="004D2521">
            <w:pPr>
              <w:suppressAutoHyphens/>
              <w:jc w:val="right"/>
              <w:rPr>
                <w:b/>
                <w:bCs/>
                <w:color w:val="005EB8"/>
              </w:rPr>
            </w:pPr>
            <w:r>
              <w:rPr>
                <w:b/>
                <w:bCs/>
                <w:color w:val="005EB8"/>
              </w:rPr>
              <w:t>1,188.7</w:t>
            </w:r>
          </w:p>
        </w:tc>
        <w:tc>
          <w:tcPr>
            <w:tcW w:w="1394" w:type="dxa"/>
            <w:tcBorders>
              <w:top w:val="nil"/>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557800AE" w14:textId="77777777" w:rsidR="000902A0" w:rsidRDefault="000902A0" w:rsidP="004D2521">
            <w:pPr>
              <w:suppressAutoHyphens/>
              <w:jc w:val="right"/>
              <w:rPr>
                <w:b/>
                <w:bCs/>
                <w:color w:val="005EB8"/>
              </w:rPr>
            </w:pPr>
            <w:r>
              <w:rPr>
                <w:b/>
                <w:bCs/>
                <w:color w:val="005EB8"/>
              </w:rPr>
              <w:t>9.9%</w:t>
            </w:r>
          </w:p>
        </w:tc>
        <w:tc>
          <w:tcPr>
            <w:tcW w:w="1400" w:type="dxa"/>
            <w:tcBorders>
              <w:top w:val="nil"/>
              <w:left w:val="nil"/>
              <w:bottom w:val="single" w:sz="8" w:space="0" w:color="1A61A9"/>
              <w:right w:val="single" w:sz="8" w:space="0" w:color="FFFFFF"/>
            </w:tcBorders>
            <w:noWrap/>
            <w:tcMar>
              <w:top w:w="0" w:type="dxa"/>
              <w:left w:w="108" w:type="dxa"/>
              <w:bottom w:w="0" w:type="dxa"/>
              <w:right w:w="108" w:type="dxa"/>
            </w:tcMar>
            <w:vAlign w:val="center"/>
            <w:hideMark/>
          </w:tcPr>
          <w:p w14:paraId="77BEF00B" w14:textId="77777777" w:rsidR="000902A0" w:rsidRDefault="000902A0" w:rsidP="004D2521">
            <w:pPr>
              <w:suppressAutoHyphens/>
              <w:jc w:val="right"/>
              <w:rPr>
                <w:b/>
                <w:bCs/>
                <w:color w:val="005EB8"/>
              </w:rPr>
            </w:pPr>
            <w:r>
              <w:rPr>
                <w:b/>
                <w:bCs/>
                <w:color w:val="005EB8"/>
              </w:rPr>
              <w:t>1,280.1</w:t>
            </w:r>
          </w:p>
        </w:tc>
        <w:tc>
          <w:tcPr>
            <w:tcW w:w="1400" w:type="dxa"/>
            <w:tcBorders>
              <w:top w:val="nil"/>
              <w:left w:val="nil"/>
              <w:bottom w:val="single" w:sz="8" w:space="0" w:color="1A61A9"/>
              <w:right w:val="nil"/>
            </w:tcBorders>
            <w:shd w:val="clear" w:color="auto" w:fill="EEECE1"/>
            <w:noWrap/>
            <w:tcMar>
              <w:top w:w="0" w:type="dxa"/>
              <w:left w:w="108" w:type="dxa"/>
              <w:bottom w:w="0" w:type="dxa"/>
              <w:right w:w="108" w:type="dxa"/>
            </w:tcMar>
            <w:vAlign w:val="center"/>
            <w:hideMark/>
          </w:tcPr>
          <w:p w14:paraId="730BD838" w14:textId="77777777" w:rsidR="000902A0" w:rsidRDefault="000902A0" w:rsidP="004D2521">
            <w:pPr>
              <w:suppressAutoHyphens/>
              <w:jc w:val="right"/>
              <w:rPr>
                <w:b/>
                <w:bCs/>
                <w:color w:val="005EB8"/>
              </w:rPr>
            </w:pPr>
            <w:r>
              <w:rPr>
                <w:b/>
                <w:bCs/>
                <w:color w:val="005EB8"/>
              </w:rPr>
              <w:t>7.7%</w:t>
            </w:r>
          </w:p>
        </w:tc>
      </w:tr>
      <w:tr w:rsidR="000902A0" w14:paraId="103F293F"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57C34CC8" w14:textId="77777777" w:rsidR="000902A0" w:rsidRDefault="000902A0" w:rsidP="004D2521">
            <w:pPr>
              <w:suppressAutoHyphens/>
              <w:rPr>
                <w:color w:val="005EB8"/>
              </w:rPr>
            </w:pPr>
            <w:r>
              <w:rPr>
                <w:color w:val="005EB8"/>
              </w:rPr>
              <w:t>EBITDA margin (%)</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7A656BB8" w14:textId="77777777" w:rsidR="000902A0" w:rsidRDefault="000902A0" w:rsidP="004D2521">
            <w:pPr>
              <w:suppressAutoHyphens/>
              <w:jc w:val="right"/>
              <w:rPr>
                <w:color w:val="005EB8"/>
              </w:rPr>
            </w:pPr>
            <w:r>
              <w:rPr>
                <w:color w:val="005EB8"/>
              </w:rPr>
              <w:t>38.2%</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1FE27499" w14:textId="77777777" w:rsidR="000902A0" w:rsidRDefault="000902A0" w:rsidP="004D2521">
            <w:pPr>
              <w:suppressAutoHyphens/>
              <w:jc w:val="right"/>
              <w:rPr>
                <w:color w:val="005EB8"/>
              </w:rPr>
            </w:pPr>
            <w:r>
              <w:rPr>
                <w:color w:val="005EB8"/>
              </w:rPr>
              <w:t>38.3%</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4D9FC3B5" w14:textId="77777777" w:rsidR="000902A0" w:rsidRDefault="000902A0" w:rsidP="004D2521">
            <w:pPr>
              <w:suppressAutoHyphens/>
              <w:jc w:val="right"/>
              <w:rPr>
                <w:color w:val="005EB8"/>
              </w:rPr>
            </w:pPr>
            <w:r>
              <w:rPr>
                <w:color w:val="005EB8"/>
              </w:rPr>
              <w:t>(0.1 p.p.)</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0523E474" w14:textId="77777777" w:rsidR="000902A0" w:rsidRDefault="000902A0" w:rsidP="004D2521">
            <w:pPr>
              <w:suppressAutoHyphens/>
              <w:jc w:val="right"/>
              <w:rPr>
                <w:color w:val="005EB8"/>
              </w:rPr>
            </w:pPr>
            <w:r>
              <w:rPr>
                <w:color w:val="005EB8"/>
              </w:rPr>
              <w:t>38.4%</w:t>
            </w:r>
          </w:p>
        </w:tc>
        <w:tc>
          <w:tcPr>
            <w:tcW w:w="1400" w:type="dxa"/>
            <w:shd w:val="clear" w:color="auto" w:fill="EEECE1"/>
            <w:noWrap/>
            <w:tcMar>
              <w:top w:w="0" w:type="dxa"/>
              <w:left w:w="108" w:type="dxa"/>
              <w:bottom w:w="0" w:type="dxa"/>
              <w:right w:w="108" w:type="dxa"/>
            </w:tcMar>
            <w:vAlign w:val="center"/>
            <w:hideMark/>
          </w:tcPr>
          <w:p w14:paraId="4CFFE69E" w14:textId="77777777" w:rsidR="000902A0" w:rsidRDefault="000902A0" w:rsidP="004D2521">
            <w:pPr>
              <w:suppressAutoHyphens/>
              <w:jc w:val="right"/>
              <w:rPr>
                <w:color w:val="005EB8"/>
              </w:rPr>
            </w:pPr>
            <w:r>
              <w:rPr>
                <w:color w:val="005EB8"/>
              </w:rPr>
              <w:t> 0.1 p.p.</w:t>
            </w:r>
          </w:p>
        </w:tc>
      </w:tr>
      <w:tr w:rsidR="000902A0" w14:paraId="538418E1" w14:textId="77777777" w:rsidTr="000902A0">
        <w:trPr>
          <w:trHeight w:val="283"/>
        </w:trPr>
        <w:tc>
          <w:tcPr>
            <w:tcW w:w="3206" w:type="dxa"/>
            <w:tcBorders>
              <w:top w:val="nil"/>
              <w:left w:val="nil"/>
              <w:bottom w:val="nil"/>
              <w:right w:val="single" w:sz="8" w:space="0" w:color="FFFFFF"/>
            </w:tcBorders>
            <w:shd w:val="clear" w:color="auto" w:fill="FFFFFF"/>
            <w:tcMar>
              <w:top w:w="0" w:type="dxa"/>
              <w:left w:w="108" w:type="dxa"/>
              <w:bottom w:w="0" w:type="dxa"/>
              <w:right w:w="108" w:type="dxa"/>
            </w:tcMar>
            <w:vAlign w:val="center"/>
            <w:hideMark/>
          </w:tcPr>
          <w:p w14:paraId="621E144D" w14:textId="77777777" w:rsidR="000902A0" w:rsidRDefault="000902A0" w:rsidP="004D2521">
            <w:pPr>
              <w:suppressAutoHyphens/>
              <w:rPr>
                <w:b/>
                <w:bCs/>
                <w:color w:val="005EB8"/>
              </w:rPr>
            </w:pPr>
            <w:r>
              <w:rPr>
                <w:b/>
                <w:bCs/>
                <w:color w:val="005EB8"/>
              </w:rPr>
              <w:t>Adjusted profit</w:t>
            </w:r>
            <w:r>
              <w:rPr>
                <w:rStyle w:val="FootnoteReference"/>
                <w:b/>
                <w:bCs/>
                <w:color w:val="005EB8"/>
              </w:rPr>
              <w:t>3</w:t>
            </w:r>
          </w:p>
        </w:tc>
        <w:tc>
          <w:tcPr>
            <w:tcW w:w="1400" w:type="dxa"/>
            <w:tcBorders>
              <w:top w:val="single" w:sz="8" w:space="0" w:color="1A61A9"/>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36FDB394" w14:textId="77777777" w:rsidR="000902A0" w:rsidRDefault="000902A0" w:rsidP="004D2521">
            <w:pPr>
              <w:suppressAutoHyphens/>
              <w:jc w:val="right"/>
              <w:rPr>
                <w:b/>
                <w:bCs/>
                <w:color w:val="005EB8"/>
              </w:rPr>
            </w:pPr>
            <w:r>
              <w:rPr>
                <w:b/>
                <w:bCs/>
                <w:color w:val="005EB8"/>
              </w:rPr>
              <w:t>681.1</w:t>
            </w:r>
          </w:p>
        </w:tc>
        <w:tc>
          <w:tcPr>
            <w:tcW w:w="1400" w:type="dxa"/>
            <w:tcBorders>
              <w:top w:val="single" w:sz="8" w:space="0" w:color="1A61A9"/>
              <w:left w:val="nil"/>
              <w:bottom w:val="single" w:sz="8" w:space="0" w:color="1A61A9"/>
              <w:right w:val="single" w:sz="8" w:space="0" w:color="FFFFFF"/>
            </w:tcBorders>
            <w:tcMar>
              <w:top w:w="0" w:type="dxa"/>
              <w:left w:w="108" w:type="dxa"/>
              <w:bottom w:w="0" w:type="dxa"/>
              <w:right w:w="108" w:type="dxa"/>
            </w:tcMar>
            <w:vAlign w:val="center"/>
            <w:hideMark/>
          </w:tcPr>
          <w:p w14:paraId="3DDEF3EE" w14:textId="77777777" w:rsidR="000902A0" w:rsidRDefault="000902A0" w:rsidP="004D2521">
            <w:pPr>
              <w:suppressAutoHyphens/>
              <w:jc w:val="right"/>
              <w:rPr>
                <w:b/>
                <w:bCs/>
                <w:color w:val="005EB8"/>
              </w:rPr>
            </w:pPr>
            <w:r>
              <w:rPr>
                <w:b/>
                <w:bCs/>
                <w:color w:val="005EB8"/>
              </w:rPr>
              <w:t>619.5</w:t>
            </w:r>
          </w:p>
        </w:tc>
        <w:tc>
          <w:tcPr>
            <w:tcW w:w="1394" w:type="dxa"/>
            <w:tcBorders>
              <w:top w:val="single" w:sz="8" w:space="0" w:color="1A61A9"/>
              <w:left w:val="nil"/>
              <w:bottom w:val="single" w:sz="8" w:space="0" w:color="1A61A9"/>
              <w:right w:val="single" w:sz="8" w:space="0" w:color="FFFFFF"/>
            </w:tcBorders>
            <w:shd w:val="clear" w:color="auto" w:fill="EEECE1"/>
            <w:tcMar>
              <w:top w:w="0" w:type="dxa"/>
              <w:left w:w="108" w:type="dxa"/>
              <w:bottom w:w="0" w:type="dxa"/>
              <w:right w:w="108" w:type="dxa"/>
            </w:tcMar>
            <w:vAlign w:val="center"/>
            <w:hideMark/>
          </w:tcPr>
          <w:p w14:paraId="2D40D006" w14:textId="77777777" w:rsidR="000902A0" w:rsidRDefault="000902A0" w:rsidP="004D2521">
            <w:pPr>
              <w:suppressAutoHyphens/>
              <w:jc w:val="right"/>
              <w:rPr>
                <w:b/>
                <w:bCs/>
                <w:color w:val="005EB8"/>
              </w:rPr>
            </w:pPr>
            <w:r>
              <w:rPr>
                <w:b/>
                <w:bCs/>
                <w:color w:val="005EB8"/>
              </w:rPr>
              <w:t>9.9%</w:t>
            </w:r>
          </w:p>
        </w:tc>
        <w:tc>
          <w:tcPr>
            <w:tcW w:w="1400" w:type="dxa"/>
            <w:tcBorders>
              <w:top w:val="single" w:sz="8" w:space="0" w:color="1A61A9"/>
              <w:left w:val="nil"/>
              <w:bottom w:val="single" w:sz="8" w:space="0" w:color="1A61A9"/>
              <w:right w:val="single" w:sz="8" w:space="0" w:color="FFFFFF"/>
            </w:tcBorders>
            <w:noWrap/>
            <w:tcMar>
              <w:top w:w="0" w:type="dxa"/>
              <w:left w:w="108" w:type="dxa"/>
              <w:bottom w:w="0" w:type="dxa"/>
              <w:right w:w="108" w:type="dxa"/>
            </w:tcMar>
            <w:vAlign w:val="center"/>
            <w:hideMark/>
          </w:tcPr>
          <w:p w14:paraId="2A793280" w14:textId="77777777" w:rsidR="000902A0" w:rsidRDefault="000902A0" w:rsidP="004D2521">
            <w:pPr>
              <w:suppressAutoHyphens/>
              <w:jc w:val="right"/>
              <w:rPr>
                <w:b/>
                <w:bCs/>
                <w:color w:val="005EB8"/>
              </w:rPr>
            </w:pPr>
            <w:r>
              <w:rPr>
                <w:b/>
                <w:bCs/>
                <w:color w:val="005EB8"/>
              </w:rPr>
              <w:t>667.7</w:t>
            </w:r>
          </w:p>
        </w:tc>
        <w:tc>
          <w:tcPr>
            <w:tcW w:w="1400" w:type="dxa"/>
            <w:tcBorders>
              <w:top w:val="single" w:sz="8" w:space="0" w:color="1A61A9"/>
              <w:left w:val="nil"/>
              <w:bottom w:val="single" w:sz="8" w:space="0" w:color="1A61A9"/>
              <w:right w:val="nil"/>
            </w:tcBorders>
            <w:shd w:val="clear" w:color="auto" w:fill="EEECE1"/>
            <w:noWrap/>
            <w:tcMar>
              <w:top w:w="0" w:type="dxa"/>
              <w:left w:w="108" w:type="dxa"/>
              <w:bottom w:w="0" w:type="dxa"/>
              <w:right w:w="108" w:type="dxa"/>
            </w:tcMar>
            <w:vAlign w:val="center"/>
            <w:hideMark/>
          </w:tcPr>
          <w:p w14:paraId="06931472" w14:textId="77777777" w:rsidR="000902A0" w:rsidRDefault="000902A0" w:rsidP="004D2521">
            <w:pPr>
              <w:suppressAutoHyphens/>
              <w:jc w:val="right"/>
              <w:rPr>
                <w:b/>
                <w:bCs/>
                <w:color w:val="005EB8"/>
              </w:rPr>
            </w:pPr>
            <w:r>
              <w:rPr>
                <w:b/>
                <w:bCs/>
                <w:color w:val="005EB8"/>
              </w:rPr>
              <w:t>7.8%</w:t>
            </w:r>
          </w:p>
        </w:tc>
      </w:tr>
      <w:tr w:rsidR="000902A0" w14:paraId="5544B9F7" w14:textId="77777777" w:rsidTr="000902A0">
        <w:trPr>
          <w:trHeight w:val="283"/>
        </w:trPr>
        <w:tc>
          <w:tcPr>
            <w:tcW w:w="3206" w:type="dxa"/>
            <w:tcBorders>
              <w:top w:val="nil"/>
              <w:left w:val="nil"/>
              <w:bottom w:val="nil"/>
              <w:right w:val="single" w:sz="8" w:space="0" w:color="FFFFFF"/>
            </w:tcBorders>
            <w:shd w:val="clear" w:color="auto" w:fill="FFFFFF"/>
            <w:tcMar>
              <w:top w:w="0" w:type="dxa"/>
              <w:left w:w="108" w:type="dxa"/>
              <w:bottom w:w="0" w:type="dxa"/>
              <w:right w:w="108" w:type="dxa"/>
            </w:tcMar>
            <w:vAlign w:val="center"/>
            <w:hideMark/>
          </w:tcPr>
          <w:p w14:paraId="0DBB43D0" w14:textId="77777777" w:rsidR="000902A0" w:rsidRDefault="000902A0" w:rsidP="004D2521">
            <w:pPr>
              <w:suppressAutoHyphens/>
              <w:rPr>
                <w:b/>
                <w:bCs/>
                <w:color w:val="005EB8"/>
              </w:rPr>
            </w:pPr>
            <w:r>
              <w:rPr>
                <w:b/>
                <w:bCs/>
                <w:color w:val="005EB8"/>
              </w:rPr>
              <w:t>Adjusted EPS (euros)</w:t>
            </w:r>
            <w:r>
              <w:rPr>
                <w:rStyle w:val="FootnoteReference"/>
                <w:b/>
                <w:bCs/>
                <w:color w:val="005EB8"/>
              </w:rPr>
              <w:t>4</w:t>
            </w:r>
          </w:p>
        </w:tc>
        <w:tc>
          <w:tcPr>
            <w:tcW w:w="1400" w:type="dxa"/>
            <w:tcBorders>
              <w:top w:val="nil"/>
              <w:left w:val="nil"/>
              <w:bottom w:val="double" w:sz="6" w:space="0" w:color="1A61A9"/>
              <w:right w:val="single" w:sz="8" w:space="0" w:color="FFFFFF"/>
            </w:tcBorders>
            <w:shd w:val="clear" w:color="auto" w:fill="EEECE1"/>
            <w:tcMar>
              <w:top w:w="0" w:type="dxa"/>
              <w:left w:w="108" w:type="dxa"/>
              <w:bottom w:w="0" w:type="dxa"/>
              <w:right w:w="108" w:type="dxa"/>
            </w:tcMar>
            <w:vAlign w:val="center"/>
            <w:hideMark/>
          </w:tcPr>
          <w:p w14:paraId="64252E65" w14:textId="77777777" w:rsidR="000902A0" w:rsidRDefault="000902A0" w:rsidP="004D2521">
            <w:pPr>
              <w:suppressAutoHyphens/>
              <w:jc w:val="right"/>
              <w:rPr>
                <w:b/>
                <w:bCs/>
                <w:color w:val="005EB8"/>
              </w:rPr>
            </w:pPr>
            <w:r>
              <w:rPr>
                <w:b/>
                <w:bCs/>
                <w:color w:val="005EB8"/>
              </w:rPr>
              <w:t>1.53</w:t>
            </w:r>
          </w:p>
        </w:tc>
        <w:tc>
          <w:tcPr>
            <w:tcW w:w="1400" w:type="dxa"/>
            <w:tcBorders>
              <w:top w:val="nil"/>
              <w:left w:val="nil"/>
              <w:bottom w:val="double" w:sz="6" w:space="0" w:color="1A61A9"/>
              <w:right w:val="single" w:sz="8" w:space="0" w:color="FFFFFF"/>
            </w:tcBorders>
            <w:tcMar>
              <w:top w:w="0" w:type="dxa"/>
              <w:left w:w="108" w:type="dxa"/>
              <w:bottom w:w="0" w:type="dxa"/>
              <w:right w:w="108" w:type="dxa"/>
            </w:tcMar>
            <w:vAlign w:val="center"/>
            <w:hideMark/>
          </w:tcPr>
          <w:p w14:paraId="0171BC80" w14:textId="77777777" w:rsidR="000902A0" w:rsidRDefault="000902A0" w:rsidP="004D2521">
            <w:pPr>
              <w:suppressAutoHyphens/>
              <w:jc w:val="right"/>
              <w:rPr>
                <w:b/>
                <w:bCs/>
                <w:color w:val="005EB8"/>
              </w:rPr>
            </w:pPr>
            <w:r>
              <w:rPr>
                <w:b/>
                <w:bCs/>
                <w:color w:val="005EB8"/>
              </w:rPr>
              <w:t>1.39</w:t>
            </w:r>
          </w:p>
        </w:tc>
        <w:tc>
          <w:tcPr>
            <w:tcW w:w="1394" w:type="dxa"/>
            <w:tcBorders>
              <w:top w:val="nil"/>
              <w:left w:val="nil"/>
              <w:bottom w:val="double" w:sz="6" w:space="0" w:color="1A61A9"/>
              <w:right w:val="single" w:sz="8" w:space="0" w:color="FFFFFF"/>
            </w:tcBorders>
            <w:shd w:val="clear" w:color="auto" w:fill="EEECE1"/>
            <w:tcMar>
              <w:top w:w="0" w:type="dxa"/>
              <w:left w:w="108" w:type="dxa"/>
              <w:bottom w:w="0" w:type="dxa"/>
              <w:right w:w="108" w:type="dxa"/>
            </w:tcMar>
            <w:vAlign w:val="center"/>
            <w:hideMark/>
          </w:tcPr>
          <w:p w14:paraId="03592BE2" w14:textId="77777777" w:rsidR="000902A0" w:rsidRDefault="000902A0" w:rsidP="004D2521">
            <w:pPr>
              <w:suppressAutoHyphens/>
              <w:jc w:val="right"/>
              <w:rPr>
                <w:b/>
                <w:bCs/>
                <w:color w:val="005EB8"/>
              </w:rPr>
            </w:pPr>
            <w:r>
              <w:rPr>
                <w:b/>
                <w:bCs/>
                <w:color w:val="005EB8"/>
              </w:rPr>
              <w:t>9.9%</w:t>
            </w:r>
          </w:p>
        </w:tc>
        <w:tc>
          <w:tcPr>
            <w:tcW w:w="1400" w:type="dxa"/>
            <w:tcBorders>
              <w:top w:val="nil"/>
              <w:left w:val="nil"/>
              <w:bottom w:val="double" w:sz="6" w:space="0" w:color="1A61A9"/>
              <w:right w:val="single" w:sz="8" w:space="0" w:color="FFFFFF"/>
            </w:tcBorders>
            <w:noWrap/>
            <w:tcMar>
              <w:top w:w="0" w:type="dxa"/>
              <w:left w:w="108" w:type="dxa"/>
              <w:bottom w:w="0" w:type="dxa"/>
              <w:right w:w="108" w:type="dxa"/>
            </w:tcMar>
            <w:vAlign w:val="center"/>
            <w:hideMark/>
          </w:tcPr>
          <w:p w14:paraId="0EF5251E" w14:textId="77777777" w:rsidR="000902A0" w:rsidRDefault="000902A0" w:rsidP="004D2521">
            <w:pPr>
              <w:suppressAutoHyphens/>
              <w:jc w:val="right"/>
              <w:rPr>
                <w:b/>
                <w:bCs/>
                <w:color w:val="005EB8"/>
              </w:rPr>
            </w:pPr>
            <w:r>
              <w:rPr>
                <w:b/>
                <w:bCs/>
                <w:color w:val="005EB8"/>
              </w:rPr>
              <w:t>1.50</w:t>
            </w:r>
          </w:p>
        </w:tc>
        <w:tc>
          <w:tcPr>
            <w:tcW w:w="1400" w:type="dxa"/>
            <w:tcBorders>
              <w:top w:val="nil"/>
              <w:left w:val="nil"/>
              <w:bottom w:val="double" w:sz="6" w:space="0" w:color="1A61A9"/>
              <w:right w:val="nil"/>
            </w:tcBorders>
            <w:shd w:val="clear" w:color="auto" w:fill="EEECE1"/>
            <w:noWrap/>
            <w:tcMar>
              <w:top w:w="0" w:type="dxa"/>
              <w:left w:w="108" w:type="dxa"/>
              <w:bottom w:w="0" w:type="dxa"/>
              <w:right w:w="108" w:type="dxa"/>
            </w:tcMar>
            <w:vAlign w:val="center"/>
            <w:hideMark/>
          </w:tcPr>
          <w:p w14:paraId="6D9DAEB8" w14:textId="77777777" w:rsidR="000902A0" w:rsidRDefault="000902A0" w:rsidP="004D2521">
            <w:pPr>
              <w:suppressAutoHyphens/>
              <w:jc w:val="right"/>
              <w:rPr>
                <w:b/>
                <w:bCs/>
                <w:color w:val="005EB8"/>
              </w:rPr>
            </w:pPr>
            <w:r>
              <w:rPr>
                <w:b/>
                <w:bCs/>
                <w:color w:val="005EB8"/>
              </w:rPr>
              <w:t>7.8%</w:t>
            </w:r>
          </w:p>
        </w:tc>
      </w:tr>
      <w:tr w:rsidR="000902A0" w14:paraId="3C669ECF" w14:textId="77777777" w:rsidTr="000902A0">
        <w:trPr>
          <w:trHeight w:hRule="exact" w:val="11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tcPr>
          <w:p w14:paraId="489F2527" w14:textId="77777777" w:rsidR="000902A0" w:rsidRDefault="000902A0" w:rsidP="004D2521">
            <w:pPr>
              <w:suppressAutoHyphens/>
              <w:rPr>
                <w:b/>
                <w:bCs/>
                <w:color w:val="005EB8"/>
                <w:u w:val="single"/>
              </w:rPr>
            </w:pP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1C611CA4" w14:textId="77777777" w:rsidR="000902A0" w:rsidRDefault="000902A0" w:rsidP="004D2521">
            <w:pPr>
              <w:suppressAutoHyphens/>
              <w:rPr>
                <w:b/>
                <w:bCs/>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tcPr>
          <w:p w14:paraId="54948064" w14:textId="77777777" w:rsidR="000902A0" w:rsidRDefault="000902A0" w:rsidP="004D2521">
            <w:pPr>
              <w:suppressAutoHyphens/>
              <w:rPr>
                <w:b/>
                <w:bCs/>
                <w:color w:val="005EB8"/>
              </w:rPr>
            </w:pP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600E5ABC" w14:textId="77777777" w:rsidR="000902A0" w:rsidRDefault="000902A0" w:rsidP="004D2521">
            <w:pPr>
              <w:suppressAutoHyphens/>
              <w:rPr>
                <w:b/>
                <w:bCs/>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21BBD968" w14:textId="77777777" w:rsidR="000902A0" w:rsidRDefault="000902A0" w:rsidP="004D2521">
            <w:pPr>
              <w:suppressAutoHyphens/>
              <w:rPr>
                <w:b/>
                <w:bCs/>
                <w:color w:val="005EB8"/>
              </w:rPr>
            </w:pPr>
          </w:p>
        </w:tc>
        <w:tc>
          <w:tcPr>
            <w:tcW w:w="1400" w:type="dxa"/>
            <w:shd w:val="clear" w:color="auto" w:fill="EEECE1"/>
            <w:noWrap/>
            <w:tcMar>
              <w:top w:w="0" w:type="dxa"/>
              <w:left w:w="108" w:type="dxa"/>
              <w:bottom w:w="0" w:type="dxa"/>
              <w:right w:w="108" w:type="dxa"/>
            </w:tcMar>
            <w:vAlign w:val="center"/>
          </w:tcPr>
          <w:p w14:paraId="3E902EF7" w14:textId="77777777" w:rsidR="000902A0" w:rsidRDefault="000902A0" w:rsidP="004D2521">
            <w:pPr>
              <w:suppressAutoHyphens/>
              <w:rPr>
                <w:b/>
                <w:bCs/>
                <w:color w:val="005EB8"/>
              </w:rPr>
            </w:pPr>
          </w:p>
        </w:tc>
      </w:tr>
      <w:tr w:rsidR="000902A0" w14:paraId="1C13BFDA"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47E74650" w14:textId="77777777" w:rsidR="000902A0" w:rsidRDefault="000902A0" w:rsidP="004D2521">
            <w:pPr>
              <w:suppressAutoHyphens/>
              <w:rPr>
                <w:b/>
                <w:bCs/>
                <w:color w:val="005EB8"/>
                <w:u w:val="single"/>
              </w:rPr>
            </w:pPr>
            <w:r>
              <w:rPr>
                <w:b/>
                <w:bCs/>
                <w:color w:val="005EB8"/>
                <w:u w:val="single"/>
              </w:rPr>
              <w:t>Cash flow</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0E81401C" w14:textId="77777777" w:rsidR="000902A0" w:rsidRDefault="000902A0" w:rsidP="004D2521">
            <w:pPr>
              <w:suppressAutoHyphens/>
              <w:rPr>
                <w:b/>
                <w:bCs/>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0F852BDF" w14:textId="77777777" w:rsidR="000902A0" w:rsidRDefault="000902A0" w:rsidP="004D2521">
            <w:pPr>
              <w:suppressAutoHyphens/>
              <w:rPr>
                <w:b/>
                <w:bCs/>
                <w:color w:val="005EB8"/>
              </w:rPr>
            </w:pPr>
            <w:r>
              <w:rPr>
                <w:b/>
                <w:bCs/>
                <w:color w:val="005EB8"/>
              </w:rPr>
              <w:t> </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02F0B83F" w14:textId="77777777" w:rsidR="000902A0" w:rsidRDefault="000902A0" w:rsidP="004D2521">
            <w:pPr>
              <w:suppressAutoHyphens/>
              <w:rPr>
                <w:b/>
                <w:bCs/>
                <w:color w:val="005EB8"/>
              </w:rPr>
            </w:pPr>
            <w:r>
              <w:rPr>
                <w:b/>
                <w:bCs/>
                <w:color w:val="005EB8"/>
              </w:rPr>
              <w:t> </w:t>
            </w: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67D8FF22" w14:textId="77777777" w:rsidR="000902A0" w:rsidRDefault="000902A0" w:rsidP="004D2521">
            <w:pPr>
              <w:suppressAutoHyphens/>
              <w:rPr>
                <w:b/>
                <w:bCs/>
                <w:color w:val="005EB8"/>
              </w:rPr>
            </w:pPr>
          </w:p>
        </w:tc>
        <w:tc>
          <w:tcPr>
            <w:tcW w:w="1400" w:type="dxa"/>
            <w:shd w:val="clear" w:color="auto" w:fill="EEECE1"/>
            <w:noWrap/>
            <w:tcMar>
              <w:top w:w="0" w:type="dxa"/>
              <w:left w:w="108" w:type="dxa"/>
              <w:bottom w:w="0" w:type="dxa"/>
              <w:right w:w="108" w:type="dxa"/>
            </w:tcMar>
            <w:vAlign w:val="center"/>
            <w:hideMark/>
          </w:tcPr>
          <w:p w14:paraId="0AC0A8AE" w14:textId="77777777" w:rsidR="000902A0" w:rsidRDefault="000902A0" w:rsidP="004D2521">
            <w:pPr>
              <w:suppressAutoHyphens/>
              <w:rPr>
                <w:b/>
                <w:bCs/>
                <w:color w:val="005EB8"/>
              </w:rPr>
            </w:pPr>
            <w:r>
              <w:rPr>
                <w:b/>
                <w:bCs/>
                <w:color w:val="005EB8"/>
              </w:rPr>
              <w:t> </w:t>
            </w:r>
          </w:p>
        </w:tc>
      </w:tr>
      <w:tr w:rsidR="000902A0" w14:paraId="3E38B312"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3CB3E137" w14:textId="77777777" w:rsidR="000902A0" w:rsidRDefault="000902A0" w:rsidP="004D2521">
            <w:pPr>
              <w:suppressAutoHyphens/>
              <w:rPr>
                <w:color w:val="005EB8"/>
              </w:rPr>
            </w:pPr>
            <w:r>
              <w:rPr>
                <w:color w:val="005EB8"/>
              </w:rPr>
              <w:t>Capital expenditure</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5BD3DEB5" w14:textId="77777777" w:rsidR="000902A0" w:rsidRDefault="000902A0" w:rsidP="004D2521">
            <w:pPr>
              <w:suppressAutoHyphens/>
              <w:jc w:val="right"/>
              <w:rPr>
                <w:color w:val="005EB8"/>
              </w:rPr>
            </w:pPr>
            <w:r>
              <w:rPr>
                <w:color w:val="005EB8"/>
              </w:rPr>
              <w:t>427.5</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6A13BCE3" w14:textId="77777777" w:rsidR="000902A0" w:rsidRDefault="000902A0" w:rsidP="004D2521">
            <w:pPr>
              <w:suppressAutoHyphens/>
              <w:jc w:val="right"/>
              <w:rPr>
                <w:color w:val="005EB8"/>
              </w:rPr>
            </w:pPr>
            <w:r>
              <w:rPr>
                <w:color w:val="005EB8"/>
              </w:rPr>
              <w:t>411.2</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12424954" w14:textId="77777777" w:rsidR="000902A0" w:rsidRDefault="000902A0" w:rsidP="004D2521">
            <w:pPr>
              <w:suppressAutoHyphens/>
              <w:jc w:val="right"/>
              <w:rPr>
                <w:color w:val="005EB8"/>
              </w:rPr>
            </w:pPr>
            <w:r>
              <w:rPr>
                <w:color w:val="005EB8"/>
              </w:rPr>
              <w:t>4.0%</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1403CE78" w14:textId="4C2B4ED1" w:rsidR="000902A0" w:rsidRDefault="00EA3557" w:rsidP="004D2521">
            <w:pPr>
              <w:suppressAutoHyphens/>
              <w:jc w:val="right"/>
              <w:rPr>
                <w:color w:val="005EB8"/>
              </w:rPr>
            </w:pPr>
            <w:r>
              <w:rPr>
                <w:color w:val="005EB8"/>
              </w:rPr>
              <w:t>419.4</w:t>
            </w:r>
          </w:p>
        </w:tc>
        <w:tc>
          <w:tcPr>
            <w:tcW w:w="1400" w:type="dxa"/>
            <w:shd w:val="clear" w:color="auto" w:fill="EEECE1"/>
            <w:noWrap/>
            <w:tcMar>
              <w:top w:w="0" w:type="dxa"/>
              <w:left w:w="108" w:type="dxa"/>
              <w:bottom w:w="0" w:type="dxa"/>
              <w:right w:w="108" w:type="dxa"/>
            </w:tcMar>
            <w:vAlign w:val="center"/>
            <w:hideMark/>
          </w:tcPr>
          <w:p w14:paraId="711498D9" w14:textId="007BD5E6" w:rsidR="000902A0" w:rsidRDefault="00EA3557" w:rsidP="00EA3557">
            <w:pPr>
              <w:suppressAutoHyphens/>
              <w:jc w:val="right"/>
              <w:rPr>
                <w:color w:val="005EB8"/>
              </w:rPr>
            </w:pPr>
            <w:r>
              <w:rPr>
                <w:color w:val="005EB8"/>
              </w:rPr>
              <w:t>2.0%</w:t>
            </w:r>
          </w:p>
        </w:tc>
      </w:tr>
      <w:tr w:rsidR="000902A0" w14:paraId="498167C8"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203A854B" w14:textId="77777777" w:rsidR="000902A0" w:rsidRDefault="000902A0" w:rsidP="004D2521">
            <w:pPr>
              <w:suppressAutoHyphens/>
              <w:rPr>
                <w:color w:val="005EB8"/>
              </w:rPr>
            </w:pPr>
            <w:r>
              <w:rPr>
                <w:color w:val="005EB8"/>
              </w:rPr>
              <w:t>Free cash flow</w:t>
            </w:r>
            <w:r>
              <w:rPr>
                <w:rStyle w:val="FootnoteReference"/>
                <w:color w:val="005EB8"/>
              </w:rPr>
              <w:t>5</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00185A3A" w14:textId="77777777" w:rsidR="000902A0" w:rsidRDefault="000902A0" w:rsidP="004D2521">
            <w:pPr>
              <w:suppressAutoHyphens/>
              <w:jc w:val="right"/>
              <w:rPr>
                <w:color w:val="005EB8"/>
              </w:rPr>
            </w:pPr>
            <w:r>
              <w:rPr>
                <w:color w:val="005EB8"/>
              </w:rPr>
              <w:t>596.3</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414A1D97" w14:textId="77777777" w:rsidR="000902A0" w:rsidRDefault="000902A0" w:rsidP="004D2521">
            <w:pPr>
              <w:suppressAutoHyphens/>
              <w:jc w:val="right"/>
              <w:rPr>
                <w:color w:val="005EB8"/>
              </w:rPr>
            </w:pPr>
            <w:r>
              <w:rPr>
                <w:color w:val="005EB8"/>
              </w:rPr>
              <w:t>541.7</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535DFE60" w14:textId="77777777" w:rsidR="000902A0" w:rsidRDefault="000902A0" w:rsidP="004D2521">
            <w:pPr>
              <w:suppressAutoHyphens/>
              <w:jc w:val="right"/>
              <w:rPr>
                <w:color w:val="005EB8"/>
              </w:rPr>
            </w:pPr>
            <w:r>
              <w:rPr>
                <w:color w:val="005EB8"/>
              </w:rPr>
              <w:t>10.1%</w:t>
            </w: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57F48C27" w14:textId="77777777" w:rsidR="000902A0" w:rsidRDefault="000902A0" w:rsidP="004D2521">
            <w:pPr>
              <w:suppressAutoHyphens/>
              <w:jc w:val="right"/>
              <w:rPr>
                <w:color w:val="005EB8"/>
              </w:rPr>
            </w:pPr>
            <w:proofErr w:type="spellStart"/>
            <w:r>
              <w:rPr>
                <w:color w:val="005EB8"/>
              </w:rPr>
              <w:t>n.a</w:t>
            </w:r>
            <w:proofErr w:type="spellEnd"/>
            <w:r>
              <w:rPr>
                <w:color w:val="005EB8"/>
              </w:rPr>
              <w:t>.</w:t>
            </w:r>
          </w:p>
        </w:tc>
        <w:tc>
          <w:tcPr>
            <w:tcW w:w="1400" w:type="dxa"/>
            <w:shd w:val="clear" w:color="auto" w:fill="EEECE1"/>
            <w:noWrap/>
            <w:tcMar>
              <w:top w:w="0" w:type="dxa"/>
              <w:left w:w="108" w:type="dxa"/>
              <w:bottom w:w="0" w:type="dxa"/>
              <w:right w:w="108" w:type="dxa"/>
            </w:tcMar>
            <w:vAlign w:val="center"/>
            <w:hideMark/>
          </w:tcPr>
          <w:p w14:paraId="5BB1A7DB" w14:textId="77777777" w:rsidR="000902A0" w:rsidRDefault="000902A0" w:rsidP="004D2521">
            <w:pPr>
              <w:suppressAutoHyphens/>
              <w:jc w:val="right"/>
              <w:rPr>
                <w:color w:val="005EB8"/>
              </w:rPr>
            </w:pPr>
            <w:proofErr w:type="spellStart"/>
            <w:r>
              <w:rPr>
                <w:color w:val="005EB8"/>
              </w:rPr>
              <w:t>n.a</w:t>
            </w:r>
            <w:proofErr w:type="spellEnd"/>
            <w:r>
              <w:rPr>
                <w:color w:val="005EB8"/>
              </w:rPr>
              <w:t>.</w:t>
            </w:r>
          </w:p>
        </w:tc>
      </w:tr>
      <w:tr w:rsidR="000902A0" w14:paraId="5A6A73EF" w14:textId="77777777" w:rsidTr="000902A0">
        <w:trPr>
          <w:trHeight w:hRule="exact" w:val="11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tcPr>
          <w:p w14:paraId="04773ABA" w14:textId="77777777" w:rsidR="000902A0" w:rsidRDefault="000902A0" w:rsidP="004D2521">
            <w:pPr>
              <w:suppressAutoHyphens/>
              <w:rPr>
                <w:color w:val="005EB8"/>
              </w:rPr>
            </w:pP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tcPr>
          <w:p w14:paraId="6D14A797" w14:textId="77777777" w:rsidR="000902A0" w:rsidRDefault="000902A0" w:rsidP="004D2521">
            <w:pPr>
              <w:suppressAutoHyphens/>
              <w:jc w:val="right"/>
              <w:rPr>
                <w:color w:val="005EB8"/>
              </w:rPr>
            </w:pPr>
          </w:p>
        </w:tc>
        <w:tc>
          <w:tcPr>
            <w:tcW w:w="1400" w:type="dxa"/>
            <w:tcBorders>
              <w:top w:val="nil"/>
              <w:left w:val="nil"/>
              <w:bottom w:val="nil"/>
              <w:right w:val="single" w:sz="8" w:space="0" w:color="FFFFFF"/>
            </w:tcBorders>
            <w:tcMar>
              <w:top w:w="0" w:type="dxa"/>
              <w:left w:w="108" w:type="dxa"/>
              <w:bottom w:w="0" w:type="dxa"/>
              <w:right w:w="108" w:type="dxa"/>
            </w:tcMar>
            <w:vAlign w:val="center"/>
          </w:tcPr>
          <w:p w14:paraId="4C6E4AA2" w14:textId="77777777" w:rsidR="000902A0" w:rsidRDefault="000902A0" w:rsidP="004D2521">
            <w:pPr>
              <w:suppressAutoHyphens/>
              <w:jc w:val="right"/>
              <w:rPr>
                <w:color w:val="005EB8"/>
              </w:rPr>
            </w:pP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tcPr>
          <w:p w14:paraId="3E320F94" w14:textId="77777777" w:rsidR="000902A0" w:rsidRDefault="000902A0" w:rsidP="004D2521">
            <w:pPr>
              <w:suppressAutoHyphens/>
              <w:jc w:val="right"/>
              <w:rPr>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218C7BBB" w14:textId="77777777" w:rsidR="000902A0" w:rsidRDefault="000902A0" w:rsidP="004D2521">
            <w:pPr>
              <w:suppressAutoHyphens/>
              <w:jc w:val="right"/>
              <w:rPr>
                <w:color w:val="005EB8"/>
              </w:rPr>
            </w:pPr>
          </w:p>
        </w:tc>
        <w:tc>
          <w:tcPr>
            <w:tcW w:w="1400" w:type="dxa"/>
            <w:shd w:val="clear" w:color="auto" w:fill="EEECE1"/>
            <w:noWrap/>
            <w:tcMar>
              <w:top w:w="0" w:type="dxa"/>
              <w:left w:w="108" w:type="dxa"/>
              <w:bottom w:w="0" w:type="dxa"/>
              <w:right w:w="108" w:type="dxa"/>
            </w:tcMar>
            <w:vAlign w:val="center"/>
          </w:tcPr>
          <w:p w14:paraId="25737C0B" w14:textId="77777777" w:rsidR="000902A0" w:rsidRDefault="000902A0" w:rsidP="004D2521">
            <w:pPr>
              <w:suppressAutoHyphens/>
              <w:jc w:val="right"/>
              <w:rPr>
                <w:color w:val="005EB8"/>
              </w:rPr>
            </w:pPr>
          </w:p>
        </w:tc>
      </w:tr>
      <w:tr w:rsidR="000902A0" w14:paraId="4E4C4C91" w14:textId="77777777" w:rsidTr="000902A0">
        <w:trPr>
          <w:trHeight w:val="397"/>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40EE6BAB" w14:textId="77777777" w:rsidR="000902A0" w:rsidRDefault="000902A0" w:rsidP="004D2521">
            <w:pPr>
              <w:suppressAutoHyphens/>
            </w:pPr>
            <w:r>
              <w:t> </w:t>
            </w:r>
          </w:p>
        </w:tc>
        <w:tc>
          <w:tcPr>
            <w:tcW w:w="1400" w:type="dxa"/>
            <w:tcBorders>
              <w:top w:val="nil"/>
              <w:left w:val="nil"/>
              <w:bottom w:val="nil"/>
              <w:right w:val="single" w:sz="8" w:space="0" w:color="FFFFFF"/>
            </w:tcBorders>
            <w:shd w:val="clear" w:color="auto" w:fill="1F497D"/>
            <w:tcMar>
              <w:top w:w="0" w:type="dxa"/>
              <w:left w:w="108" w:type="dxa"/>
              <w:bottom w:w="0" w:type="dxa"/>
              <w:right w:w="108" w:type="dxa"/>
            </w:tcMar>
            <w:vAlign w:val="center"/>
            <w:hideMark/>
          </w:tcPr>
          <w:p w14:paraId="15A562C7" w14:textId="77777777" w:rsidR="000902A0" w:rsidRDefault="000902A0" w:rsidP="004D2521">
            <w:pPr>
              <w:suppressAutoHyphens/>
              <w:jc w:val="center"/>
              <w:rPr>
                <w:b/>
                <w:bCs/>
                <w:color w:val="FFFFFF"/>
                <w:spacing w:val="-10"/>
              </w:rPr>
            </w:pPr>
            <w:r>
              <w:rPr>
                <w:b/>
                <w:bCs/>
                <w:color w:val="FFFFFF"/>
                <w:spacing w:val="-10"/>
              </w:rPr>
              <w:t>31/12/2014</w:t>
            </w:r>
          </w:p>
        </w:tc>
        <w:tc>
          <w:tcPr>
            <w:tcW w:w="1400" w:type="dxa"/>
            <w:tcBorders>
              <w:top w:val="nil"/>
              <w:left w:val="nil"/>
              <w:bottom w:val="nil"/>
              <w:right w:val="single" w:sz="8" w:space="0" w:color="FFFFFF"/>
            </w:tcBorders>
            <w:shd w:val="clear" w:color="auto" w:fill="1F497D"/>
            <w:tcMar>
              <w:top w:w="0" w:type="dxa"/>
              <w:left w:w="108" w:type="dxa"/>
              <w:bottom w:w="0" w:type="dxa"/>
              <w:right w:w="108" w:type="dxa"/>
            </w:tcMar>
            <w:vAlign w:val="center"/>
            <w:hideMark/>
          </w:tcPr>
          <w:p w14:paraId="04CB361A" w14:textId="77777777" w:rsidR="000902A0" w:rsidRDefault="000902A0" w:rsidP="004D2521">
            <w:pPr>
              <w:suppressAutoHyphens/>
              <w:jc w:val="center"/>
              <w:rPr>
                <w:b/>
                <w:bCs/>
                <w:color w:val="FFFFFF"/>
                <w:spacing w:val="-10"/>
              </w:rPr>
            </w:pPr>
            <w:r>
              <w:rPr>
                <w:b/>
                <w:bCs/>
                <w:color w:val="FFFFFF"/>
                <w:spacing w:val="-10"/>
              </w:rPr>
              <w:t>31/12/2013</w:t>
            </w:r>
          </w:p>
        </w:tc>
        <w:tc>
          <w:tcPr>
            <w:tcW w:w="1394" w:type="dxa"/>
            <w:tcBorders>
              <w:top w:val="nil"/>
              <w:left w:val="nil"/>
              <w:bottom w:val="nil"/>
              <w:right w:val="single" w:sz="8" w:space="0" w:color="FFFFFF"/>
            </w:tcBorders>
            <w:shd w:val="clear" w:color="auto" w:fill="1F497D"/>
            <w:tcMar>
              <w:top w:w="0" w:type="dxa"/>
              <w:left w:w="108" w:type="dxa"/>
              <w:bottom w:w="0" w:type="dxa"/>
              <w:right w:w="108" w:type="dxa"/>
            </w:tcMar>
            <w:vAlign w:val="center"/>
            <w:hideMark/>
          </w:tcPr>
          <w:p w14:paraId="02E733B4" w14:textId="77777777" w:rsidR="000902A0" w:rsidRDefault="000902A0" w:rsidP="004D2521">
            <w:pPr>
              <w:suppressAutoHyphens/>
              <w:jc w:val="center"/>
              <w:rPr>
                <w:b/>
                <w:bCs/>
                <w:color w:val="FFFFFF"/>
              </w:rPr>
            </w:pPr>
            <w:r>
              <w:rPr>
                <w:b/>
                <w:bCs/>
                <w:color w:val="FFFFFF"/>
              </w:rPr>
              <w:t>% Change</w:t>
            </w:r>
          </w:p>
        </w:tc>
        <w:tc>
          <w:tcPr>
            <w:tcW w:w="1400" w:type="dxa"/>
            <w:tcBorders>
              <w:top w:val="nil"/>
              <w:left w:val="nil"/>
              <w:bottom w:val="nil"/>
              <w:right w:val="single" w:sz="8" w:space="0" w:color="FFFFFF"/>
            </w:tcBorders>
            <w:shd w:val="clear" w:color="auto" w:fill="1F497D"/>
            <w:noWrap/>
            <w:tcMar>
              <w:top w:w="0" w:type="dxa"/>
              <w:left w:w="108" w:type="dxa"/>
              <w:bottom w:w="0" w:type="dxa"/>
              <w:right w:w="108" w:type="dxa"/>
            </w:tcMar>
            <w:vAlign w:val="center"/>
            <w:hideMark/>
          </w:tcPr>
          <w:p w14:paraId="7AB732F7" w14:textId="77777777" w:rsidR="000902A0" w:rsidRDefault="000902A0" w:rsidP="004D2521">
            <w:pPr>
              <w:suppressAutoHyphens/>
              <w:rPr>
                <w:b/>
                <w:bCs/>
                <w:color w:val="FFFFFF"/>
              </w:rPr>
            </w:pPr>
          </w:p>
        </w:tc>
        <w:tc>
          <w:tcPr>
            <w:tcW w:w="1400" w:type="dxa"/>
            <w:shd w:val="clear" w:color="auto" w:fill="1F497D"/>
            <w:noWrap/>
            <w:tcMar>
              <w:top w:w="0" w:type="dxa"/>
              <w:left w:w="108" w:type="dxa"/>
              <w:bottom w:w="0" w:type="dxa"/>
              <w:right w:w="108" w:type="dxa"/>
            </w:tcMar>
            <w:vAlign w:val="center"/>
            <w:hideMark/>
          </w:tcPr>
          <w:p w14:paraId="612B1EDF" w14:textId="77777777" w:rsidR="000902A0" w:rsidRDefault="000902A0" w:rsidP="004D2521">
            <w:pPr>
              <w:suppressAutoHyphens/>
              <w:rPr>
                <w:rFonts w:ascii="Times New Roman" w:eastAsia="Times New Roman" w:hAnsi="Times New Roman"/>
                <w:sz w:val="20"/>
                <w:szCs w:val="20"/>
              </w:rPr>
            </w:pPr>
          </w:p>
        </w:tc>
      </w:tr>
      <w:tr w:rsidR="000902A0" w14:paraId="0FF6EEB0"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602244AB" w14:textId="77777777" w:rsidR="000902A0" w:rsidRDefault="000902A0" w:rsidP="004D2521">
            <w:pPr>
              <w:suppressAutoHyphens/>
              <w:rPr>
                <w:rFonts w:ascii="Calibri" w:hAnsi="Calibri"/>
                <w:b/>
                <w:bCs/>
                <w:color w:val="005EB8"/>
                <w:u w:val="single"/>
              </w:rPr>
            </w:pPr>
            <w:r>
              <w:rPr>
                <w:b/>
                <w:bCs/>
                <w:color w:val="005EB8"/>
                <w:u w:val="single"/>
              </w:rPr>
              <w:t>Indebtedness</w:t>
            </w:r>
            <w:r>
              <w:rPr>
                <w:rStyle w:val="FootnoteReference"/>
                <w:b/>
                <w:bCs/>
                <w:color w:val="005EB8"/>
              </w:rPr>
              <w:t>6</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1DB146D7" w14:textId="77777777" w:rsidR="000902A0" w:rsidRDefault="000902A0" w:rsidP="004D2521">
            <w:pPr>
              <w:suppressAutoHyphens/>
              <w:rPr>
                <w:color w:val="005EB8"/>
              </w:rPr>
            </w:pPr>
            <w:r>
              <w:rPr>
                <w:color w:val="005EB8"/>
              </w:rPr>
              <w:t> </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34F75D1B" w14:textId="77777777" w:rsidR="000902A0" w:rsidRDefault="000902A0" w:rsidP="004D2521">
            <w:pPr>
              <w:suppressAutoHyphens/>
              <w:rPr>
                <w:color w:val="005EB8"/>
              </w:rPr>
            </w:pPr>
            <w:r>
              <w:rPr>
                <w:color w:val="005EB8"/>
              </w:rPr>
              <w:t> </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tcPr>
          <w:p w14:paraId="10BB94BA" w14:textId="77777777" w:rsidR="000902A0" w:rsidRDefault="000902A0" w:rsidP="004D2521">
            <w:pPr>
              <w:suppressAutoHyphens/>
              <w:jc w:val="right"/>
              <w:rPr>
                <w:color w:val="005EB8"/>
              </w:rPr>
            </w:pPr>
          </w:p>
        </w:tc>
        <w:tc>
          <w:tcPr>
            <w:tcW w:w="1400" w:type="dxa"/>
            <w:tcBorders>
              <w:top w:val="nil"/>
              <w:left w:val="nil"/>
              <w:bottom w:val="nil"/>
              <w:right w:val="single" w:sz="8" w:space="0" w:color="FFFFFF"/>
            </w:tcBorders>
            <w:noWrap/>
            <w:tcMar>
              <w:top w:w="0" w:type="dxa"/>
              <w:left w:w="108" w:type="dxa"/>
              <w:bottom w:w="0" w:type="dxa"/>
              <w:right w:w="108" w:type="dxa"/>
            </w:tcMar>
            <w:vAlign w:val="center"/>
            <w:hideMark/>
          </w:tcPr>
          <w:p w14:paraId="074554BA" w14:textId="77777777" w:rsidR="000902A0" w:rsidRDefault="000902A0" w:rsidP="004D2521">
            <w:pPr>
              <w:suppressAutoHyphens/>
              <w:rPr>
                <w:color w:val="005EB8"/>
              </w:rPr>
            </w:pPr>
            <w:r>
              <w:rPr>
                <w:color w:val="005EB8"/>
              </w:rPr>
              <w:t> </w:t>
            </w:r>
          </w:p>
        </w:tc>
        <w:tc>
          <w:tcPr>
            <w:tcW w:w="1400" w:type="dxa"/>
            <w:shd w:val="clear" w:color="auto" w:fill="EEECE1"/>
            <w:noWrap/>
            <w:tcMar>
              <w:top w:w="0" w:type="dxa"/>
              <w:left w:w="108" w:type="dxa"/>
              <w:bottom w:w="0" w:type="dxa"/>
              <w:right w:w="108" w:type="dxa"/>
            </w:tcMar>
            <w:vAlign w:val="center"/>
            <w:hideMark/>
          </w:tcPr>
          <w:p w14:paraId="09D01D0B" w14:textId="77777777" w:rsidR="000902A0" w:rsidRDefault="000902A0" w:rsidP="004D2521">
            <w:pPr>
              <w:suppressAutoHyphens/>
              <w:jc w:val="right"/>
              <w:rPr>
                <w:color w:val="005EB8"/>
              </w:rPr>
            </w:pPr>
            <w:r>
              <w:rPr>
                <w:color w:val="005EB8"/>
              </w:rPr>
              <w:t> </w:t>
            </w:r>
          </w:p>
        </w:tc>
      </w:tr>
      <w:tr w:rsidR="000902A0" w14:paraId="1E1C0695" w14:textId="77777777" w:rsidTr="000902A0">
        <w:trPr>
          <w:trHeight w:val="283"/>
        </w:trPr>
        <w:tc>
          <w:tcPr>
            <w:tcW w:w="3206" w:type="dxa"/>
            <w:tcBorders>
              <w:top w:val="nil"/>
              <w:left w:val="nil"/>
              <w:bottom w:val="nil"/>
              <w:right w:val="single" w:sz="8" w:space="0" w:color="FFFFFF"/>
            </w:tcBorders>
            <w:shd w:val="clear" w:color="auto" w:fill="FFFFFF"/>
            <w:noWrap/>
            <w:tcMar>
              <w:top w:w="0" w:type="dxa"/>
              <w:left w:w="108" w:type="dxa"/>
              <w:bottom w:w="0" w:type="dxa"/>
              <w:right w:w="108" w:type="dxa"/>
            </w:tcMar>
            <w:vAlign w:val="center"/>
            <w:hideMark/>
          </w:tcPr>
          <w:p w14:paraId="0F2F988D" w14:textId="77777777" w:rsidR="000902A0" w:rsidRDefault="000902A0" w:rsidP="004D2521">
            <w:pPr>
              <w:suppressAutoHyphens/>
              <w:rPr>
                <w:b/>
                <w:bCs/>
                <w:color w:val="005EB8"/>
              </w:rPr>
            </w:pPr>
            <w:r>
              <w:rPr>
                <w:b/>
                <w:bCs/>
                <w:color w:val="005EB8"/>
              </w:rPr>
              <w:t>Covenant Net Financial Debt</w:t>
            </w:r>
          </w:p>
        </w:tc>
        <w:tc>
          <w:tcPr>
            <w:tcW w:w="1400" w:type="dxa"/>
            <w:tcBorders>
              <w:top w:val="nil"/>
              <w:left w:val="nil"/>
              <w:bottom w:val="nil"/>
              <w:right w:val="single" w:sz="8" w:space="0" w:color="FFFFFF"/>
            </w:tcBorders>
            <w:shd w:val="clear" w:color="auto" w:fill="EEECE1"/>
            <w:tcMar>
              <w:top w:w="0" w:type="dxa"/>
              <w:left w:w="108" w:type="dxa"/>
              <w:bottom w:w="0" w:type="dxa"/>
              <w:right w:w="108" w:type="dxa"/>
            </w:tcMar>
            <w:vAlign w:val="center"/>
            <w:hideMark/>
          </w:tcPr>
          <w:p w14:paraId="2FFC1F0F" w14:textId="77777777" w:rsidR="000902A0" w:rsidRDefault="000902A0" w:rsidP="004D2521">
            <w:pPr>
              <w:suppressAutoHyphens/>
              <w:jc w:val="right"/>
              <w:rPr>
                <w:b/>
                <w:bCs/>
                <w:color w:val="005EB8"/>
              </w:rPr>
            </w:pPr>
            <w:r>
              <w:rPr>
                <w:b/>
                <w:bCs/>
                <w:color w:val="005EB8"/>
              </w:rPr>
              <w:t>1,738.5</w:t>
            </w:r>
          </w:p>
        </w:tc>
        <w:tc>
          <w:tcPr>
            <w:tcW w:w="1400" w:type="dxa"/>
            <w:tcBorders>
              <w:top w:val="nil"/>
              <w:left w:val="nil"/>
              <w:bottom w:val="nil"/>
              <w:right w:val="single" w:sz="8" w:space="0" w:color="FFFFFF"/>
            </w:tcBorders>
            <w:tcMar>
              <w:top w:w="0" w:type="dxa"/>
              <w:left w:w="108" w:type="dxa"/>
              <w:bottom w:w="0" w:type="dxa"/>
              <w:right w:w="108" w:type="dxa"/>
            </w:tcMar>
            <w:vAlign w:val="center"/>
            <w:hideMark/>
          </w:tcPr>
          <w:p w14:paraId="76404103" w14:textId="77777777" w:rsidR="000902A0" w:rsidRDefault="000902A0" w:rsidP="004D2521">
            <w:pPr>
              <w:suppressAutoHyphens/>
              <w:jc w:val="right"/>
              <w:rPr>
                <w:b/>
                <w:bCs/>
                <w:color w:val="005EB8"/>
              </w:rPr>
            </w:pPr>
            <w:r>
              <w:rPr>
                <w:b/>
                <w:bCs/>
                <w:color w:val="005EB8"/>
              </w:rPr>
              <w:t>1,210.7</w:t>
            </w:r>
          </w:p>
        </w:tc>
        <w:tc>
          <w:tcPr>
            <w:tcW w:w="1394" w:type="dxa"/>
            <w:tcBorders>
              <w:top w:val="nil"/>
              <w:left w:val="nil"/>
              <w:bottom w:val="nil"/>
              <w:right w:val="single" w:sz="8" w:space="0" w:color="FFFFFF"/>
            </w:tcBorders>
            <w:shd w:val="clear" w:color="auto" w:fill="EEECE1"/>
            <w:tcMar>
              <w:top w:w="0" w:type="dxa"/>
              <w:left w:w="108" w:type="dxa"/>
              <w:bottom w:w="0" w:type="dxa"/>
              <w:right w:w="108" w:type="dxa"/>
            </w:tcMar>
            <w:hideMark/>
          </w:tcPr>
          <w:p w14:paraId="1A0B03A2" w14:textId="77777777" w:rsidR="000902A0" w:rsidRDefault="000902A0" w:rsidP="004D2521">
            <w:pPr>
              <w:suppressAutoHyphens/>
              <w:jc w:val="right"/>
              <w:rPr>
                <w:b/>
                <w:bCs/>
                <w:color w:val="005EB8"/>
              </w:rPr>
            </w:pPr>
            <w:r>
              <w:rPr>
                <w:b/>
                <w:bCs/>
                <w:color w:val="005EB8"/>
              </w:rPr>
              <w:t>43.6%</w:t>
            </w:r>
          </w:p>
        </w:tc>
        <w:tc>
          <w:tcPr>
            <w:tcW w:w="1400" w:type="dxa"/>
            <w:tcBorders>
              <w:top w:val="nil"/>
              <w:left w:val="nil"/>
              <w:bottom w:val="nil"/>
              <w:right w:val="single" w:sz="8" w:space="0" w:color="FFFFFF"/>
            </w:tcBorders>
            <w:noWrap/>
            <w:tcMar>
              <w:top w:w="0" w:type="dxa"/>
              <w:left w:w="108" w:type="dxa"/>
              <w:bottom w:w="0" w:type="dxa"/>
              <w:right w:w="108" w:type="dxa"/>
            </w:tcMar>
            <w:vAlign w:val="center"/>
          </w:tcPr>
          <w:p w14:paraId="339714ED" w14:textId="77777777" w:rsidR="000902A0" w:rsidRDefault="000902A0" w:rsidP="004D2521">
            <w:pPr>
              <w:suppressAutoHyphens/>
              <w:jc w:val="right"/>
              <w:rPr>
                <w:b/>
                <w:bCs/>
                <w:color w:val="005EB8"/>
              </w:rPr>
            </w:pPr>
          </w:p>
        </w:tc>
        <w:tc>
          <w:tcPr>
            <w:tcW w:w="1400" w:type="dxa"/>
            <w:shd w:val="clear" w:color="auto" w:fill="EEECE1"/>
            <w:noWrap/>
            <w:tcMar>
              <w:top w:w="0" w:type="dxa"/>
              <w:left w:w="108" w:type="dxa"/>
              <w:bottom w:w="0" w:type="dxa"/>
              <w:right w:w="108" w:type="dxa"/>
            </w:tcMar>
            <w:vAlign w:val="center"/>
          </w:tcPr>
          <w:p w14:paraId="460A8EFB" w14:textId="77777777" w:rsidR="000902A0" w:rsidRDefault="000902A0" w:rsidP="004D2521">
            <w:pPr>
              <w:suppressAutoHyphens/>
              <w:jc w:val="right"/>
              <w:rPr>
                <w:b/>
                <w:bCs/>
                <w:color w:val="005EB8"/>
              </w:rPr>
            </w:pPr>
          </w:p>
        </w:tc>
      </w:tr>
      <w:tr w:rsidR="000902A0" w14:paraId="429C61A8" w14:textId="77777777" w:rsidTr="000902A0">
        <w:trPr>
          <w:trHeight w:val="283"/>
        </w:trPr>
        <w:tc>
          <w:tcPr>
            <w:tcW w:w="3206" w:type="dxa"/>
            <w:tcBorders>
              <w:top w:val="nil"/>
              <w:left w:val="nil"/>
              <w:bottom w:val="double" w:sz="4" w:space="0" w:color="4F81BD"/>
              <w:right w:val="single" w:sz="8" w:space="0" w:color="FFFFFF"/>
            </w:tcBorders>
            <w:shd w:val="clear" w:color="auto" w:fill="FFFFFF"/>
            <w:noWrap/>
            <w:tcMar>
              <w:top w:w="0" w:type="dxa"/>
              <w:left w:w="108" w:type="dxa"/>
              <w:bottom w:w="0" w:type="dxa"/>
              <w:right w:w="108" w:type="dxa"/>
            </w:tcMar>
            <w:vAlign w:val="center"/>
            <w:hideMark/>
          </w:tcPr>
          <w:p w14:paraId="34353BF9" w14:textId="77777777" w:rsidR="000902A0" w:rsidRDefault="000902A0" w:rsidP="004D2521">
            <w:pPr>
              <w:suppressAutoHyphens/>
              <w:rPr>
                <w:color w:val="005EB8"/>
              </w:rPr>
            </w:pPr>
            <w:r>
              <w:rPr>
                <w:color w:val="005EB8"/>
              </w:rPr>
              <w:t>Covenant Net Financial Debt / LTM Covenant EBITDA</w:t>
            </w:r>
          </w:p>
        </w:tc>
        <w:tc>
          <w:tcPr>
            <w:tcW w:w="1400" w:type="dxa"/>
            <w:tcBorders>
              <w:top w:val="nil"/>
              <w:left w:val="nil"/>
              <w:bottom w:val="double" w:sz="4" w:space="0" w:color="4F81BD"/>
              <w:right w:val="single" w:sz="8" w:space="0" w:color="FFFFFF"/>
            </w:tcBorders>
            <w:shd w:val="clear" w:color="auto" w:fill="EEECE1"/>
            <w:tcMar>
              <w:top w:w="0" w:type="dxa"/>
              <w:left w:w="108" w:type="dxa"/>
              <w:bottom w:w="0" w:type="dxa"/>
              <w:right w:w="108" w:type="dxa"/>
            </w:tcMar>
            <w:vAlign w:val="center"/>
            <w:hideMark/>
          </w:tcPr>
          <w:p w14:paraId="794AA1FC" w14:textId="77777777" w:rsidR="000902A0" w:rsidRDefault="000902A0" w:rsidP="004D2521">
            <w:pPr>
              <w:suppressAutoHyphens/>
              <w:jc w:val="right"/>
              <w:rPr>
                <w:color w:val="005EB8"/>
              </w:rPr>
            </w:pPr>
            <w:r>
              <w:rPr>
                <w:color w:val="005EB8"/>
              </w:rPr>
              <w:t>1.32x</w:t>
            </w:r>
          </w:p>
        </w:tc>
        <w:tc>
          <w:tcPr>
            <w:tcW w:w="1400" w:type="dxa"/>
            <w:tcBorders>
              <w:top w:val="nil"/>
              <w:left w:val="nil"/>
              <w:bottom w:val="double" w:sz="4" w:space="0" w:color="4F81BD"/>
              <w:right w:val="single" w:sz="8" w:space="0" w:color="FFFFFF"/>
            </w:tcBorders>
            <w:tcMar>
              <w:top w:w="0" w:type="dxa"/>
              <w:left w:w="108" w:type="dxa"/>
              <w:bottom w:w="0" w:type="dxa"/>
              <w:right w:w="108" w:type="dxa"/>
            </w:tcMar>
            <w:vAlign w:val="center"/>
            <w:hideMark/>
          </w:tcPr>
          <w:p w14:paraId="3F353B48" w14:textId="77777777" w:rsidR="000902A0" w:rsidRDefault="000902A0" w:rsidP="004D2521">
            <w:pPr>
              <w:suppressAutoHyphens/>
              <w:jc w:val="right"/>
              <w:rPr>
                <w:color w:val="005EB8"/>
              </w:rPr>
            </w:pPr>
            <w:r>
              <w:rPr>
                <w:color w:val="005EB8"/>
              </w:rPr>
              <w:t>1.01x</w:t>
            </w:r>
          </w:p>
        </w:tc>
        <w:tc>
          <w:tcPr>
            <w:tcW w:w="1394" w:type="dxa"/>
            <w:tcBorders>
              <w:top w:val="nil"/>
              <w:left w:val="nil"/>
              <w:bottom w:val="double" w:sz="4" w:space="0" w:color="4F81BD"/>
              <w:right w:val="single" w:sz="8" w:space="0" w:color="FFFFFF"/>
            </w:tcBorders>
            <w:shd w:val="clear" w:color="auto" w:fill="EEECE1"/>
            <w:tcMar>
              <w:top w:w="0" w:type="dxa"/>
              <w:left w:w="108" w:type="dxa"/>
              <w:bottom w:w="0" w:type="dxa"/>
              <w:right w:w="108" w:type="dxa"/>
            </w:tcMar>
          </w:tcPr>
          <w:p w14:paraId="78300102" w14:textId="77777777" w:rsidR="000902A0" w:rsidRDefault="000902A0" w:rsidP="004D2521">
            <w:pPr>
              <w:suppressAutoHyphens/>
              <w:jc w:val="right"/>
              <w:rPr>
                <w:color w:val="005EB8"/>
              </w:rPr>
            </w:pPr>
          </w:p>
        </w:tc>
        <w:tc>
          <w:tcPr>
            <w:tcW w:w="1400" w:type="dxa"/>
            <w:tcBorders>
              <w:top w:val="nil"/>
              <w:left w:val="nil"/>
              <w:bottom w:val="double" w:sz="4" w:space="0" w:color="4F81BD"/>
              <w:right w:val="single" w:sz="8" w:space="0" w:color="FFFFFF"/>
            </w:tcBorders>
            <w:noWrap/>
            <w:tcMar>
              <w:top w:w="0" w:type="dxa"/>
              <w:left w:w="108" w:type="dxa"/>
              <w:bottom w:w="0" w:type="dxa"/>
              <w:right w:w="108" w:type="dxa"/>
            </w:tcMar>
            <w:vAlign w:val="center"/>
          </w:tcPr>
          <w:p w14:paraId="64A3B158" w14:textId="77777777" w:rsidR="000902A0" w:rsidRDefault="000902A0" w:rsidP="004D2521">
            <w:pPr>
              <w:suppressAutoHyphens/>
              <w:jc w:val="right"/>
              <w:rPr>
                <w:color w:val="005EB8"/>
              </w:rPr>
            </w:pPr>
          </w:p>
        </w:tc>
        <w:tc>
          <w:tcPr>
            <w:tcW w:w="1400" w:type="dxa"/>
            <w:tcBorders>
              <w:top w:val="nil"/>
              <w:left w:val="nil"/>
              <w:bottom w:val="double" w:sz="4" w:space="0" w:color="4F81BD"/>
              <w:right w:val="nil"/>
            </w:tcBorders>
            <w:shd w:val="clear" w:color="auto" w:fill="EEECE1"/>
            <w:noWrap/>
            <w:tcMar>
              <w:top w:w="0" w:type="dxa"/>
              <w:left w:w="108" w:type="dxa"/>
              <w:bottom w:w="0" w:type="dxa"/>
              <w:right w:w="108" w:type="dxa"/>
            </w:tcMar>
            <w:vAlign w:val="center"/>
          </w:tcPr>
          <w:p w14:paraId="76D7747A" w14:textId="77777777" w:rsidR="000902A0" w:rsidRDefault="000902A0" w:rsidP="004D2521">
            <w:pPr>
              <w:suppressAutoHyphens/>
              <w:jc w:val="right"/>
              <w:rPr>
                <w:color w:val="005EB8"/>
              </w:rPr>
            </w:pPr>
          </w:p>
        </w:tc>
      </w:tr>
    </w:tbl>
    <w:p w14:paraId="045B5542" w14:textId="77777777" w:rsidR="000902A0" w:rsidRDefault="000902A0" w:rsidP="004D2521">
      <w:pPr>
        <w:suppressAutoHyphens/>
        <w:jc w:val="both"/>
        <w:rPr>
          <w:sz w:val="16"/>
          <w:szCs w:val="16"/>
        </w:rPr>
      </w:pPr>
    </w:p>
    <w:p w14:paraId="3EE275AE" w14:textId="77777777" w:rsidR="000902A0" w:rsidRDefault="000902A0" w:rsidP="004D2521">
      <w:pPr>
        <w:pStyle w:val="ListParagraph"/>
        <w:numPr>
          <w:ilvl w:val="0"/>
          <w:numId w:val="21"/>
        </w:numPr>
        <w:suppressAutoHyphens/>
        <w:spacing w:after="160"/>
        <w:jc w:val="both"/>
        <w:rPr>
          <w:sz w:val="16"/>
          <w:szCs w:val="16"/>
        </w:rPr>
      </w:pPr>
      <w:r>
        <w:rPr>
          <w:sz w:val="16"/>
          <w:szCs w:val="16"/>
        </w:rPr>
        <w:t>For comparability purposes, we have excluded the Newmarket, UFIS and i</w:t>
      </w:r>
      <w:proofErr w:type="gramStart"/>
      <w:r>
        <w:rPr>
          <w:sz w:val="16"/>
          <w:szCs w:val="16"/>
        </w:rPr>
        <w:t>:FAO</w:t>
      </w:r>
      <w:proofErr w:type="gramEnd"/>
      <w:r>
        <w:rPr>
          <w:sz w:val="16"/>
          <w:szCs w:val="16"/>
        </w:rPr>
        <w:t xml:space="preserve"> results. The “% Change (excl. M&amp;A)” column above shows the comparable growth, excluding the impact from these acquisitions. </w:t>
      </w:r>
    </w:p>
    <w:p w14:paraId="10C9709A" w14:textId="1D01D4F3" w:rsidR="000902A0" w:rsidRDefault="000902A0" w:rsidP="004D2521">
      <w:pPr>
        <w:pStyle w:val="ListParagraph"/>
        <w:numPr>
          <w:ilvl w:val="0"/>
          <w:numId w:val="21"/>
        </w:numPr>
        <w:suppressAutoHyphens/>
        <w:jc w:val="both"/>
        <w:rPr>
          <w:sz w:val="16"/>
          <w:szCs w:val="16"/>
        </w:rPr>
      </w:pPr>
      <w:r>
        <w:rPr>
          <w:sz w:val="16"/>
          <w:szCs w:val="16"/>
        </w:rPr>
        <w:t xml:space="preserve">The revenue and contribution of the IT Solutions business (including M&amp;A) are impacted by the accounting effects derived from the PPA exercises undertaken in Q4 2014 related to the consolidation of Newmarket and UFIS in Amadeus. Such effects, amounting to €10.1 million, negatively impact the group revenue, group contribution and EBITDA (including M&amp;A). Figures excluding M&amp;A are not impacted by these effects. </w:t>
      </w:r>
    </w:p>
    <w:p w14:paraId="1AF17600" w14:textId="77777777" w:rsidR="000902A0" w:rsidRDefault="000902A0" w:rsidP="004D2521">
      <w:pPr>
        <w:pStyle w:val="ListParagraph"/>
        <w:numPr>
          <w:ilvl w:val="0"/>
          <w:numId w:val="21"/>
        </w:numPr>
        <w:suppressAutoHyphens/>
        <w:spacing w:after="160"/>
        <w:jc w:val="both"/>
        <w:rPr>
          <w:sz w:val="16"/>
          <w:szCs w:val="16"/>
        </w:rPr>
      </w:pPr>
      <w:r>
        <w:rPr>
          <w:sz w:val="16"/>
          <w:szCs w:val="16"/>
        </w:rPr>
        <w:t>Excluding after-tax impact of the following items: (</w:t>
      </w:r>
      <w:proofErr w:type="spellStart"/>
      <w:r>
        <w:rPr>
          <w:sz w:val="16"/>
          <w:szCs w:val="16"/>
        </w:rPr>
        <w:t>i</w:t>
      </w:r>
      <w:proofErr w:type="spellEnd"/>
      <w:r>
        <w:rPr>
          <w:sz w:val="16"/>
          <w:szCs w:val="16"/>
        </w:rPr>
        <w:t>) accounting effects derived from PPA exercises and impairment losses, (ii) changes in fair value of financial instruments and non-operating exchange gains (losses) and (iii) other non-recurring items.</w:t>
      </w:r>
    </w:p>
    <w:p w14:paraId="3C489E5D" w14:textId="77777777" w:rsidR="000902A0" w:rsidRDefault="000902A0" w:rsidP="004D2521">
      <w:pPr>
        <w:pStyle w:val="ListParagraph"/>
        <w:numPr>
          <w:ilvl w:val="0"/>
          <w:numId w:val="21"/>
        </w:numPr>
        <w:suppressAutoHyphens/>
        <w:spacing w:after="160"/>
        <w:jc w:val="both"/>
        <w:rPr>
          <w:sz w:val="16"/>
          <w:szCs w:val="16"/>
        </w:rPr>
      </w:pPr>
      <w:r>
        <w:rPr>
          <w:sz w:val="16"/>
          <w:szCs w:val="16"/>
        </w:rPr>
        <w:t xml:space="preserve">EPS corresponding to the Adjusted profit attributable to the parent company. Calculated based on weighted average outstanding shares of the period. </w:t>
      </w:r>
    </w:p>
    <w:p w14:paraId="0F6E1238" w14:textId="77777777" w:rsidR="0061030B" w:rsidRDefault="000902A0" w:rsidP="004D2521">
      <w:pPr>
        <w:pStyle w:val="ListParagraph"/>
        <w:numPr>
          <w:ilvl w:val="0"/>
          <w:numId w:val="21"/>
        </w:numPr>
        <w:suppressAutoHyphens/>
        <w:jc w:val="both"/>
        <w:rPr>
          <w:sz w:val="16"/>
          <w:szCs w:val="16"/>
        </w:rPr>
      </w:pPr>
      <w:r>
        <w:rPr>
          <w:sz w:val="16"/>
          <w:szCs w:val="16"/>
        </w:rPr>
        <w:t xml:space="preserve">Calculated as EBITDA less capital expenditure plus changes in operating working capital less taxes paid less interests and financial fees paid. </w:t>
      </w:r>
    </w:p>
    <w:p w14:paraId="48F030BF" w14:textId="6A5328C2" w:rsidR="000902A0" w:rsidRDefault="000902A0" w:rsidP="004D2521">
      <w:pPr>
        <w:pStyle w:val="ListParagraph"/>
        <w:numPr>
          <w:ilvl w:val="0"/>
          <w:numId w:val="21"/>
        </w:numPr>
        <w:suppressAutoHyphens/>
        <w:jc w:val="both"/>
        <w:rPr>
          <w:sz w:val="16"/>
          <w:szCs w:val="16"/>
        </w:rPr>
      </w:pPr>
      <w:r>
        <w:rPr>
          <w:sz w:val="16"/>
          <w:szCs w:val="16"/>
        </w:rPr>
        <w:t>Based on the definition included in the senior credit agreement covenants. Covenant net financial debt at December 31, 2014 includes debt amounting to €288.8 million relating to the share buy-back programme announced on December 11, 2014.</w:t>
      </w:r>
    </w:p>
    <w:p w14:paraId="418AFCDB" w14:textId="77777777" w:rsidR="000902A0" w:rsidRDefault="000902A0" w:rsidP="004D2521">
      <w:pPr>
        <w:suppressAutoHyphens/>
        <w:rPr>
          <w:sz w:val="22"/>
          <w:szCs w:val="22"/>
          <w:lang w:val="en-US"/>
        </w:rPr>
      </w:pPr>
    </w:p>
    <w:p w14:paraId="0C1345DD" w14:textId="77777777" w:rsidR="000902A0" w:rsidRDefault="000902A0" w:rsidP="004D2521">
      <w:pPr>
        <w:suppressAutoHyphens/>
      </w:pPr>
    </w:p>
    <w:p w14:paraId="1D8A53AA" w14:textId="77777777" w:rsidR="00EC0C1C" w:rsidRDefault="00EC0C1C" w:rsidP="004D2521">
      <w:pPr>
        <w:pStyle w:val="Heading3"/>
        <w:suppressAutoHyphens/>
      </w:pPr>
      <w:r>
        <w:t>Notes to the editors:</w:t>
      </w:r>
    </w:p>
    <w:p w14:paraId="5EB8665D" w14:textId="77777777" w:rsidR="00B417B4" w:rsidRDefault="00B417B4" w:rsidP="004D2521">
      <w:pPr>
        <w:suppressAutoHyphens/>
      </w:pPr>
    </w:p>
    <w:p w14:paraId="633BF42C" w14:textId="77777777" w:rsidR="00376A4F" w:rsidRPr="00376A4F" w:rsidRDefault="00376A4F" w:rsidP="004D2521">
      <w:pPr>
        <w:suppressAutoHyphens/>
      </w:pPr>
      <w:r w:rsidRPr="00376A4F">
        <w:t>Amadeus is a leading provider of advanced technology solutions for the global travel industry. Customer groups include travel providers (e.g. airlines, hotels, rail and ferry operators, etc.), travel sellers (travel agencies and websites), and travel buyers (corporations and travel management companies).</w:t>
      </w:r>
    </w:p>
    <w:p w14:paraId="0E131587" w14:textId="77777777" w:rsidR="00376A4F" w:rsidRPr="00376A4F" w:rsidRDefault="00376A4F" w:rsidP="004D2521">
      <w:pPr>
        <w:suppressAutoHyphens/>
      </w:pPr>
    </w:p>
    <w:p w14:paraId="0D2D91D8" w14:textId="77777777" w:rsidR="00376A4F" w:rsidRPr="00376A4F" w:rsidRDefault="00376A4F" w:rsidP="004D2521">
      <w:pPr>
        <w:suppressAutoHyphens/>
      </w:pPr>
      <w:r w:rsidRPr="00376A4F">
        <w:t xml:space="preserve">The Amadeus group employs around 10,000 people worldwide, across central sites in Madrid (corporate headquarters), Nice (development) and </w:t>
      </w:r>
      <w:proofErr w:type="spellStart"/>
      <w:r w:rsidRPr="00376A4F">
        <w:t>Erding</w:t>
      </w:r>
      <w:proofErr w:type="spellEnd"/>
      <w:r w:rsidRPr="00376A4F">
        <w:t xml:space="preserve"> (operations), as well as 71 local Amadeus Commercial Organisations globally.</w:t>
      </w:r>
    </w:p>
    <w:p w14:paraId="2840CEFB" w14:textId="77777777" w:rsidR="00376A4F" w:rsidRPr="00376A4F" w:rsidRDefault="00376A4F" w:rsidP="004D2521">
      <w:pPr>
        <w:suppressAutoHyphens/>
      </w:pPr>
    </w:p>
    <w:p w14:paraId="59513FE9" w14:textId="77777777" w:rsidR="00376A4F" w:rsidRPr="00376A4F" w:rsidRDefault="00376A4F" w:rsidP="004D2521">
      <w:pPr>
        <w:suppressAutoHyphens/>
      </w:pPr>
      <w:r w:rsidRPr="00376A4F">
        <w:t>The group operates a transaction-based business model.</w:t>
      </w:r>
    </w:p>
    <w:p w14:paraId="1D0DA77C" w14:textId="77777777" w:rsidR="00376A4F" w:rsidRPr="00376A4F" w:rsidRDefault="00376A4F" w:rsidP="004D2521">
      <w:pPr>
        <w:suppressAutoHyphens/>
      </w:pPr>
    </w:p>
    <w:p w14:paraId="2FDF11B8" w14:textId="77777777" w:rsidR="00376A4F" w:rsidRPr="00376A4F" w:rsidRDefault="00376A4F" w:rsidP="004D2521">
      <w:pPr>
        <w:suppressAutoHyphens/>
      </w:pPr>
      <w:r w:rsidRPr="00376A4F">
        <w:t>Amadeus is listed on the Spanish Stock Exchange under the symbol “AMS.MC” and is a component of the IBEX 35 index.</w:t>
      </w:r>
    </w:p>
    <w:p w14:paraId="1BB7993C" w14:textId="77777777" w:rsidR="00376A4F" w:rsidRPr="00376A4F" w:rsidRDefault="00376A4F" w:rsidP="004D2521">
      <w:pPr>
        <w:suppressAutoHyphens/>
      </w:pPr>
    </w:p>
    <w:p w14:paraId="6D7E6105" w14:textId="77777777" w:rsidR="00376A4F" w:rsidRPr="00376A4F" w:rsidRDefault="00376A4F" w:rsidP="004D2521">
      <w:pPr>
        <w:suppressAutoHyphens/>
      </w:pPr>
      <w:r w:rsidRPr="00376A4F">
        <w:t xml:space="preserve">To find out more about Amadeus please visit </w:t>
      </w:r>
      <w:hyperlink r:id="rId9" w:history="1">
        <w:r w:rsidRPr="00376A4F">
          <w:rPr>
            <w:rStyle w:val="Hyperlink"/>
          </w:rPr>
          <w:t>www.amadeus.com</w:t>
        </w:r>
      </w:hyperlink>
      <w:r w:rsidRPr="00376A4F">
        <w:rPr>
          <w:lang w:val="en-US"/>
        </w:rPr>
        <w:t xml:space="preserve">, and </w:t>
      </w:r>
      <w:hyperlink r:id="rId10" w:history="1">
        <w:r w:rsidRPr="00376A4F">
          <w:rPr>
            <w:rStyle w:val="Hyperlink"/>
            <w:lang w:val="en-US"/>
          </w:rPr>
          <w:t>www.amadeus.com/blog</w:t>
        </w:r>
      </w:hyperlink>
      <w:r w:rsidRPr="00376A4F">
        <w:rPr>
          <w:lang w:val="en-US"/>
        </w:rPr>
        <w:t xml:space="preserve"> for more on the travel industry.</w:t>
      </w:r>
    </w:p>
    <w:p w14:paraId="245CEEEF" w14:textId="77777777" w:rsidR="00376A4F" w:rsidRPr="00376A4F" w:rsidRDefault="00376A4F" w:rsidP="004D2521">
      <w:pPr>
        <w:suppressAutoHyphens/>
        <w:rPr>
          <w:lang w:val="en-US"/>
        </w:rPr>
      </w:pPr>
    </w:p>
    <w:p w14:paraId="1C4712E1" w14:textId="77777777" w:rsidR="00376A4F" w:rsidRPr="00376A4F" w:rsidRDefault="00376A4F" w:rsidP="004D2521">
      <w:pPr>
        <w:suppressAutoHyphens/>
        <w:rPr>
          <w:lang w:val="en-US"/>
        </w:rPr>
      </w:pPr>
      <w:r w:rsidRPr="00376A4F">
        <w:rPr>
          <w:lang w:val="en-US"/>
        </w:rPr>
        <w:t xml:space="preserve">Follow us on: </w:t>
      </w:r>
      <w:r w:rsidRPr="00376A4F">
        <w:rPr>
          <w:b/>
          <w:bCs/>
          <w:noProof/>
          <w:lang w:val="en-US"/>
        </w:rPr>
        <w:drawing>
          <wp:inline distT="0" distB="0" distL="0" distR="0" wp14:anchorId="44FFAD54" wp14:editId="1FA93A72">
            <wp:extent cx="142875" cy="142875"/>
            <wp:effectExtent l="0" t="0" r="9525" b="9525"/>
            <wp:docPr id="11" name="Picture 11" descr="http://blogamadeus.com/wp-content/themes/jupiter/images/social_black/facebook.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logamadeus.com/wp-content/themes/jupiter/images/social_black/faceboo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3A33F378" wp14:editId="76100414">
            <wp:extent cx="142875" cy="142875"/>
            <wp:effectExtent l="0" t="0" r="9525" b="9525"/>
            <wp:docPr id="12" name="Picture 12" descr="http://blogamadeus.com/wp-content/themes/jupiter/images/social_black/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logamadeus.com/wp-content/themes/jupiter/images/social_black/twitte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5F796A06" wp14:editId="4FE564A3">
            <wp:extent cx="142875" cy="142875"/>
            <wp:effectExtent l="0" t="0" r="9525" b="9525"/>
            <wp:docPr id="17" name="Picture 17" descr="http://blogamadeus.com/wp-content/themes/jupiter/images/social_black/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logamadeus.com/wp-content/themes/jupiter/images/social_black/linkedi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2E528FBE" wp14:editId="30612D4A">
            <wp:extent cx="142875" cy="142875"/>
            <wp:effectExtent l="0" t="0" r="9525" b="9525"/>
            <wp:docPr id="18" name="Picture 18" descr="http://blogamadeus.com/wp-content/themes/jupiter/images/social_black/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blogamadeus.com/wp-content/themes/jupiter/images/social_black/youtub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1B132B61" wp14:editId="4973E441">
            <wp:extent cx="142875" cy="142875"/>
            <wp:effectExtent l="0" t="0" r="9525" b="9525"/>
            <wp:docPr id="13" name="Picture 13" descr="http://blogamadeus.com/wp-content/themes/jupiter/images/social_black/rss.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logamadeus.com/wp-content/themes/jupiter/images/social_black/rs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7E087E68" wp14:editId="26E65218">
            <wp:extent cx="142875" cy="142875"/>
            <wp:effectExtent l="0" t="0" r="9525" b="9525"/>
            <wp:docPr id="16" name="Picture 16" descr="http://blogamadeus.com/wp-content/themes/jupiter/images/social_black/google.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logamadeus.com/wp-content/themes/jupiter/images/social_black/googl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76A4F">
        <w:rPr>
          <w:lang w:val="en-US"/>
        </w:rPr>
        <w:t xml:space="preserve"> </w:t>
      </w:r>
      <w:r w:rsidRPr="00376A4F">
        <w:rPr>
          <w:b/>
          <w:bCs/>
          <w:noProof/>
          <w:lang w:val="en-US"/>
        </w:rPr>
        <w:drawing>
          <wp:inline distT="0" distB="0" distL="0" distR="0" wp14:anchorId="6CE8355D" wp14:editId="2354180A">
            <wp:extent cx="142875" cy="142875"/>
            <wp:effectExtent l="0" t="0" r="9525" b="9525"/>
            <wp:docPr id="20" name="Picture 20" descr="http://blogamadeus.com/wp-content/themes/jupiter/images/social_black/pinterest.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logamadeus.com/wp-content/themes/jupiter/images/social_black/pinteres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6DAC0339" w14:textId="77777777" w:rsidR="00EC0C1C" w:rsidRPr="00376A4F" w:rsidRDefault="00EC0C1C" w:rsidP="004D2521">
      <w:pPr>
        <w:suppressAutoHyphens/>
        <w:rPr>
          <w:lang w:val="en-US"/>
        </w:rPr>
      </w:pPr>
    </w:p>
    <w:p w14:paraId="7B049877" w14:textId="77777777" w:rsidR="00EC0C1C" w:rsidRDefault="00EC0C1C" w:rsidP="004D2521">
      <w:pPr>
        <w:pStyle w:val="Heading3"/>
        <w:suppressAutoHyphens/>
      </w:pPr>
      <w:r>
        <w:t>Contact details:</w:t>
      </w:r>
    </w:p>
    <w:p w14:paraId="7A5A09AF" w14:textId="77777777" w:rsidR="00B417B4" w:rsidRDefault="00B417B4" w:rsidP="004D2521">
      <w:pPr>
        <w:suppressAutoHyphens/>
      </w:pPr>
    </w:p>
    <w:p w14:paraId="6B327389" w14:textId="77777777" w:rsidR="00EC0C1C" w:rsidRPr="00B417B4" w:rsidRDefault="00B417B4" w:rsidP="004D2521">
      <w:pPr>
        <w:suppressAutoHyphens/>
        <w:rPr>
          <w:rFonts w:eastAsia="Times New Roman" w:cs="Times New Roman"/>
          <w:b/>
          <w:bCs/>
          <w:color w:val="005EB8"/>
          <w:lang w:eastAsia="en-GB"/>
        </w:rPr>
      </w:pPr>
      <w:r w:rsidRPr="00B417B4">
        <w:rPr>
          <w:rFonts w:eastAsia="Times New Roman" w:cs="Times New Roman"/>
          <w:b/>
          <w:bCs/>
          <w:color w:val="005EB8"/>
          <w:lang w:eastAsia="en-GB"/>
        </w:rPr>
        <w:t>Amadeus</w:t>
      </w:r>
      <w:r w:rsidR="005D461E">
        <w:rPr>
          <w:rFonts w:eastAsia="Times New Roman" w:cs="Times New Roman"/>
          <w:b/>
          <w:bCs/>
          <w:color w:val="005EB8"/>
          <w:lang w:eastAsia="en-GB"/>
        </w:rPr>
        <w:t xml:space="preserve"> IT Group</w:t>
      </w:r>
    </w:p>
    <w:p w14:paraId="09873D71" w14:textId="3A832DF8" w:rsidR="00EC0C1C" w:rsidRPr="00A62DFA" w:rsidRDefault="00386AE2" w:rsidP="004D2521">
      <w:pPr>
        <w:suppressAutoHyphens/>
        <w:rPr>
          <w:lang w:val="en-US"/>
        </w:rPr>
      </w:pPr>
      <w:r>
        <w:rPr>
          <w:lang w:val="en-US"/>
        </w:rPr>
        <w:t xml:space="preserve">Malek </w:t>
      </w:r>
      <w:proofErr w:type="spellStart"/>
      <w:r>
        <w:rPr>
          <w:lang w:val="en-US"/>
        </w:rPr>
        <w:t>Nejjai</w:t>
      </w:r>
      <w:proofErr w:type="spellEnd"/>
    </w:p>
    <w:p w14:paraId="244CD678" w14:textId="41D1D35B" w:rsidR="00EC0C1C" w:rsidRPr="00376A4F" w:rsidRDefault="00B417B4" w:rsidP="004D2521">
      <w:pPr>
        <w:suppressAutoHyphens/>
        <w:rPr>
          <w:lang w:val="en-US"/>
        </w:rPr>
      </w:pPr>
      <w:r w:rsidRPr="00376A4F">
        <w:rPr>
          <w:lang w:val="en-US"/>
        </w:rPr>
        <w:t xml:space="preserve">Tel.: +34 91 </w:t>
      </w:r>
      <w:r w:rsidR="00386AE2">
        <w:rPr>
          <w:lang w:val="en-US"/>
        </w:rPr>
        <w:t>582 0160</w:t>
      </w:r>
    </w:p>
    <w:p w14:paraId="32CC78D6" w14:textId="068B92A9" w:rsidR="00EC0C1C" w:rsidRPr="00B4209E" w:rsidRDefault="00386AE2" w:rsidP="004D2521">
      <w:pPr>
        <w:suppressAutoHyphens/>
        <w:rPr>
          <w:lang w:val="en-US"/>
        </w:rPr>
      </w:pPr>
      <w:r>
        <w:rPr>
          <w:lang w:val="en-US"/>
        </w:rPr>
        <w:t>mnejjai</w:t>
      </w:r>
      <w:r w:rsidR="00B417B4" w:rsidRPr="00B4209E">
        <w:rPr>
          <w:lang w:val="en-US"/>
        </w:rPr>
        <w:t>@amadeus.com</w:t>
      </w:r>
    </w:p>
    <w:p w14:paraId="694468E8" w14:textId="77777777" w:rsidR="00EC0C1C" w:rsidRPr="00B4209E" w:rsidRDefault="00EC0C1C" w:rsidP="004D2521">
      <w:pPr>
        <w:suppressAutoHyphens/>
        <w:rPr>
          <w:lang w:val="en-US"/>
        </w:rPr>
      </w:pPr>
    </w:p>
    <w:p w14:paraId="00796AD8" w14:textId="77777777" w:rsidR="00EC0C1C" w:rsidRPr="00B4209E" w:rsidRDefault="00EC0C1C" w:rsidP="004D2521">
      <w:pPr>
        <w:suppressAutoHyphens/>
        <w:rPr>
          <w:lang w:val="en-US"/>
        </w:rPr>
      </w:pPr>
    </w:p>
    <w:p w14:paraId="4D049CC9" w14:textId="77777777" w:rsidR="001C3856" w:rsidRPr="00B4209E" w:rsidRDefault="001C3856" w:rsidP="004D2521">
      <w:pPr>
        <w:suppressAutoHyphens/>
        <w:rPr>
          <w:lang w:val="en-US"/>
        </w:rPr>
      </w:pPr>
    </w:p>
    <w:sectPr w:rsidR="001C3856" w:rsidRPr="00B4209E" w:rsidSect="00AC1DE2">
      <w:headerReference w:type="default" r:id="rId25"/>
      <w:footerReference w:type="even" r:id="rId26"/>
      <w:footerReference w:type="default" r:id="rId27"/>
      <w:pgSz w:w="11906" w:h="16838" w:code="9"/>
      <w:pgMar w:top="2694" w:right="851" w:bottom="993" w:left="851"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8687" w14:textId="77777777" w:rsidR="005A1E5E" w:rsidRDefault="005A1E5E" w:rsidP="009E4B94">
      <w:pPr>
        <w:spacing w:line="240" w:lineRule="auto"/>
      </w:pPr>
      <w:r>
        <w:separator/>
      </w:r>
    </w:p>
  </w:endnote>
  <w:endnote w:type="continuationSeparator" w:id="0">
    <w:p w14:paraId="532F61D0" w14:textId="77777777" w:rsidR="005A1E5E" w:rsidRDefault="005A1E5E" w:rsidP="009E4B94">
      <w:pPr>
        <w:spacing w:line="240" w:lineRule="auto"/>
      </w:pPr>
      <w:r>
        <w:continuationSeparator/>
      </w:r>
    </w:p>
  </w:endnote>
  <w:endnote w:id="1">
    <w:p w14:paraId="707FA83B" w14:textId="6278538C" w:rsidR="00E238E7" w:rsidRPr="00265E24" w:rsidRDefault="00E238E7" w:rsidP="00DD10EE">
      <w:pPr>
        <w:pStyle w:val="FootnoteText"/>
      </w:pPr>
      <w:r>
        <w:rPr>
          <w:rStyle w:val="EndnoteReference"/>
        </w:rPr>
        <w:endnoteRef/>
      </w:r>
      <w:r>
        <w:t xml:space="preserve"> </w:t>
      </w:r>
      <w:r w:rsidRPr="00FC7428">
        <w:t xml:space="preserve">Passengers Boarded (PB): actual passengers boarded onto flights operated by airlines using at least the Amadeus </w:t>
      </w:r>
      <w:proofErr w:type="spellStart"/>
      <w:r w:rsidRPr="00FC7428">
        <w:t>Altéa</w:t>
      </w:r>
      <w:proofErr w:type="spellEnd"/>
      <w:r w:rsidRPr="00FC7428">
        <w:t xml:space="preserve"> Reservation and Inventory modules. A PB is the key metric for charging in the Amadeus IT transactional revenue business line.</w:t>
      </w:r>
      <w:r>
        <w:rPr>
          <w:szCs w:val="16"/>
        </w:rPr>
        <w:t xml:space="preserve"> </w:t>
      </w:r>
      <w:r>
        <w:t xml:space="preserve"> </w:t>
      </w:r>
    </w:p>
    <w:p w14:paraId="7A970FCF" w14:textId="59571471" w:rsidR="00E238E7" w:rsidRPr="00E20A99" w:rsidRDefault="00E238E7" w:rsidP="00DD10EE">
      <w:pPr>
        <w:pStyle w:val="EndnoteText"/>
        <w:rPr>
          <w:lang w:val="en-US"/>
        </w:rPr>
      </w:pPr>
    </w:p>
  </w:endnote>
  <w:endnote w:id="2">
    <w:p w14:paraId="3F121320" w14:textId="3BE36B8B" w:rsidR="00E238E7" w:rsidRPr="00E20A99" w:rsidRDefault="00E238E7">
      <w:pPr>
        <w:pStyle w:val="EndnoteText"/>
        <w:rPr>
          <w:lang w:val="en-US"/>
        </w:rPr>
      </w:pPr>
      <w:r>
        <w:rPr>
          <w:rStyle w:val="EndnoteReference"/>
        </w:rPr>
        <w:endnoteRef/>
      </w:r>
      <w:r>
        <w:t xml:space="preserve"> 2017 estimated annual Passengers Boarded calculated by applying IATA’s regional air traffic growth projections to the latest available annual Passengers Boarded figures, based on public sources or internal information (if already on our platform).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55E0" w14:textId="77777777" w:rsidR="00E238E7" w:rsidRDefault="00E238E7" w:rsidP="00682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A448D8" w14:textId="77777777" w:rsidR="00E238E7" w:rsidRDefault="00E23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161FA" w14:textId="77777777" w:rsidR="00E238E7" w:rsidRDefault="00E238E7" w:rsidP="00682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3D58">
      <w:rPr>
        <w:rStyle w:val="PageNumber"/>
        <w:noProof/>
      </w:rPr>
      <w:t>6</w:t>
    </w:r>
    <w:r>
      <w:rPr>
        <w:rStyle w:val="PageNumber"/>
      </w:rPr>
      <w:fldChar w:fldCharType="end"/>
    </w:r>
  </w:p>
  <w:sdt>
    <w:sdtPr>
      <w:id w:val="849376318"/>
      <w:docPartObj>
        <w:docPartGallery w:val="Page Numbers (Bottom of Page)"/>
        <w:docPartUnique/>
      </w:docPartObj>
    </w:sdtPr>
    <w:sdtEndPr>
      <w:rPr>
        <w:noProof/>
      </w:rPr>
    </w:sdtEndPr>
    <w:sdtContent>
      <w:p w14:paraId="2FD8978D" w14:textId="05A44B16" w:rsidR="00E238E7" w:rsidRDefault="005A1E5E">
        <w:pPr>
          <w:pStyle w:val="Footer"/>
          <w:jc w:val="center"/>
        </w:pPr>
      </w:p>
    </w:sdtContent>
  </w:sdt>
  <w:p w14:paraId="233ACCFF" w14:textId="77777777" w:rsidR="00E238E7" w:rsidRDefault="00E238E7" w:rsidP="00631856">
    <w:pPr>
      <w:pStyle w:val="Footer"/>
      <w:tabs>
        <w:tab w:val="clear" w:pos="4819"/>
        <w:tab w:val="clear" w:pos="9638"/>
        <w:tab w:val="left" w:pos="35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3F6EA" w14:textId="77777777" w:rsidR="005A1E5E" w:rsidRDefault="005A1E5E" w:rsidP="009E4B94">
      <w:pPr>
        <w:spacing w:line="240" w:lineRule="auto"/>
      </w:pPr>
      <w:r>
        <w:separator/>
      </w:r>
    </w:p>
  </w:footnote>
  <w:footnote w:type="continuationSeparator" w:id="0">
    <w:p w14:paraId="4B7A5A3C" w14:textId="77777777" w:rsidR="005A1E5E" w:rsidRDefault="005A1E5E"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C9CE" w14:textId="77777777" w:rsidR="00E238E7" w:rsidRDefault="00E238E7">
    <w:pPr>
      <w:pStyle w:val="Header"/>
    </w:pPr>
    <w:r>
      <w:rPr>
        <w:noProof/>
        <w:lang w:val="en-US"/>
      </w:rPr>
      <w:drawing>
        <wp:anchor distT="0" distB="0" distL="114300" distR="114300" simplePos="0" relativeHeight="251670528" behindDoc="0" locked="0" layoutInCell="1" allowOverlap="1" wp14:anchorId="1DAE0161" wp14:editId="3777B61D">
          <wp:simplePos x="0" y="0"/>
          <wp:positionH relativeFrom="column">
            <wp:posOffset>4961255</wp:posOffset>
          </wp:positionH>
          <wp:positionV relativeFrom="paragraph">
            <wp:posOffset>173355</wp:posOffset>
          </wp:positionV>
          <wp:extent cx="1563130" cy="20752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AMADEUS_POS_CMYK.wmf"/>
                  <pic:cNvPicPr/>
                </pic:nvPicPr>
                <pic:blipFill>
                  <a:blip r:embed="rId1">
                    <a:extLst>
                      <a:ext uri="{28A0092B-C50C-407E-A947-70E740481C1C}">
                        <a14:useLocalDpi xmlns:a14="http://schemas.microsoft.com/office/drawing/2010/main" val="0"/>
                      </a:ext>
                    </a:extLst>
                  </a:blip>
                  <a:stretch>
                    <a:fillRect/>
                  </a:stretch>
                </pic:blipFill>
                <pic:spPr>
                  <a:xfrm>
                    <a:off x="0" y="0"/>
                    <a:ext cx="1563130" cy="207522"/>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6924224" wp14:editId="34001D1F">
              <wp:simplePos x="0" y="0"/>
              <wp:positionH relativeFrom="page">
                <wp:posOffset>215900</wp:posOffset>
              </wp:positionH>
              <wp:positionV relativeFrom="page">
                <wp:posOffset>4112927</wp:posOffset>
              </wp:positionV>
              <wp:extent cx="162000" cy="5313600"/>
              <wp:effectExtent l="0" t="0" r="9525" b="1905"/>
              <wp:wrapNone/>
              <wp:docPr id="1" name="Text Box 1"/>
              <wp:cNvGraphicFramePr/>
              <a:graphic xmlns:a="http://schemas.openxmlformats.org/drawingml/2006/main">
                <a:graphicData uri="http://schemas.microsoft.com/office/word/2010/wordprocessingShape">
                  <wps:wsp>
                    <wps:cNvSpPr txBox="1"/>
                    <wps:spPr>
                      <a:xfrm>
                        <a:off x="0" y="0"/>
                        <a:ext cx="162000" cy="531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E238E7" w14:paraId="125046F4" w14:textId="77777777" w:rsidTr="00554A54">
                            <w:trPr>
                              <w:cantSplit/>
                              <w:trHeight w:val="8360"/>
                            </w:trPr>
                            <w:tc>
                              <w:tcPr>
                                <w:tcW w:w="238" w:type="dxa"/>
                                <w:textDirection w:val="btLr"/>
                              </w:tcPr>
                              <w:p w14:paraId="0369F107" w14:textId="77777777" w:rsidR="00E238E7" w:rsidRDefault="00E238E7" w:rsidP="009E586D">
                                <w:pPr>
                                  <w:pStyle w:val="Template-Legaltext"/>
                                </w:pPr>
                                <w:r w:rsidRPr="009E586D">
                                  <w:t xml:space="preserve">© </w:t>
                                </w:r>
                                <w:r>
                                  <w:fldChar w:fldCharType="begin"/>
                                </w:r>
                                <w:r>
                                  <w:instrText xml:space="preserve"> CREATEDATE  \@ "yyyy" </w:instrText>
                                </w:r>
                                <w:r>
                                  <w:fldChar w:fldCharType="separate"/>
                                </w:r>
                                <w:r w:rsidR="004D2521">
                                  <w:t>2015</w:t>
                                </w:r>
                                <w:r>
                                  <w:fldChar w:fldCharType="end"/>
                                </w:r>
                                <w:r w:rsidRPr="009E586D">
                                  <w:t xml:space="preserve"> Amadeus IT Group SA</w:t>
                                </w:r>
                              </w:p>
                            </w:tc>
                          </w:tr>
                        </w:tbl>
                        <w:p w14:paraId="2CBEB4F7" w14:textId="77777777" w:rsidR="00E238E7" w:rsidRDefault="00E238E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24224" id="_x0000_t202" coordsize="21600,21600" o:spt="202" path="m,l,21600r21600,l21600,xe">
              <v:stroke joinstyle="miter"/>
              <v:path gradientshapeok="t" o:connecttype="rect"/>
            </v:shapetype>
            <v:shape id="Text Box 1" o:spid="_x0000_s1026" type="#_x0000_t202" style="position:absolute;margin-left:17pt;margin-top:323.85pt;width:12.75pt;height:418.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" filled="f" stroked="f" strokeweight=".5pt">
              <v:textbox inset="0,0,0,0">
                <w:txbxContent>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238"/>
                    </w:tblGrid>
                    <w:tr w:rsidR="00E238E7" w14:paraId="125046F4" w14:textId="77777777" w:rsidTr="00554A54">
                      <w:trPr>
                        <w:cantSplit/>
                        <w:trHeight w:val="8360"/>
                      </w:trPr>
                      <w:tc>
                        <w:tcPr>
                          <w:tcW w:w="238" w:type="dxa"/>
                          <w:textDirection w:val="btLr"/>
                        </w:tcPr>
                        <w:p w14:paraId="0369F107" w14:textId="77777777" w:rsidR="00E238E7" w:rsidRDefault="00E238E7" w:rsidP="009E586D">
                          <w:pPr>
                            <w:pStyle w:val="Template-Legaltext"/>
                          </w:pPr>
                          <w:r w:rsidRPr="009E586D">
                            <w:t xml:space="preserve">© </w:t>
                          </w:r>
                          <w:r>
                            <w:fldChar w:fldCharType="begin"/>
                          </w:r>
                          <w:r>
                            <w:instrText xml:space="preserve"> CREATEDATE  \@ "yyyy" </w:instrText>
                          </w:r>
                          <w:r>
                            <w:fldChar w:fldCharType="separate"/>
                          </w:r>
                          <w:r w:rsidR="004D2521">
                            <w:t>2015</w:t>
                          </w:r>
                          <w:r>
                            <w:fldChar w:fldCharType="end"/>
                          </w:r>
                          <w:r w:rsidRPr="009E586D">
                            <w:t xml:space="preserve"> Amadeus IT Group SA</w:t>
                          </w:r>
                        </w:p>
                      </w:tc>
                    </w:tr>
                  </w:tbl>
                  <w:p w14:paraId="2CBEB4F7" w14:textId="77777777" w:rsidR="00E238E7" w:rsidRDefault="00E238E7"/>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691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061F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FFFFFF89"/>
    <w:multiLevelType w:val="singleLevel"/>
    <w:tmpl w:val="1B22715E"/>
    <w:lvl w:ilvl="0">
      <w:start w:val="1"/>
      <w:numFmt w:val="bullet"/>
      <w:lvlText w:val=""/>
      <w:lvlJc w:val="left"/>
      <w:pPr>
        <w:tabs>
          <w:tab w:val="num" w:pos="360"/>
        </w:tabs>
        <w:ind w:left="360" w:hanging="360"/>
      </w:pPr>
      <w:rPr>
        <w:rFonts w:ascii="Symbol" w:hAnsi="Symbol" w:hint="default"/>
      </w:rPr>
    </w:lvl>
  </w:abstractNum>
  <w:abstractNum w:abstractNumId="10">
    <w:nsid w:val="03DC3FEA"/>
    <w:multiLevelType w:val="multilevel"/>
    <w:tmpl w:val="5E7E9EE8"/>
    <w:lvl w:ilvl="0">
      <w:start w:val="1"/>
      <w:numFmt w:val="bullet"/>
      <w:pStyle w:val="TOC1"/>
      <w:lvlText w:val="_"/>
      <w:lvlJc w:val="left"/>
      <w:pPr>
        <w:ind w:left="284" w:hanging="284"/>
      </w:pPr>
      <w:rPr>
        <w:rFonts w:ascii="Verdana" w:hAnsi="Verdana" w:hint="default"/>
        <w:color w:val="00A9E0" w:themeColor="text2"/>
      </w:rPr>
    </w:lvl>
    <w:lvl w:ilvl="1">
      <w:start w:val="1"/>
      <w:numFmt w:val="bullet"/>
      <w:pStyle w:val="TOC2"/>
      <w:lvlText w:val=""/>
      <w:lvlJc w:val="left"/>
      <w:pPr>
        <w:ind w:left="454" w:hanging="170"/>
      </w:pPr>
      <w:rPr>
        <w:rFonts w:ascii="Symbol" w:hAnsi="Symbol" w:hint="default"/>
        <w:color w:val="00A9E0" w:themeColor="text2"/>
      </w:rPr>
    </w:lvl>
    <w:lvl w:ilvl="2">
      <w:start w:val="1"/>
      <w:numFmt w:val="bullet"/>
      <w:pStyle w:val="TOC3"/>
      <w:lvlText w:val=""/>
      <w:lvlJc w:val="left"/>
      <w:pPr>
        <w:ind w:left="624" w:hanging="170"/>
      </w:pPr>
      <w:rPr>
        <w:rFonts w:ascii="Symbol" w:hAnsi="Symbol" w:hint="default"/>
        <w:color w:val="00A9E0" w:themeColor="text2"/>
      </w:rPr>
    </w:lvl>
    <w:lvl w:ilvl="3">
      <w:start w:val="1"/>
      <w:numFmt w:val="bullet"/>
      <w:lvlText w:val=""/>
      <w:lvlJc w:val="left"/>
      <w:pPr>
        <w:ind w:left="794" w:hanging="170"/>
      </w:pPr>
      <w:rPr>
        <w:rFonts w:ascii="Symbol" w:hAnsi="Symbol" w:hint="default"/>
        <w:color w:val="00A9E0" w:themeColor="text2"/>
      </w:rPr>
    </w:lvl>
    <w:lvl w:ilvl="4">
      <w:start w:val="1"/>
      <w:numFmt w:val="bullet"/>
      <w:lvlText w:val=""/>
      <w:lvlJc w:val="left"/>
      <w:pPr>
        <w:ind w:left="1420" w:hanging="284"/>
      </w:pPr>
      <w:rPr>
        <w:rFonts w:ascii="Symbol" w:hAnsi="Symbol" w:hint="default"/>
        <w:color w:val="00A9E0" w:themeColor="text2"/>
      </w:rPr>
    </w:lvl>
    <w:lvl w:ilvl="5">
      <w:start w:val="1"/>
      <w:numFmt w:val="bullet"/>
      <w:lvlText w:val=""/>
      <w:lvlJc w:val="left"/>
      <w:pPr>
        <w:ind w:left="1704" w:hanging="284"/>
      </w:pPr>
      <w:rPr>
        <w:rFonts w:ascii="Symbol" w:hAnsi="Symbol" w:hint="default"/>
        <w:color w:val="00A9E0" w:themeColor="text2"/>
      </w:rPr>
    </w:lvl>
    <w:lvl w:ilvl="6">
      <w:start w:val="1"/>
      <w:numFmt w:val="bullet"/>
      <w:lvlText w:val=""/>
      <w:lvlJc w:val="left"/>
      <w:pPr>
        <w:ind w:left="1988" w:hanging="284"/>
      </w:pPr>
      <w:rPr>
        <w:rFonts w:ascii="Symbol" w:hAnsi="Symbol" w:hint="default"/>
        <w:color w:val="00A9E0" w:themeColor="text2"/>
      </w:rPr>
    </w:lvl>
    <w:lvl w:ilvl="7">
      <w:start w:val="1"/>
      <w:numFmt w:val="bullet"/>
      <w:lvlText w:val=""/>
      <w:lvlJc w:val="left"/>
      <w:pPr>
        <w:ind w:left="2272" w:hanging="284"/>
      </w:pPr>
      <w:rPr>
        <w:rFonts w:ascii="Symbol" w:hAnsi="Symbol" w:hint="default"/>
        <w:color w:val="00A9E0" w:themeColor="text2"/>
      </w:rPr>
    </w:lvl>
    <w:lvl w:ilvl="8">
      <w:start w:val="1"/>
      <w:numFmt w:val="bullet"/>
      <w:lvlText w:val=""/>
      <w:lvlJc w:val="left"/>
      <w:pPr>
        <w:ind w:left="2556" w:hanging="284"/>
      </w:pPr>
      <w:rPr>
        <w:rFonts w:ascii="Symbol" w:hAnsi="Symbol" w:hint="default"/>
        <w:color w:val="00A9E0" w:themeColor="text2"/>
      </w:rPr>
    </w:lvl>
  </w:abstractNum>
  <w:abstractNum w:abstractNumId="11">
    <w:nsid w:val="1C244ED1"/>
    <w:multiLevelType w:val="hybridMultilevel"/>
    <w:tmpl w:val="3C96C02A"/>
    <w:lvl w:ilvl="0" w:tplc="FC9A62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866E4"/>
    <w:multiLevelType w:val="hybridMultilevel"/>
    <w:tmpl w:val="19FC2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F55D37"/>
    <w:multiLevelType w:val="hybridMultilevel"/>
    <w:tmpl w:val="B0F0669C"/>
    <w:lvl w:ilvl="0" w:tplc="3DBE073A">
      <w:start w:val="1"/>
      <w:numFmt w:val="decimal"/>
      <w:lvlText w:val="%1."/>
      <w:lvlJc w:val="left"/>
      <w:pPr>
        <w:tabs>
          <w:tab w:val="num" w:pos="720"/>
        </w:tabs>
        <w:ind w:left="720" w:hanging="360"/>
      </w:pPr>
      <w:rPr>
        <w:rFonts w:hint="default"/>
      </w:rPr>
    </w:lvl>
    <w:lvl w:ilvl="1" w:tplc="6B90E262">
      <w:start w:val="1"/>
      <w:numFmt w:val="bullet"/>
      <w:lvlText w:val=""/>
      <w:lvlJc w:val="left"/>
      <w:pPr>
        <w:tabs>
          <w:tab w:val="num" w:pos="2340"/>
        </w:tabs>
        <w:ind w:left="2340" w:hanging="360"/>
      </w:pPr>
      <w:rPr>
        <w:rFonts w:ascii="Symbol" w:hAnsi="Symbol" w:hint="default"/>
        <w:b/>
        <w:i w:val="0"/>
        <w:color w:val="1A61A9"/>
        <w:sz w:val="28"/>
      </w:rPr>
    </w:lvl>
    <w:lvl w:ilvl="2" w:tplc="2CD67768">
      <w:start w:val="1"/>
      <w:numFmt w:val="bullet"/>
      <w:lvlText w:val="_"/>
      <w:lvlJc w:val="left"/>
      <w:pPr>
        <w:tabs>
          <w:tab w:val="num" w:pos="2340"/>
        </w:tabs>
        <w:ind w:left="2340" w:hanging="360"/>
      </w:pPr>
      <w:rPr>
        <w:rFonts w:ascii="Verdana" w:hAnsi="Verdana" w:hint="default"/>
        <w:b/>
        <w:i w:val="0"/>
        <w:color w:val="1A61A9"/>
        <w:sz w:val="28"/>
      </w:rPr>
    </w:lvl>
    <w:lvl w:ilvl="3" w:tplc="3A868E0A">
      <w:numFmt w:val="bullet"/>
      <w:lvlText w:val="-"/>
      <w:lvlJc w:val="left"/>
      <w:pPr>
        <w:tabs>
          <w:tab w:val="num" w:pos="2340"/>
        </w:tabs>
        <w:ind w:left="2340" w:hanging="360"/>
      </w:pPr>
      <w:rPr>
        <w:rFonts w:ascii="Arial" w:eastAsia="Times New Roman" w:hAnsi="Arial" w:cs="Aria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B1C7E10">
      <w:start w:val="1"/>
      <w:numFmt w:val="lowerRoman"/>
      <w:lvlText w:val="(%7)"/>
      <w:lvlJc w:val="left"/>
      <w:pPr>
        <w:tabs>
          <w:tab w:val="num" w:pos="5400"/>
        </w:tabs>
        <w:ind w:left="5400" w:hanging="720"/>
      </w:pPr>
      <w:rPr>
        <w:rFonts w:hint="default"/>
      </w:rPr>
    </w:lvl>
    <w:lvl w:ilvl="7" w:tplc="A40C055A">
      <w:start w:val="1"/>
      <w:numFmt w:val="decimal"/>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4">
    <w:nsid w:val="5E437D06"/>
    <w:multiLevelType w:val="hybridMultilevel"/>
    <w:tmpl w:val="C91A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0588C"/>
    <w:multiLevelType w:val="multilevel"/>
    <w:tmpl w:val="8FAC4622"/>
    <w:lvl w:ilvl="0">
      <w:start w:val="1"/>
      <w:numFmt w:val="decimal"/>
      <w:pStyle w:val="ListNumber"/>
      <w:lvlText w:val="%1."/>
      <w:lvlJc w:val="left"/>
      <w:pPr>
        <w:ind w:left="397" w:hanging="397"/>
      </w:pPr>
      <w:rPr>
        <w:rFonts w:hint="default"/>
        <w:color w:val="00A9E0" w:themeColor="text2"/>
      </w:rPr>
    </w:lvl>
    <w:lvl w:ilvl="1">
      <w:start w:val="1"/>
      <w:numFmt w:val="decimal"/>
      <w:lvlText w:val="%1.%2."/>
      <w:lvlJc w:val="left"/>
      <w:pPr>
        <w:ind w:left="1134" w:hanging="737"/>
      </w:pPr>
      <w:rPr>
        <w:rFonts w:hint="default"/>
        <w:color w:val="00A9E0" w:themeColor="text2"/>
      </w:rPr>
    </w:lvl>
    <w:lvl w:ilvl="2">
      <w:start w:val="1"/>
      <w:numFmt w:val="decimal"/>
      <w:lvlText w:val="%1.%2.%3."/>
      <w:lvlJc w:val="left"/>
      <w:pPr>
        <w:ind w:left="1871" w:hanging="737"/>
      </w:pPr>
      <w:rPr>
        <w:rFonts w:hint="default"/>
        <w:color w:val="00A9E0" w:themeColor="text2"/>
      </w:rPr>
    </w:lvl>
    <w:lvl w:ilvl="3">
      <w:start w:val="1"/>
      <w:numFmt w:val="decimal"/>
      <w:lvlText w:val="%1.%2.%3.%4."/>
      <w:lvlJc w:val="left"/>
      <w:pPr>
        <w:ind w:left="2722" w:hanging="851"/>
      </w:pPr>
      <w:rPr>
        <w:rFonts w:hint="default"/>
        <w:color w:val="00A9E0" w:themeColor="text2"/>
      </w:rPr>
    </w:lvl>
    <w:lvl w:ilvl="4">
      <w:start w:val="1"/>
      <w:numFmt w:val="decimal"/>
      <w:lvlText w:val="%1.%2.%3.%4.%5."/>
      <w:lvlJc w:val="left"/>
      <w:pPr>
        <w:tabs>
          <w:tab w:val="num" w:pos="2722"/>
        </w:tabs>
        <w:ind w:left="3799" w:hanging="1077"/>
      </w:pPr>
      <w:rPr>
        <w:rFonts w:hint="default"/>
        <w:color w:val="00A9E0" w:themeColor="text2"/>
      </w:rPr>
    </w:lvl>
    <w:lvl w:ilvl="5">
      <w:start w:val="1"/>
      <w:numFmt w:val="decimal"/>
      <w:lvlText w:val="%1.%2.%3.%4.%5.%6."/>
      <w:lvlJc w:val="left"/>
      <w:pPr>
        <w:tabs>
          <w:tab w:val="num" w:pos="2722"/>
        </w:tabs>
        <w:ind w:left="3969" w:hanging="1247"/>
      </w:pPr>
      <w:rPr>
        <w:rFonts w:hint="default"/>
        <w:color w:val="00A9E0" w:themeColor="text2"/>
      </w:rPr>
    </w:lvl>
    <w:lvl w:ilvl="6">
      <w:start w:val="1"/>
      <w:numFmt w:val="decimal"/>
      <w:lvlText w:val="%1.%2.%3.%4.%5.%6.%7."/>
      <w:lvlJc w:val="left"/>
      <w:pPr>
        <w:ind w:left="4139" w:hanging="1417"/>
      </w:pPr>
      <w:rPr>
        <w:rFonts w:hint="default"/>
        <w:color w:val="00A9E0" w:themeColor="text2"/>
      </w:rPr>
    </w:lvl>
    <w:lvl w:ilvl="7">
      <w:start w:val="1"/>
      <w:numFmt w:val="decimal"/>
      <w:lvlText w:val="%1.%2.%3.%4.%5.%6.%7.%8."/>
      <w:lvlJc w:val="left"/>
      <w:pPr>
        <w:ind w:left="4309" w:hanging="1701"/>
      </w:pPr>
      <w:rPr>
        <w:rFonts w:hint="default"/>
        <w:color w:val="00A9E0" w:themeColor="text2"/>
      </w:rPr>
    </w:lvl>
    <w:lvl w:ilvl="8">
      <w:start w:val="1"/>
      <w:numFmt w:val="decimal"/>
      <w:lvlText w:val="%1.%2.%3.%4.%5.%6.%7.%8.%9."/>
      <w:lvlJc w:val="left"/>
      <w:pPr>
        <w:ind w:left="4366" w:hanging="1758"/>
      </w:pPr>
      <w:rPr>
        <w:rFonts w:hint="default"/>
        <w:color w:val="00A9E0" w:themeColor="text2"/>
      </w:rPr>
    </w:lvl>
  </w:abstractNum>
  <w:abstractNum w:abstractNumId="16">
    <w:nsid w:val="7FB354B8"/>
    <w:multiLevelType w:val="multilevel"/>
    <w:tmpl w:val="713CA5FC"/>
    <w:lvl w:ilvl="0">
      <w:start w:val="1"/>
      <w:numFmt w:val="bullet"/>
      <w:pStyle w:val="ListBullet"/>
      <w:lvlText w:val="_"/>
      <w:lvlJc w:val="left"/>
      <w:pPr>
        <w:ind w:left="340" w:hanging="340"/>
      </w:pPr>
      <w:rPr>
        <w:rFonts w:ascii="Verdana" w:hAnsi="Verdana" w:hint="default"/>
        <w:b/>
        <w:i w:val="0"/>
        <w:color w:val="00A9E0" w:themeColor="text2"/>
      </w:rPr>
    </w:lvl>
    <w:lvl w:ilvl="1">
      <w:start w:val="1"/>
      <w:numFmt w:val="bullet"/>
      <w:pStyle w:val="ListBullet2"/>
      <w:lvlText w:val=""/>
      <w:lvlJc w:val="left"/>
      <w:pPr>
        <w:tabs>
          <w:tab w:val="num" w:pos="1077"/>
        </w:tabs>
        <w:ind w:left="907" w:hanging="340"/>
      </w:pPr>
      <w:rPr>
        <w:rFonts w:ascii="Symbol" w:hAnsi="Symbol" w:hint="default"/>
        <w:color w:val="00A9E0" w:themeColor="text2"/>
      </w:rPr>
    </w:lvl>
    <w:lvl w:ilvl="2">
      <w:start w:val="1"/>
      <w:numFmt w:val="bullet"/>
      <w:pStyle w:val="ListBullet3"/>
      <w:lvlText w:val=""/>
      <w:lvlJc w:val="left"/>
      <w:pPr>
        <w:tabs>
          <w:tab w:val="num" w:pos="1814"/>
        </w:tabs>
        <w:ind w:left="1474" w:hanging="340"/>
      </w:pPr>
      <w:rPr>
        <w:rFonts w:ascii="Symbol" w:hAnsi="Symbol" w:hint="default"/>
        <w:color w:val="00A9E0" w:themeColor="text2"/>
      </w:rPr>
    </w:lvl>
    <w:lvl w:ilvl="3">
      <w:start w:val="1"/>
      <w:numFmt w:val="bullet"/>
      <w:lvlText w:val=""/>
      <w:lvlJc w:val="left"/>
      <w:pPr>
        <w:tabs>
          <w:tab w:val="num" w:pos="1814"/>
        </w:tabs>
        <w:ind w:left="2041" w:hanging="340"/>
      </w:pPr>
      <w:rPr>
        <w:rFonts w:ascii="Symbol" w:hAnsi="Symbol" w:hint="default"/>
        <w:color w:val="00A9E0" w:themeColor="text2"/>
      </w:rPr>
    </w:lvl>
    <w:lvl w:ilvl="4">
      <w:start w:val="1"/>
      <w:numFmt w:val="bullet"/>
      <w:lvlText w:val=""/>
      <w:lvlJc w:val="left"/>
      <w:pPr>
        <w:tabs>
          <w:tab w:val="num" w:pos="1814"/>
        </w:tabs>
        <w:ind w:left="2608" w:hanging="340"/>
      </w:pPr>
      <w:rPr>
        <w:rFonts w:ascii="Symbol" w:hAnsi="Symbol" w:hint="default"/>
        <w:color w:val="00A9E0" w:themeColor="text2"/>
      </w:rPr>
    </w:lvl>
    <w:lvl w:ilvl="5">
      <w:start w:val="1"/>
      <w:numFmt w:val="bullet"/>
      <w:lvlText w:val=""/>
      <w:lvlJc w:val="left"/>
      <w:pPr>
        <w:tabs>
          <w:tab w:val="num" w:pos="1814"/>
        </w:tabs>
        <w:ind w:left="3175" w:hanging="340"/>
      </w:pPr>
      <w:rPr>
        <w:rFonts w:ascii="Symbol" w:hAnsi="Symbol" w:hint="default"/>
        <w:color w:val="00A9E0" w:themeColor="text2"/>
      </w:rPr>
    </w:lvl>
    <w:lvl w:ilvl="6">
      <w:start w:val="1"/>
      <w:numFmt w:val="bullet"/>
      <w:lvlText w:val=""/>
      <w:lvlJc w:val="left"/>
      <w:pPr>
        <w:ind w:left="3742" w:hanging="340"/>
      </w:pPr>
      <w:rPr>
        <w:rFonts w:ascii="Symbol" w:hAnsi="Symbol" w:hint="default"/>
        <w:color w:val="00A9E0" w:themeColor="text2"/>
      </w:rPr>
    </w:lvl>
    <w:lvl w:ilvl="7">
      <w:start w:val="1"/>
      <w:numFmt w:val="bullet"/>
      <w:lvlText w:val=""/>
      <w:lvlJc w:val="left"/>
      <w:pPr>
        <w:ind w:left="4309" w:hanging="340"/>
      </w:pPr>
      <w:rPr>
        <w:rFonts w:ascii="Symbol" w:hAnsi="Symbol" w:hint="default"/>
        <w:color w:val="00A9E0" w:themeColor="text2"/>
      </w:rPr>
    </w:lvl>
    <w:lvl w:ilvl="8">
      <w:start w:val="1"/>
      <w:numFmt w:val="bullet"/>
      <w:lvlText w:val=""/>
      <w:lvlJc w:val="left"/>
      <w:pPr>
        <w:ind w:left="4876" w:hanging="340"/>
      </w:pPr>
      <w:rPr>
        <w:rFonts w:ascii="Symbol" w:hAnsi="Symbol" w:hint="default"/>
        <w:color w:val="00A9E0" w:themeColor="text2"/>
      </w:rPr>
    </w:lvl>
  </w:abstractNum>
  <w:num w:numId="1">
    <w:abstractNumId w:val="16"/>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8"/>
  </w:num>
  <w:num w:numId="12">
    <w:abstractNumId w:val="15"/>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16"/>
  </w:num>
  <w:num w:numId="15">
    <w:abstractNumId w:val="9"/>
  </w:num>
  <w:num w:numId="16">
    <w:abstractNumId w:val="16"/>
  </w:num>
  <w:num w:numId="17">
    <w:abstractNumId w:val="14"/>
  </w:num>
  <w:num w:numId="18">
    <w:abstractNumId w:val="12"/>
  </w:num>
  <w:num w:numId="19">
    <w:abstractNumId w:val="13"/>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93"/>
    <w:rsid w:val="000004CF"/>
    <w:rsid w:val="00004865"/>
    <w:rsid w:val="0002013B"/>
    <w:rsid w:val="0002308B"/>
    <w:rsid w:val="000309FF"/>
    <w:rsid w:val="00033CC7"/>
    <w:rsid w:val="00037421"/>
    <w:rsid w:val="000405D6"/>
    <w:rsid w:val="0004127C"/>
    <w:rsid w:val="00043A2A"/>
    <w:rsid w:val="00043E14"/>
    <w:rsid w:val="0005023D"/>
    <w:rsid w:val="00052367"/>
    <w:rsid w:val="000540C5"/>
    <w:rsid w:val="00061986"/>
    <w:rsid w:val="00063F31"/>
    <w:rsid w:val="000671ED"/>
    <w:rsid w:val="000741FA"/>
    <w:rsid w:val="00080B80"/>
    <w:rsid w:val="000811CA"/>
    <w:rsid w:val="0008184B"/>
    <w:rsid w:val="0008232A"/>
    <w:rsid w:val="000902A0"/>
    <w:rsid w:val="00091BF9"/>
    <w:rsid w:val="00094ABD"/>
    <w:rsid w:val="0009504F"/>
    <w:rsid w:val="000A63E0"/>
    <w:rsid w:val="000B15F0"/>
    <w:rsid w:val="000B2699"/>
    <w:rsid w:val="000B4D66"/>
    <w:rsid w:val="000C1ED3"/>
    <w:rsid w:val="000C2E51"/>
    <w:rsid w:val="000C451B"/>
    <w:rsid w:val="000C6E9A"/>
    <w:rsid w:val="000D0AD5"/>
    <w:rsid w:val="000D7173"/>
    <w:rsid w:val="000F2D51"/>
    <w:rsid w:val="0010329D"/>
    <w:rsid w:val="00105394"/>
    <w:rsid w:val="00110972"/>
    <w:rsid w:val="001174A8"/>
    <w:rsid w:val="00120113"/>
    <w:rsid w:val="00127537"/>
    <w:rsid w:val="0013244F"/>
    <w:rsid w:val="001442EC"/>
    <w:rsid w:val="0014484B"/>
    <w:rsid w:val="001452BA"/>
    <w:rsid w:val="00145AED"/>
    <w:rsid w:val="00146B31"/>
    <w:rsid w:val="0014729D"/>
    <w:rsid w:val="00151609"/>
    <w:rsid w:val="0015292B"/>
    <w:rsid w:val="00160F76"/>
    <w:rsid w:val="001622FF"/>
    <w:rsid w:val="0016247C"/>
    <w:rsid w:val="001625B0"/>
    <w:rsid w:val="0016720E"/>
    <w:rsid w:val="001733A8"/>
    <w:rsid w:val="00177838"/>
    <w:rsid w:val="00182651"/>
    <w:rsid w:val="00185171"/>
    <w:rsid w:val="001904D1"/>
    <w:rsid w:val="00192219"/>
    <w:rsid w:val="001B0484"/>
    <w:rsid w:val="001B639B"/>
    <w:rsid w:val="001C318A"/>
    <w:rsid w:val="001C3856"/>
    <w:rsid w:val="001D1B37"/>
    <w:rsid w:val="001D1B8D"/>
    <w:rsid w:val="001D5FE6"/>
    <w:rsid w:val="001D6BCA"/>
    <w:rsid w:val="001E0738"/>
    <w:rsid w:val="001E2029"/>
    <w:rsid w:val="001E4F89"/>
    <w:rsid w:val="001F014E"/>
    <w:rsid w:val="001F1C3F"/>
    <w:rsid w:val="001F79E3"/>
    <w:rsid w:val="002023D6"/>
    <w:rsid w:val="00210AED"/>
    <w:rsid w:val="002120EE"/>
    <w:rsid w:val="002124DC"/>
    <w:rsid w:val="0021352A"/>
    <w:rsid w:val="0022393F"/>
    <w:rsid w:val="00226D3E"/>
    <w:rsid w:val="00226EFA"/>
    <w:rsid w:val="00231A0A"/>
    <w:rsid w:val="00235F0A"/>
    <w:rsid w:val="00244D70"/>
    <w:rsid w:val="00246E00"/>
    <w:rsid w:val="002502EA"/>
    <w:rsid w:val="00255B51"/>
    <w:rsid w:val="00263490"/>
    <w:rsid w:val="00265E24"/>
    <w:rsid w:val="0027540B"/>
    <w:rsid w:val="00275AF6"/>
    <w:rsid w:val="002812C3"/>
    <w:rsid w:val="00281453"/>
    <w:rsid w:val="00283CA7"/>
    <w:rsid w:val="0028434C"/>
    <w:rsid w:val="002843B3"/>
    <w:rsid w:val="00296F18"/>
    <w:rsid w:val="00297B4E"/>
    <w:rsid w:val="002A2396"/>
    <w:rsid w:val="002A3FDF"/>
    <w:rsid w:val="002B139E"/>
    <w:rsid w:val="002B2D8B"/>
    <w:rsid w:val="002B67FA"/>
    <w:rsid w:val="002C1840"/>
    <w:rsid w:val="002C6F2F"/>
    <w:rsid w:val="002C79B4"/>
    <w:rsid w:val="002C7C41"/>
    <w:rsid w:val="002D24AB"/>
    <w:rsid w:val="002E52FD"/>
    <w:rsid w:val="002E74A4"/>
    <w:rsid w:val="002F3D58"/>
    <w:rsid w:val="002F3E0D"/>
    <w:rsid w:val="002F6C65"/>
    <w:rsid w:val="002F7F40"/>
    <w:rsid w:val="0030374F"/>
    <w:rsid w:val="003069A3"/>
    <w:rsid w:val="00312580"/>
    <w:rsid w:val="0031653E"/>
    <w:rsid w:val="003213E5"/>
    <w:rsid w:val="00322574"/>
    <w:rsid w:val="003317BA"/>
    <w:rsid w:val="00336206"/>
    <w:rsid w:val="0033697D"/>
    <w:rsid w:val="00343423"/>
    <w:rsid w:val="003445E3"/>
    <w:rsid w:val="003455E1"/>
    <w:rsid w:val="003465CB"/>
    <w:rsid w:val="00346E71"/>
    <w:rsid w:val="00364537"/>
    <w:rsid w:val="00372CFD"/>
    <w:rsid w:val="00374A8A"/>
    <w:rsid w:val="00375DC2"/>
    <w:rsid w:val="00376A4F"/>
    <w:rsid w:val="0038472F"/>
    <w:rsid w:val="00384FF5"/>
    <w:rsid w:val="00386AE2"/>
    <w:rsid w:val="00391575"/>
    <w:rsid w:val="0039231A"/>
    <w:rsid w:val="00392AC0"/>
    <w:rsid w:val="003A222A"/>
    <w:rsid w:val="003A2D16"/>
    <w:rsid w:val="003A3B5B"/>
    <w:rsid w:val="003A6D9C"/>
    <w:rsid w:val="003A756E"/>
    <w:rsid w:val="003A7EA9"/>
    <w:rsid w:val="003B1C81"/>
    <w:rsid w:val="003B35B0"/>
    <w:rsid w:val="003B4943"/>
    <w:rsid w:val="003C27FD"/>
    <w:rsid w:val="003C4C93"/>
    <w:rsid w:val="003C60F1"/>
    <w:rsid w:val="003C7AC5"/>
    <w:rsid w:val="003D1480"/>
    <w:rsid w:val="003D2D03"/>
    <w:rsid w:val="003D3905"/>
    <w:rsid w:val="003D48AC"/>
    <w:rsid w:val="003D53DC"/>
    <w:rsid w:val="003E2650"/>
    <w:rsid w:val="003E26FA"/>
    <w:rsid w:val="003E5EDF"/>
    <w:rsid w:val="003F4F63"/>
    <w:rsid w:val="00404537"/>
    <w:rsid w:val="004123A0"/>
    <w:rsid w:val="00417DE2"/>
    <w:rsid w:val="00424709"/>
    <w:rsid w:val="00424B2F"/>
    <w:rsid w:val="0042535D"/>
    <w:rsid w:val="0042545C"/>
    <w:rsid w:val="00432ADC"/>
    <w:rsid w:val="004411DE"/>
    <w:rsid w:val="00446D84"/>
    <w:rsid w:val="00453F85"/>
    <w:rsid w:val="004605AB"/>
    <w:rsid w:val="00462179"/>
    <w:rsid w:val="00466C01"/>
    <w:rsid w:val="004726F3"/>
    <w:rsid w:val="004769F2"/>
    <w:rsid w:val="00480FC3"/>
    <w:rsid w:val="00490614"/>
    <w:rsid w:val="00491182"/>
    <w:rsid w:val="00497ECD"/>
    <w:rsid w:val="004A62A3"/>
    <w:rsid w:val="004B1F5B"/>
    <w:rsid w:val="004B4C74"/>
    <w:rsid w:val="004B675A"/>
    <w:rsid w:val="004C01B2"/>
    <w:rsid w:val="004C7450"/>
    <w:rsid w:val="004C77E6"/>
    <w:rsid w:val="004D2521"/>
    <w:rsid w:val="004D36B8"/>
    <w:rsid w:val="004D5F7D"/>
    <w:rsid w:val="004E04ED"/>
    <w:rsid w:val="004E2344"/>
    <w:rsid w:val="004E4D32"/>
    <w:rsid w:val="004E6DC8"/>
    <w:rsid w:val="004E7084"/>
    <w:rsid w:val="004F11FB"/>
    <w:rsid w:val="0050158C"/>
    <w:rsid w:val="005016A0"/>
    <w:rsid w:val="0050313C"/>
    <w:rsid w:val="0050702B"/>
    <w:rsid w:val="00516981"/>
    <w:rsid w:val="00521340"/>
    <w:rsid w:val="00524B7E"/>
    <w:rsid w:val="00526514"/>
    <w:rsid w:val="00527702"/>
    <w:rsid w:val="00537A23"/>
    <w:rsid w:val="005410F6"/>
    <w:rsid w:val="00541289"/>
    <w:rsid w:val="0055072C"/>
    <w:rsid w:val="00553197"/>
    <w:rsid w:val="00554A54"/>
    <w:rsid w:val="005605AD"/>
    <w:rsid w:val="005606FC"/>
    <w:rsid w:val="00561630"/>
    <w:rsid w:val="00567F0D"/>
    <w:rsid w:val="00570981"/>
    <w:rsid w:val="00571D13"/>
    <w:rsid w:val="00573E4A"/>
    <w:rsid w:val="005760D4"/>
    <w:rsid w:val="00586E4C"/>
    <w:rsid w:val="00594BEE"/>
    <w:rsid w:val="005A1E5E"/>
    <w:rsid w:val="005A28D4"/>
    <w:rsid w:val="005A3A95"/>
    <w:rsid w:val="005A64DB"/>
    <w:rsid w:val="005A6F3D"/>
    <w:rsid w:val="005B449A"/>
    <w:rsid w:val="005C7049"/>
    <w:rsid w:val="005C7096"/>
    <w:rsid w:val="005D461E"/>
    <w:rsid w:val="005E346E"/>
    <w:rsid w:val="005F1580"/>
    <w:rsid w:val="005F7BAC"/>
    <w:rsid w:val="006062C4"/>
    <w:rsid w:val="0061030B"/>
    <w:rsid w:val="00610A00"/>
    <w:rsid w:val="006129B9"/>
    <w:rsid w:val="00613895"/>
    <w:rsid w:val="006140A6"/>
    <w:rsid w:val="00623DF1"/>
    <w:rsid w:val="00631856"/>
    <w:rsid w:val="00635CA1"/>
    <w:rsid w:val="00636145"/>
    <w:rsid w:val="00636DE0"/>
    <w:rsid w:val="0065037D"/>
    <w:rsid w:val="00653207"/>
    <w:rsid w:val="00653E2B"/>
    <w:rsid w:val="00653FC5"/>
    <w:rsid w:val="00655B49"/>
    <w:rsid w:val="006636DA"/>
    <w:rsid w:val="00663FBD"/>
    <w:rsid w:val="006676B4"/>
    <w:rsid w:val="006708E0"/>
    <w:rsid w:val="0067501C"/>
    <w:rsid w:val="00676850"/>
    <w:rsid w:val="00676C5F"/>
    <w:rsid w:val="0068079B"/>
    <w:rsid w:val="00681D83"/>
    <w:rsid w:val="00682691"/>
    <w:rsid w:val="00684272"/>
    <w:rsid w:val="00694752"/>
    <w:rsid w:val="006A11AB"/>
    <w:rsid w:val="006B0AC7"/>
    <w:rsid w:val="006B30A9"/>
    <w:rsid w:val="006D13D3"/>
    <w:rsid w:val="006D20EB"/>
    <w:rsid w:val="006E0CDB"/>
    <w:rsid w:val="006E5C5C"/>
    <w:rsid w:val="006E74E1"/>
    <w:rsid w:val="006F05C6"/>
    <w:rsid w:val="00700EF0"/>
    <w:rsid w:val="0070267E"/>
    <w:rsid w:val="00702B3B"/>
    <w:rsid w:val="00706FE1"/>
    <w:rsid w:val="00713247"/>
    <w:rsid w:val="007137DB"/>
    <w:rsid w:val="00715920"/>
    <w:rsid w:val="007173E0"/>
    <w:rsid w:val="00722914"/>
    <w:rsid w:val="00722C99"/>
    <w:rsid w:val="007358BB"/>
    <w:rsid w:val="00740763"/>
    <w:rsid w:val="00746281"/>
    <w:rsid w:val="007546AF"/>
    <w:rsid w:val="00765934"/>
    <w:rsid w:val="007660BA"/>
    <w:rsid w:val="007759D6"/>
    <w:rsid w:val="00777010"/>
    <w:rsid w:val="00782A61"/>
    <w:rsid w:val="00783EA7"/>
    <w:rsid w:val="0078597C"/>
    <w:rsid w:val="0078684A"/>
    <w:rsid w:val="00790D5B"/>
    <w:rsid w:val="00790DA0"/>
    <w:rsid w:val="00792001"/>
    <w:rsid w:val="00792BB4"/>
    <w:rsid w:val="00794B81"/>
    <w:rsid w:val="00794ED8"/>
    <w:rsid w:val="007A27A6"/>
    <w:rsid w:val="007A32C1"/>
    <w:rsid w:val="007A4310"/>
    <w:rsid w:val="007B73F1"/>
    <w:rsid w:val="007C7A55"/>
    <w:rsid w:val="007D0B03"/>
    <w:rsid w:val="007D5AE6"/>
    <w:rsid w:val="007D603D"/>
    <w:rsid w:val="007E1E61"/>
    <w:rsid w:val="007E373C"/>
    <w:rsid w:val="007E7A34"/>
    <w:rsid w:val="007F0D55"/>
    <w:rsid w:val="00803B93"/>
    <w:rsid w:val="00805A77"/>
    <w:rsid w:val="0080682E"/>
    <w:rsid w:val="00807573"/>
    <w:rsid w:val="008104FE"/>
    <w:rsid w:val="00810F41"/>
    <w:rsid w:val="008133F6"/>
    <w:rsid w:val="00825558"/>
    <w:rsid w:val="00826B97"/>
    <w:rsid w:val="00830277"/>
    <w:rsid w:val="008306EC"/>
    <w:rsid w:val="00830AFA"/>
    <w:rsid w:val="00833715"/>
    <w:rsid w:val="00835F91"/>
    <w:rsid w:val="00840EAB"/>
    <w:rsid w:val="00842DC5"/>
    <w:rsid w:val="0084570E"/>
    <w:rsid w:val="00847390"/>
    <w:rsid w:val="00852267"/>
    <w:rsid w:val="00853477"/>
    <w:rsid w:val="00857EB5"/>
    <w:rsid w:val="00862464"/>
    <w:rsid w:val="0086282B"/>
    <w:rsid w:val="008639AA"/>
    <w:rsid w:val="00867E2D"/>
    <w:rsid w:val="00875E0D"/>
    <w:rsid w:val="00880727"/>
    <w:rsid w:val="0088138F"/>
    <w:rsid w:val="0088793E"/>
    <w:rsid w:val="00892D08"/>
    <w:rsid w:val="00895A10"/>
    <w:rsid w:val="008A0C08"/>
    <w:rsid w:val="008A32CD"/>
    <w:rsid w:val="008B09E4"/>
    <w:rsid w:val="008B20C5"/>
    <w:rsid w:val="008B79D7"/>
    <w:rsid w:val="008B7B06"/>
    <w:rsid w:val="008C14F6"/>
    <w:rsid w:val="008C48AF"/>
    <w:rsid w:val="008C5679"/>
    <w:rsid w:val="008C5C7E"/>
    <w:rsid w:val="008C5F99"/>
    <w:rsid w:val="008D035D"/>
    <w:rsid w:val="008D0AD5"/>
    <w:rsid w:val="008D492A"/>
    <w:rsid w:val="008D5036"/>
    <w:rsid w:val="008D54B4"/>
    <w:rsid w:val="008E38D3"/>
    <w:rsid w:val="008E5A6D"/>
    <w:rsid w:val="008E5F2C"/>
    <w:rsid w:val="008F1DD8"/>
    <w:rsid w:val="008F2EC0"/>
    <w:rsid w:val="008F32DF"/>
    <w:rsid w:val="008F3CFC"/>
    <w:rsid w:val="008F4D20"/>
    <w:rsid w:val="008F589C"/>
    <w:rsid w:val="00900993"/>
    <w:rsid w:val="00900EC6"/>
    <w:rsid w:val="00901585"/>
    <w:rsid w:val="00903B8E"/>
    <w:rsid w:val="00904A95"/>
    <w:rsid w:val="0090618B"/>
    <w:rsid w:val="009071E3"/>
    <w:rsid w:val="009215CD"/>
    <w:rsid w:val="00924276"/>
    <w:rsid w:val="00924B02"/>
    <w:rsid w:val="00930669"/>
    <w:rsid w:val="00930707"/>
    <w:rsid w:val="009311FF"/>
    <w:rsid w:val="00931D88"/>
    <w:rsid w:val="00931F67"/>
    <w:rsid w:val="00932A95"/>
    <w:rsid w:val="00934DBB"/>
    <w:rsid w:val="00935768"/>
    <w:rsid w:val="00940E1C"/>
    <w:rsid w:val="00941827"/>
    <w:rsid w:val="0094189E"/>
    <w:rsid w:val="00953A18"/>
    <w:rsid w:val="00954AC8"/>
    <w:rsid w:val="0095727E"/>
    <w:rsid w:val="0096579B"/>
    <w:rsid w:val="009660D1"/>
    <w:rsid w:val="00975E8F"/>
    <w:rsid w:val="00981682"/>
    <w:rsid w:val="00984429"/>
    <w:rsid w:val="00986113"/>
    <w:rsid w:val="009904A4"/>
    <w:rsid w:val="00992601"/>
    <w:rsid w:val="009957A0"/>
    <w:rsid w:val="009C0EE6"/>
    <w:rsid w:val="009C11F2"/>
    <w:rsid w:val="009C126E"/>
    <w:rsid w:val="009C14B7"/>
    <w:rsid w:val="009C1B1F"/>
    <w:rsid w:val="009C37BD"/>
    <w:rsid w:val="009C65F8"/>
    <w:rsid w:val="009C6CA1"/>
    <w:rsid w:val="009D2201"/>
    <w:rsid w:val="009D5AF6"/>
    <w:rsid w:val="009E19B5"/>
    <w:rsid w:val="009E4B94"/>
    <w:rsid w:val="009E586D"/>
    <w:rsid w:val="00A00088"/>
    <w:rsid w:val="00A022E5"/>
    <w:rsid w:val="00A04D1D"/>
    <w:rsid w:val="00A050A7"/>
    <w:rsid w:val="00A10957"/>
    <w:rsid w:val="00A1150C"/>
    <w:rsid w:val="00A15C55"/>
    <w:rsid w:val="00A20768"/>
    <w:rsid w:val="00A33E69"/>
    <w:rsid w:val="00A347E6"/>
    <w:rsid w:val="00A40EDD"/>
    <w:rsid w:val="00A43E37"/>
    <w:rsid w:val="00A4400A"/>
    <w:rsid w:val="00A47C27"/>
    <w:rsid w:val="00A53949"/>
    <w:rsid w:val="00A53B68"/>
    <w:rsid w:val="00A56878"/>
    <w:rsid w:val="00A576C5"/>
    <w:rsid w:val="00A6103E"/>
    <w:rsid w:val="00A62DFA"/>
    <w:rsid w:val="00A650E4"/>
    <w:rsid w:val="00A669A8"/>
    <w:rsid w:val="00A71394"/>
    <w:rsid w:val="00A71595"/>
    <w:rsid w:val="00A716E2"/>
    <w:rsid w:val="00A7590B"/>
    <w:rsid w:val="00A8427F"/>
    <w:rsid w:val="00A8613C"/>
    <w:rsid w:val="00A902AF"/>
    <w:rsid w:val="00A90949"/>
    <w:rsid w:val="00A91041"/>
    <w:rsid w:val="00A91E3F"/>
    <w:rsid w:val="00A930AB"/>
    <w:rsid w:val="00A950E0"/>
    <w:rsid w:val="00A972D2"/>
    <w:rsid w:val="00AA4ABE"/>
    <w:rsid w:val="00AB2658"/>
    <w:rsid w:val="00AC06ED"/>
    <w:rsid w:val="00AC1DE2"/>
    <w:rsid w:val="00AC45DC"/>
    <w:rsid w:val="00AD0048"/>
    <w:rsid w:val="00AD0462"/>
    <w:rsid w:val="00AD11FE"/>
    <w:rsid w:val="00AD74E2"/>
    <w:rsid w:val="00AD7C94"/>
    <w:rsid w:val="00AE0CBB"/>
    <w:rsid w:val="00AE7ABB"/>
    <w:rsid w:val="00AF058A"/>
    <w:rsid w:val="00AF1D02"/>
    <w:rsid w:val="00AF3039"/>
    <w:rsid w:val="00B00762"/>
    <w:rsid w:val="00B00D92"/>
    <w:rsid w:val="00B00DC1"/>
    <w:rsid w:val="00B06625"/>
    <w:rsid w:val="00B07CBC"/>
    <w:rsid w:val="00B10CE1"/>
    <w:rsid w:val="00B10DEA"/>
    <w:rsid w:val="00B113A9"/>
    <w:rsid w:val="00B1456F"/>
    <w:rsid w:val="00B2123A"/>
    <w:rsid w:val="00B23AD1"/>
    <w:rsid w:val="00B26E81"/>
    <w:rsid w:val="00B302DE"/>
    <w:rsid w:val="00B35B08"/>
    <w:rsid w:val="00B35EC0"/>
    <w:rsid w:val="00B3657E"/>
    <w:rsid w:val="00B374FF"/>
    <w:rsid w:val="00B41565"/>
    <w:rsid w:val="00B417B4"/>
    <w:rsid w:val="00B4209E"/>
    <w:rsid w:val="00B576CE"/>
    <w:rsid w:val="00B60FD1"/>
    <w:rsid w:val="00B744C7"/>
    <w:rsid w:val="00B9321B"/>
    <w:rsid w:val="00B93DFE"/>
    <w:rsid w:val="00B973D3"/>
    <w:rsid w:val="00BA50DA"/>
    <w:rsid w:val="00BA7557"/>
    <w:rsid w:val="00BB0660"/>
    <w:rsid w:val="00BB0DF2"/>
    <w:rsid w:val="00BC6685"/>
    <w:rsid w:val="00BC785C"/>
    <w:rsid w:val="00BD0F00"/>
    <w:rsid w:val="00BD374F"/>
    <w:rsid w:val="00BD3CFA"/>
    <w:rsid w:val="00BD7404"/>
    <w:rsid w:val="00BE0BEA"/>
    <w:rsid w:val="00BE2268"/>
    <w:rsid w:val="00BF4759"/>
    <w:rsid w:val="00BF65FA"/>
    <w:rsid w:val="00C07FD1"/>
    <w:rsid w:val="00C20B62"/>
    <w:rsid w:val="00C24F45"/>
    <w:rsid w:val="00C267EB"/>
    <w:rsid w:val="00C30C47"/>
    <w:rsid w:val="00C539EB"/>
    <w:rsid w:val="00C653A2"/>
    <w:rsid w:val="00C65839"/>
    <w:rsid w:val="00C67F8E"/>
    <w:rsid w:val="00C710A8"/>
    <w:rsid w:val="00C743B6"/>
    <w:rsid w:val="00C75E53"/>
    <w:rsid w:val="00C81CE4"/>
    <w:rsid w:val="00C83113"/>
    <w:rsid w:val="00CA5C8A"/>
    <w:rsid w:val="00CB621B"/>
    <w:rsid w:val="00CD034D"/>
    <w:rsid w:val="00CD43C1"/>
    <w:rsid w:val="00CD46BC"/>
    <w:rsid w:val="00CD6AAA"/>
    <w:rsid w:val="00CE143D"/>
    <w:rsid w:val="00CE4733"/>
    <w:rsid w:val="00CE7958"/>
    <w:rsid w:val="00CF23E4"/>
    <w:rsid w:val="00D01BFB"/>
    <w:rsid w:val="00D04358"/>
    <w:rsid w:val="00D05BCA"/>
    <w:rsid w:val="00D07100"/>
    <w:rsid w:val="00D071A9"/>
    <w:rsid w:val="00D1032F"/>
    <w:rsid w:val="00D10B93"/>
    <w:rsid w:val="00D14152"/>
    <w:rsid w:val="00D1454B"/>
    <w:rsid w:val="00D2503A"/>
    <w:rsid w:val="00D43B4F"/>
    <w:rsid w:val="00D52C35"/>
    <w:rsid w:val="00D550A3"/>
    <w:rsid w:val="00D72CE1"/>
    <w:rsid w:val="00D747C5"/>
    <w:rsid w:val="00D8066A"/>
    <w:rsid w:val="00D92D84"/>
    <w:rsid w:val="00D94FD7"/>
    <w:rsid w:val="00D953B6"/>
    <w:rsid w:val="00D96141"/>
    <w:rsid w:val="00DA27B5"/>
    <w:rsid w:val="00DA5E3A"/>
    <w:rsid w:val="00DB3ABD"/>
    <w:rsid w:val="00DB3E80"/>
    <w:rsid w:val="00DB7CE2"/>
    <w:rsid w:val="00DC0C69"/>
    <w:rsid w:val="00DC7101"/>
    <w:rsid w:val="00DC74C7"/>
    <w:rsid w:val="00DC7EE8"/>
    <w:rsid w:val="00DD10EE"/>
    <w:rsid w:val="00DD4E55"/>
    <w:rsid w:val="00DE00C9"/>
    <w:rsid w:val="00DE2B28"/>
    <w:rsid w:val="00DE5EE7"/>
    <w:rsid w:val="00DE6E46"/>
    <w:rsid w:val="00DF268B"/>
    <w:rsid w:val="00DF7178"/>
    <w:rsid w:val="00E023EA"/>
    <w:rsid w:val="00E06368"/>
    <w:rsid w:val="00E13FCE"/>
    <w:rsid w:val="00E20A99"/>
    <w:rsid w:val="00E238E7"/>
    <w:rsid w:val="00E25027"/>
    <w:rsid w:val="00E27E50"/>
    <w:rsid w:val="00E33702"/>
    <w:rsid w:val="00E474FA"/>
    <w:rsid w:val="00E51500"/>
    <w:rsid w:val="00E643DC"/>
    <w:rsid w:val="00E64B30"/>
    <w:rsid w:val="00E66B15"/>
    <w:rsid w:val="00E73DA3"/>
    <w:rsid w:val="00E74BA2"/>
    <w:rsid w:val="00E76029"/>
    <w:rsid w:val="00E90827"/>
    <w:rsid w:val="00E91BC5"/>
    <w:rsid w:val="00E94B1D"/>
    <w:rsid w:val="00E9706D"/>
    <w:rsid w:val="00EA3557"/>
    <w:rsid w:val="00EB0EFB"/>
    <w:rsid w:val="00EB6192"/>
    <w:rsid w:val="00EB7D85"/>
    <w:rsid w:val="00EC0C1C"/>
    <w:rsid w:val="00EC2E24"/>
    <w:rsid w:val="00ED0EEB"/>
    <w:rsid w:val="00ED2C45"/>
    <w:rsid w:val="00ED4A5D"/>
    <w:rsid w:val="00EE7A4A"/>
    <w:rsid w:val="00EF2A11"/>
    <w:rsid w:val="00EF7DB7"/>
    <w:rsid w:val="00F0753B"/>
    <w:rsid w:val="00F10599"/>
    <w:rsid w:val="00F12164"/>
    <w:rsid w:val="00F139C2"/>
    <w:rsid w:val="00F16058"/>
    <w:rsid w:val="00F16569"/>
    <w:rsid w:val="00F42823"/>
    <w:rsid w:val="00F42BE8"/>
    <w:rsid w:val="00F4613C"/>
    <w:rsid w:val="00F511BE"/>
    <w:rsid w:val="00F54CDB"/>
    <w:rsid w:val="00F553BD"/>
    <w:rsid w:val="00F56388"/>
    <w:rsid w:val="00F626F1"/>
    <w:rsid w:val="00F62E0F"/>
    <w:rsid w:val="00F65671"/>
    <w:rsid w:val="00F6779C"/>
    <w:rsid w:val="00F753A8"/>
    <w:rsid w:val="00F7642E"/>
    <w:rsid w:val="00F80EA8"/>
    <w:rsid w:val="00F82208"/>
    <w:rsid w:val="00F873A3"/>
    <w:rsid w:val="00F91E53"/>
    <w:rsid w:val="00F947B6"/>
    <w:rsid w:val="00F96529"/>
    <w:rsid w:val="00FA278F"/>
    <w:rsid w:val="00FA62DA"/>
    <w:rsid w:val="00FB403B"/>
    <w:rsid w:val="00FB4BFB"/>
    <w:rsid w:val="00FB68E5"/>
    <w:rsid w:val="00FC288A"/>
    <w:rsid w:val="00FC657B"/>
    <w:rsid w:val="00FC73FF"/>
    <w:rsid w:val="00FC7428"/>
    <w:rsid w:val="00FC7583"/>
    <w:rsid w:val="00FC7724"/>
    <w:rsid w:val="00FD12A9"/>
    <w:rsid w:val="00FD155F"/>
    <w:rsid w:val="00FD1CBC"/>
    <w:rsid w:val="00FD5931"/>
    <w:rsid w:val="00FD6459"/>
    <w:rsid w:val="00FE2C9C"/>
    <w:rsid w:val="00FF246D"/>
    <w:rsid w:val="00FF6BCF"/>
    <w:rsid w:val="00FF75A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DC337"/>
  <w15:docId w15:val="{20C61AEB-04CD-4706-81AB-DD92A7CA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8"/>
        <w:szCs w:val="18"/>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40"/>
    <w:rPr>
      <w:lang w:val="en-GB"/>
    </w:rPr>
  </w:style>
  <w:style w:type="paragraph" w:styleId="Heading1">
    <w:name w:val="heading 1"/>
    <w:basedOn w:val="Normal"/>
    <w:next w:val="Normal"/>
    <w:link w:val="Heading1Char"/>
    <w:uiPriority w:val="1"/>
    <w:qFormat/>
    <w:rsid w:val="00B10DEA"/>
    <w:pPr>
      <w:keepNext/>
      <w:keepLines/>
      <w:spacing w:before="560"/>
      <w:contextualSpacing/>
      <w:outlineLvl w:val="0"/>
    </w:pPr>
    <w:rPr>
      <w:rFonts w:eastAsiaTheme="majorEastAsia" w:cstheme="majorBidi"/>
      <w:b/>
      <w:bCs/>
      <w:color w:val="005EB8" w:themeColor="accent1"/>
      <w:sz w:val="28"/>
      <w:szCs w:val="28"/>
    </w:rPr>
  </w:style>
  <w:style w:type="paragraph" w:styleId="Heading2">
    <w:name w:val="heading 2"/>
    <w:basedOn w:val="Normal"/>
    <w:next w:val="Normal"/>
    <w:link w:val="Heading2Char"/>
    <w:uiPriority w:val="1"/>
    <w:qFormat/>
    <w:rsid w:val="002C79B4"/>
    <w:pPr>
      <w:keepNext/>
      <w:keepLines/>
      <w:spacing w:before="560" w:line="320" w:lineRule="atLeast"/>
      <w:contextualSpacing/>
      <w:outlineLvl w:val="1"/>
    </w:pPr>
    <w:rPr>
      <w:rFonts w:eastAsiaTheme="majorEastAsia" w:cstheme="majorBidi"/>
      <w:b/>
      <w:bCs/>
      <w:color w:val="005EB8" w:themeColor="accent1"/>
      <w:sz w:val="26"/>
      <w:szCs w:val="26"/>
    </w:rPr>
  </w:style>
  <w:style w:type="paragraph" w:styleId="Heading3">
    <w:name w:val="heading 3"/>
    <w:basedOn w:val="Normal"/>
    <w:next w:val="Normal"/>
    <w:link w:val="Heading3Char"/>
    <w:uiPriority w:val="1"/>
    <w:qFormat/>
    <w:rsid w:val="00853477"/>
    <w:pPr>
      <w:keepNext/>
      <w:keepLines/>
      <w:spacing w:before="280"/>
      <w:contextualSpacing/>
      <w:outlineLvl w:val="2"/>
    </w:pPr>
    <w:rPr>
      <w:rFonts w:eastAsiaTheme="majorEastAsia" w:cstheme="majorBidi"/>
      <w:b/>
      <w:bCs/>
      <w:color w:val="005EB8" w:themeColor="accent1"/>
      <w:sz w:val="22"/>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rPr>
  </w:style>
  <w:style w:type="paragraph" w:styleId="Footer">
    <w:name w:val="footer"/>
    <w:basedOn w:val="Normal"/>
    <w:link w:val="FooterChar"/>
    <w:uiPriority w:val="99"/>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99"/>
    <w:rsid w:val="006E5C5C"/>
    <w:rPr>
      <w:sz w:val="16"/>
      <w:lang w:val="en-GB"/>
    </w:rPr>
  </w:style>
  <w:style w:type="character" w:customStyle="1" w:styleId="Heading1Char">
    <w:name w:val="Heading 1 Char"/>
    <w:basedOn w:val="DefaultParagraphFont"/>
    <w:link w:val="Heading1"/>
    <w:uiPriority w:val="1"/>
    <w:rsid w:val="00B10DEA"/>
    <w:rPr>
      <w:rFonts w:eastAsiaTheme="majorEastAsia" w:cstheme="majorBidi"/>
      <w:b/>
      <w:bCs/>
      <w:color w:val="005EB8" w:themeColor="accent1"/>
      <w:sz w:val="28"/>
      <w:szCs w:val="28"/>
    </w:rPr>
  </w:style>
  <w:style w:type="character" w:customStyle="1" w:styleId="Heading2Char">
    <w:name w:val="Heading 2 Char"/>
    <w:basedOn w:val="DefaultParagraphFont"/>
    <w:link w:val="Heading2"/>
    <w:uiPriority w:val="1"/>
    <w:rsid w:val="002C79B4"/>
    <w:rPr>
      <w:rFonts w:eastAsiaTheme="majorEastAsia" w:cstheme="majorBidi"/>
      <w:b/>
      <w:bCs/>
      <w:color w:val="005EB8" w:themeColor="accent1"/>
      <w:sz w:val="26"/>
      <w:szCs w:val="26"/>
    </w:rPr>
  </w:style>
  <w:style w:type="character" w:customStyle="1" w:styleId="Heading3Char">
    <w:name w:val="Heading 3 Char"/>
    <w:basedOn w:val="DefaultParagraphFont"/>
    <w:link w:val="Heading3"/>
    <w:uiPriority w:val="1"/>
    <w:rsid w:val="00853477"/>
    <w:rPr>
      <w:rFonts w:eastAsiaTheme="majorEastAsia" w:cstheme="majorBidi"/>
      <w:b/>
      <w:bCs/>
      <w:color w:val="005EB8" w:themeColor="accent1"/>
      <w:sz w:val="22"/>
      <w:lang w:val="en-GB"/>
    </w:rPr>
  </w:style>
  <w:style w:type="character" w:customStyle="1" w:styleId="Heading4Char">
    <w:name w:val="Heading 4 Char"/>
    <w:basedOn w:val="DefaultParagraphFont"/>
    <w:link w:val="Heading4"/>
    <w:uiPriority w:val="1"/>
    <w:semiHidden/>
    <w:rsid w:val="00004865"/>
    <w:rPr>
      <w:rFonts w:eastAsiaTheme="majorEastAsia" w:cstheme="majorBidi"/>
      <w:b/>
      <w:bCs/>
      <w:iCs/>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semiHidden/>
    <w:rsid w:val="009E4B94"/>
    <w:rPr>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rsid w:val="00E94B1D"/>
    <w:pPr>
      <w:numPr>
        <w:numId w:val="13"/>
      </w:numPr>
      <w:tabs>
        <w:tab w:val="right" w:leader="dot" w:pos="7598"/>
      </w:tabs>
      <w:ind w:right="2835"/>
    </w:pPr>
  </w:style>
  <w:style w:type="paragraph" w:styleId="TOC2">
    <w:name w:val="toc 2"/>
    <w:basedOn w:val="Normal"/>
    <w:next w:val="Normal"/>
    <w:uiPriority w:val="39"/>
    <w:rsid w:val="00E94B1D"/>
    <w:pPr>
      <w:numPr>
        <w:ilvl w:val="1"/>
        <w:numId w:val="13"/>
      </w:numPr>
      <w:tabs>
        <w:tab w:val="right" w:leader="dot" w:pos="7598"/>
      </w:tabs>
      <w:ind w:right="2835"/>
    </w:pPr>
  </w:style>
  <w:style w:type="paragraph" w:styleId="TOC3">
    <w:name w:val="toc 3"/>
    <w:basedOn w:val="Normal"/>
    <w:next w:val="Normal"/>
    <w:uiPriority w:val="39"/>
    <w:rsid w:val="00E94B1D"/>
    <w:pPr>
      <w:numPr>
        <w:ilvl w:val="2"/>
        <w:numId w:val="13"/>
      </w:numPr>
      <w:tabs>
        <w:tab w:val="right" w:leader="dot" w:pos="7598"/>
      </w:tabs>
      <w:ind w:right="2835"/>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D550A3"/>
    <w:pPr>
      <w:spacing w:after="520" w:line="480" w:lineRule="atLeast"/>
    </w:pPr>
    <w:rPr>
      <w:rFonts w:eastAsiaTheme="majorEastAsia" w:cstheme="majorBidi"/>
      <w:b/>
      <w:bCs/>
      <w:color w:val="005EB8" w:themeColor="accent1"/>
      <w:sz w:val="44"/>
      <w:szCs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99"/>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99"/>
    <w:rsid w:val="00004865"/>
    <w:rPr>
      <w:sz w:val="16"/>
      <w:szCs w:val="20"/>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9"/>
    <w:semiHidden/>
    <w:rsid w:val="00424709"/>
  </w:style>
  <w:style w:type="paragraph" w:customStyle="1" w:styleId="Template">
    <w:name w:val="Template"/>
    <w:uiPriority w:val="8"/>
    <w:semiHidden/>
    <w:rsid w:val="00E13FCE"/>
    <w:pPr>
      <w:spacing w:line="280" w:lineRule="exact"/>
    </w:pPr>
    <w:rPr>
      <w:noProof/>
      <w:sz w:val="16"/>
      <w:lang w:val="en-GB"/>
    </w:rPr>
  </w:style>
  <w:style w:type="paragraph" w:customStyle="1" w:styleId="Template-Address">
    <w:name w:val="Template - Address"/>
    <w:basedOn w:val="Template"/>
    <w:uiPriority w:val="8"/>
    <w:semiHidden/>
    <w:rsid w:val="00E13FCE"/>
    <w:pPr>
      <w:tabs>
        <w:tab w:val="left" w:pos="567"/>
      </w:tabs>
    </w:pPr>
  </w:style>
  <w:style w:type="paragraph" w:customStyle="1" w:styleId="Template-CompanyName">
    <w:name w:val="Template - Company Name"/>
    <w:basedOn w:val="Template-Address"/>
    <w:next w:val="Template-Address"/>
    <w:uiPriority w:val="8"/>
    <w:semiHidden/>
    <w:rsid w:val="007E373C"/>
    <w:pPr>
      <w:spacing w:line="27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style>
  <w:style w:type="character" w:styleId="PlaceholderText">
    <w:name w:val="Placeholder Text"/>
    <w:basedOn w:val="DefaultParagraphFont"/>
    <w:uiPriority w:val="99"/>
    <w:semiHidden/>
    <w:rsid w:val="00424709"/>
    <w:rPr>
      <w:color w:val="auto"/>
    </w:rPr>
  </w:style>
  <w:style w:type="paragraph" w:customStyle="1" w:styleId="Table">
    <w:name w:val="Table"/>
    <w:uiPriority w:val="4"/>
    <w:rsid w:val="00833715"/>
    <w:pPr>
      <w:spacing w:before="40" w:after="40"/>
      <w:ind w:left="113" w:right="113"/>
    </w:pPr>
    <w:rPr>
      <w:lang w:val="en-GB"/>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424709"/>
    <w:rPr>
      <w:b/>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rsid w:val="005A28D4"/>
    <w:pPr>
      <w:ind w:left="1134"/>
    </w:pPr>
  </w:style>
  <w:style w:type="table" w:styleId="TableGrid">
    <w:name w:val="Table Grid"/>
    <w:basedOn w:val="TableNormal"/>
    <w:uiPriority w:val="59"/>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semiHidden/>
    <w:rsid w:val="00244D70"/>
    <w:pPr>
      <w:spacing w:line="280" w:lineRule="atLeast"/>
    </w:pPr>
  </w:style>
  <w:style w:type="paragraph" w:customStyle="1" w:styleId="Template-Web">
    <w:name w:val="Template - Web"/>
    <w:basedOn w:val="Template"/>
    <w:uiPriority w:val="8"/>
    <w:semiHidden/>
    <w:rsid w:val="00BB0DF2"/>
    <w:pPr>
      <w:jc w:val="right"/>
    </w:pPr>
    <w:rPr>
      <w:color w:val="005EB8" w:themeColor="accent1"/>
    </w:rPr>
  </w:style>
  <w:style w:type="paragraph" w:customStyle="1" w:styleId="Template-Legaltext">
    <w:name w:val="Template - Legal text"/>
    <w:basedOn w:val="Template"/>
    <w:uiPriority w:val="8"/>
    <w:semiHidden/>
    <w:rsid w:val="0015292B"/>
    <w:pPr>
      <w:spacing w:line="160" w:lineRule="atLeast"/>
    </w:pPr>
    <w:rPr>
      <w:sz w:val="12"/>
    </w:rPr>
  </w:style>
  <w:style w:type="paragraph" w:styleId="ListBullet2">
    <w:name w:val="List Bullet 2"/>
    <w:basedOn w:val="Normal"/>
    <w:uiPriority w:val="99"/>
    <w:semiHidden/>
    <w:rsid w:val="00D01BFB"/>
    <w:pPr>
      <w:numPr>
        <w:ilvl w:val="1"/>
        <w:numId w:val="1"/>
      </w:numPr>
      <w:contextualSpacing/>
    </w:pPr>
  </w:style>
  <w:style w:type="paragraph" w:styleId="ListBullet3">
    <w:name w:val="List Bullet 3"/>
    <w:basedOn w:val="Normal"/>
    <w:uiPriority w:val="99"/>
    <w:semiHidden/>
    <w:rsid w:val="00D01BFB"/>
    <w:pPr>
      <w:numPr>
        <w:ilvl w:val="2"/>
        <w:numId w:val="1"/>
      </w:numPr>
      <w:tabs>
        <w:tab w:val="clear" w:pos="1814"/>
        <w:tab w:val="num" w:pos="360"/>
      </w:tabs>
      <w:ind w:left="0" w:firstLine="0"/>
      <w:contextualSpacing/>
    </w:pPr>
  </w:style>
  <w:style w:type="paragraph" w:customStyle="1" w:styleId="Heading1-Topofpage">
    <w:name w:val="Heading 1 - Top of page"/>
    <w:basedOn w:val="Heading1"/>
    <w:uiPriority w:val="1"/>
    <w:rsid w:val="007E7A34"/>
    <w:pPr>
      <w:spacing w:before="0"/>
    </w:pPr>
  </w:style>
  <w:style w:type="table" w:customStyle="1" w:styleId="Amadeus-Grey">
    <w:name w:val="Amadeus - Grey"/>
    <w:basedOn w:val="TableNormal"/>
    <w:uiPriority w:val="99"/>
    <w:rsid w:val="00833715"/>
    <w:pPr>
      <w:ind w:left="113" w:right="113"/>
    </w:pPr>
    <w:tblPr>
      <w:tblBorders>
        <w:top w:val="single" w:sz="4" w:space="0" w:color="D7D2CB" w:themeColor="accent6"/>
        <w:bottom w:val="single" w:sz="4" w:space="0" w:color="D7D2CB" w:themeColor="accent6"/>
        <w:insideH w:val="single" w:sz="4" w:space="0" w:color="D7D2CB" w:themeColor="accent6"/>
      </w:tblBorders>
      <w:tblCellMar>
        <w:left w:w="0" w:type="dxa"/>
        <w:right w:w="0" w:type="dxa"/>
      </w:tblCellMar>
    </w:tblPr>
    <w:tblStylePr w:type="firstRow">
      <w:pPr>
        <w:wordWrap/>
        <w:spacing w:beforeLines="0" w:before="40" w:beforeAutospacing="0" w:afterLines="0" w:after="40" w:afterAutospacing="0" w:line="280" w:lineRule="atLeast"/>
        <w:ind w:leftChars="0" w:left="113" w:rightChars="0" w:right="113" w:firstLineChars="0" w:firstLine="0"/>
        <w:contextualSpacing w:val="0"/>
      </w:pPr>
      <w:rPr>
        <w:color w:val="auto"/>
      </w:rPr>
      <w:tblPr/>
      <w:tcPr>
        <w:shd w:val="clear" w:color="auto" w:fill="D7D2CB" w:themeFill="accent6"/>
      </w:tcPr>
    </w:tblStylePr>
  </w:style>
  <w:style w:type="paragraph" w:customStyle="1" w:styleId="Table-Heading">
    <w:name w:val="Table - Heading"/>
    <w:basedOn w:val="Table"/>
    <w:uiPriority w:val="4"/>
    <w:rsid w:val="00833715"/>
    <w:rPr>
      <w:b/>
      <w:color w:val="FFFFFF" w:themeColor="background1"/>
    </w:rPr>
  </w:style>
  <w:style w:type="paragraph" w:customStyle="1" w:styleId="FrontpageTitle">
    <w:name w:val="Frontpage Title"/>
    <w:basedOn w:val="Normal"/>
    <w:uiPriority w:val="6"/>
    <w:rsid w:val="007A32C1"/>
    <w:pPr>
      <w:spacing w:line="520" w:lineRule="atLeast"/>
      <w:ind w:right="142"/>
      <w:jc w:val="right"/>
    </w:pPr>
    <w:rPr>
      <w:b/>
      <w:color w:val="005EB8" w:themeColor="accent1"/>
      <w:sz w:val="48"/>
    </w:rPr>
  </w:style>
  <w:style w:type="paragraph" w:customStyle="1" w:styleId="FrontpageSubtitle">
    <w:name w:val="Frontpage Subtitle"/>
    <w:basedOn w:val="Normal"/>
    <w:uiPriority w:val="6"/>
    <w:rsid w:val="00807573"/>
    <w:pPr>
      <w:spacing w:before="120" w:line="320" w:lineRule="atLeast"/>
      <w:ind w:left="142"/>
    </w:pPr>
    <w:rPr>
      <w:b/>
      <w:color w:val="00A9E0" w:themeColor="text2"/>
      <w:sz w:val="24"/>
    </w:rPr>
  </w:style>
  <w:style w:type="paragraph" w:customStyle="1" w:styleId="HighlightboxText">
    <w:name w:val="Highlight box Text"/>
    <w:basedOn w:val="Normal"/>
    <w:uiPriority w:val="3"/>
    <w:rsid w:val="00931D88"/>
    <w:pPr>
      <w:spacing w:before="120" w:after="120" w:line="240" w:lineRule="atLeast"/>
      <w:ind w:left="142" w:right="142"/>
      <w:contextualSpacing/>
    </w:pPr>
  </w:style>
  <w:style w:type="paragraph" w:customStyle="1" w:styleId="HighlightboxHeading">
    <w:name w:val="Highlight box Heading"/>
    <w:basedOn w:val="HighlightboxText"/>
    <w:next w:val="HighlightboxText"/>
    <w:uiPriority w:val="3"/>
    <w:rsid w:val="00931D88"/>
    <w:pPr>
      <w:spacing w:before="200"/>
    </w:pPr>
    <w:rPr>
      <w:b/>
      <w:color w:val="005EB8" w:themeColor="accent1"/>
      <w:sz w:val="24"/>
    </w:rPr>
  </w:style>
  <w:style w:type="paragraph" w:customStyle="1" w:styleId="DocumentControlHeading">
    <w:name w:val="Document Control Heading"/>
    <w:basedOn w:val="Normal"/>
    <w:uiPriority w:val="5"/>
    <w:rsid w:val="004D5F7D"/>
    <w:pPr>
      <w:ind w:left="113" w:right="113"/>
    </w:pPr>
    <w:rPr>
      <w:b/>
    </w:rPr>
  </w:style>
  <w:style w:type="paragraph" w:customStyle="1" w:styleId="DocumentControlText">
    <w:name w:val="Document Control Text"/>
    <w:basedOn w:val="DocumentControlHeading"/>
    <w:uiPriority w:val="5"/>
    <w:rsid w:val="00702B3B"/>
    <w:rPr>
      <w:b w:val="0"/>
    </w:rPr>
  </w:style>
  <w:style w:type="table" w:customStyle="1" w:styleId="Amadeus-Blue">
    <w:name w:val="Amadeus - Blue"/>
    <w:basedOn w:val="TableNormal"/>
    <w:uiPriority w:val="99"/>
    <w:rsid w:val="00833715"/>
    <w:pPr>
      <w:spacing w:before="40" w:after="40"/>
      <w:ind w:left="113" w:right="113"/>
    </w:pPr>
    <w:tblPr>
      <w:tblBorders>
        <w:top w:val="single" w:sz="4" w:space="0" w:color="005EB8" w:themeColor="accent1"/>
        <w:bottom w:val="single" w:sz="4" w:space="0" w:color="005EB8" w:themeColor="accent1"/>
        <w:insideH w:val="single" w:sz="4" w:space="0" w:color="005EB8" w:themeColor="accent1"/>
      </w:tblBorders>
      <w:tblCellMar>
        <w:left w:w="0" w:type="dxa"/>
        <w:right w:w="0" w:type="dxa"/>
      </w:tblCellMar>
    </w:tblPr>
    <w:tblStylePr w:type="firstRow">
      <w:pPr>
        <w:wordWrap/>
        <w:spacing w:beforeLines="0" w:before="40" w:beforeAutospacing="0" w:afterLines="40" w:after="40" w:afterAutospacing="0" w:line="280" w:lineRule="atLeast"/>
        <w:ind w:leftChars="0" w:left="113" w:rightChars="0" w:right="113" w:firstLineChars="0" w:firstLine="0"/>
      </w:pPr>
      <w:rPr>
        <w:color w:val="FFFFFF" w:themeColor="background1"/>
      </w:rPr>
      <w:tblPr/>
      <w:tcPr>
        <w:shd w:val="clear" w:color="auto" w:fill="005EB8" w:themeFill="accent1"/>
      </w:tcPr>
    </w:tblStylePr>
  </w:style>
  <w:style w:type="paragraph" w:customStyle="1" w:styleId="Table-HeadingBlack">
    <w:name w:val="Table - Heading Black"/>
    <w:basedOn w:val="Table-Heading"/>
    <w:uiPriority w:val="4"/>
    <w:rsid w:val="00833715"/>
    <w:rPr>
      <w:color w:val="auto"/>
    </w:rPr>
  </w:style>
  <w:style w:type="character" w:styleId="FootnoteReference">
    <w:name w:val="footnote reference"/>
    <w:basedOn w:val="DefaultParagraphFont"/>
    <w:uiPriority w:val="99"/>
    <w:rsid w:val="003C4C93"/>
    <w:rPr>
      <w:vertAlign w:val="superscript"/>
    </w:rPr>
  </w:style>
  <w:style w:type="character" w:styleId="CommentReference">
    <w:name w:val="annotation reference"/>
    <w:basedOn w:val="DefaultParagraphFont"/>
    <w:uiPriority w:val="99"/>
    <w:rsid w:val="003C4C93"/>
    <w:rPr>
      <w:sz w:val="16"/>
      <w:szCs w:val="16"/>
    </w:rPr>
  </w:style>
  <w:style w:type="paragraph" w:styleId="CommentText">
    <w:name w:val="annotation text"/>
    <w:basedOn w:val="Normal"/>
    <w:link w:val="CommentTextChar"/>
    <w:uiPriority w:val="99"/>
    <w:rsid w:val="003C4C93"/>
    <w:pPr>
      <w:spacing w:line="240" w:lineRule="auto"/>
    </w:pPr>
    <w:rPr>
      <w:rFonts w:ascii="Microsoft Sans Serif" w:eastAsia="Times New Roman" w:hAnsi="Microsoft Sans Serif" w:cs="Times New Roman"/>
      <w:sz w:val="20"/>
      <w:szCs w:val="20"/>
      <w:lang w:eastAsia="en-GB"/>
    </w:rPr>
  </w:style>
  <w:style w:type="character" w:customStyle="1" w:styleId="CommentTextChar">
    <w:name w:val="Comment Text Char"/>
    <w:basedOn w:val="DefaultParagraphFont"/>
    <w:link w:val="CommentText"/>
    <w:uiPriority w:val="99"/>
    <w:rsid w:val="003C4C93"/>
    <w:rPr>
      <w:rFonts w:ascii="Microsoft Sans Serif" w:eastAsia="Times New Roman" w:hAnsi="Microsoft Sans Serif" w:cs="Times New Roman"/>
      <w:sz w:val="20"/>
      <w:szCs w:val="20"/>
      <w:lang w:val="en-GB" w:eastAsia="en-GB"/>
    </w:rPr>
  </w:style>
  <w:style w:type="paragraph" w:styleId="BalloonText">
    <w:name w:val="Balloon Text"/>
    <w:basedOn w:val="Normal"/>
    <w:link w:val="BalloonTextChar"/>
    <w:uiPriority w:val="99"/>
    <w:semiHidden/>
    <w:rsid w:val="003C4C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C93"/>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rsid w:val="00DB3ABD"/>
    <w:pPr>
      <w:suppressAutoHyphens/>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DB3ABD"/>
    <w:rPr>
      <w:rFonts w:ascii="Microsoft Sans Serif" w:eastAsia="Times New Roman" w:hAnsi="Microsoft Sans Serif" w:cs="Times New Roman"/>
      <w:b/>
      <w:bCs/>
      <w:sz w:val="20"/>
      <w:szCs w:val="20"/>
      <w:lang w:val="en-GB" w:eastAsia="en-GB"/>
    </w:rPr>
  </w:style>
  <w:style w:type="paragraph" w:styleId="ListParagraph">
    <w:name w:val="List Paragraph"/>
    <w:basedOn w:val="Normal"/>
    <w:uiPriority w:val="72"/>
    <w:qFormat/>
    <w:rsid w:val="00986113"/>
    <w:pPr>
      <w:spacing w:line="240" w:lineRule="auto"/>
      <w:ind w:left="720"/>
      <w:contextualSpacing/>
    </w:pPr>
    <w:rPr>
      <w:rFonts w:eastAsia="Times New Roman" w:cs="Times New Roman"/>
      <w:lang w:eastAsia="en-GB"/>
    </w:rPr>
  </w:style>
  <w:style w:type="paragraph" w:customStyle="1" w:styleId="Footnote">
    <w:name w:val="Footnote"/>
    <w:basedOn w:val="FootnoteText"/>
    <w:link w:val="FootnoteChar"/>
    <w:autoRedefine/>
    <w:rsid w:val="00986113"/>
    <w:pPr>
      <w:spacing w:after="0" w:line="240" w:lineRule="auto"/>
      <w:ind w:left="0" w:firstLine="0"/>
    </w:pPr>
    <w:rPr>
      <w:rFonts w:ascii="Arial" w:eastAsia="Times New Roman" w:hAnsi="Arial" w:cs="Times New Roman"/>
      <w:color w:val="1C1C1C"/>
      <w:lang w:eastAsia="en-GB"/>
    </w:rPr>
  </w:style>
  <w:style w:type="character" w:customStyle="1" w:styleId="FootnoteChar">
    <w:name w:val="Footnote Char"/>
    <w:link w:val="Footnote"/>
    <w:rsid w:val="00986113"/>
    <w:rPr>
      <w:rFonts w:ascii="Arial" w:eastAsia="Times New Roman" w:hAnsi="Arial" w:cs="Times New Roman"/>
      <w:color w:val="1C1C1C"/>
      <w:sz w:val="16"/>
      <w:szCs w:val="20"/>
      <w:lang w:val="en-GB" w:eastAsia="en-GB"/>
    </w:rPr>
  </w:style>
  <w:style w:type="character" w:styleId="Hyperlink">
    <w:name w:val="Hyperlink"/>
    <w:basedOn w:val="DefaultParagraphFont"/>
    <w:uiPriority w:val="21"/>
    <w:semiHidden/>
    <w:rsid w:val="00376A4F"/>
    <w:rPr>
      <w:color w:val="005EB8" w:themeColor="hyperlink"/>
      <w:u w:val="single"/>
    </w:rPr>
  </w:style>
  <w:style w:type="paragraph" w:customStyle="1" w:styleId="Default">
    <w:name w:val="Default"/>
    <w:rsid w:val="00FC7428"/>
    <w:pPr>
      <w:autoSpaceDE w:val="0"/>
      <w:autoSpaceDN w:val="0"/>
      <w:adjustRightInd w:val="0"/>
      <w:spacing w:line="240" w:lineRule="auto"/>
    </w:pPr>
    <w:rPr>
      <w:rFonts w:ascii="Arial" w:hAnsi="Arial" w:cs="Arial"/>
      <w:color w:val="000000"/>
      <w:sz w:val="24"/>
      <w:szCs w:val="24"/>
      <w:lang w:val="en-US"/>
    </w:rPr>
  </w:style>
  <w:style w:type="paragraph" w:customStyle="1" w:styleId="Subheading">
    <w:name w:val="Subheading"/>
    <w:basedOn w:val="Normal"/>
    <w:link w:val="SubheadingChar"/>
    <w:qFormat/>
    <w:rsid w:val="00A7590B"/>
    <w:pPr>
      <w:spacing w:before="160" w:after="160"/>
    </w:pPr>
    <w:rPr>
      <w:b/>
      <w:color w:val="00A9E0" w:themeColor="text2"/>
      <w:sz w:val="20"/>
    </w:rPr>
  </w:style>
  <w:style w:type="character" w:customStyle="1" w:styleId="SubheadingChar">
    <w:name w:val="Subheading Char"/>
    <w:basedOn w:val="DefaultParagraphFont"/>
    <w:link w:val="Subheading"/>
    <w:rsid w:val="00A7590B"/>
    <w:rPr>
      <w:b/>
      <w:color w:val="00A9E0" w:themeColor="text2"/>
      <w:sz w:val="20"/>
      <w:lang w:val="en-GB"/>
    </w:rPr>
  </w:style>
  <w:style w:type="paragraph" w:styleId="NormalWeb">
    <w:name w:val="Normal (Web)"/>
    <w:basedOn w:val="Normal"/>
    <w:uiPriority w:val="99"/>
    <w:unhideWhenUsed/>
    <w:rsid w:val="00B41565"/>
    <w:pPr>
      <w:spacing w:before="100" w:beforeAutospacing="1" w:after="100" w:afterAutospacing="1" w:line="240" w:lineRule="auto"/>
    </w:pPr>
    <w:rPr>
      <w:rFonts w:ascii="Times New Roman" w:eastAsia="Times New Roman" w:hAnsi="Times New Roman"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2721">
      <w:bodyDiv w:val="1"/>
      <w:marLeft w:val="0"/>
      <w:marRight w:val="0"/>
      <w:marTop w:val="0"/>
      <w:marBottom w:val="0"/>
      <w:divBdr>
        <w:top w:val="none" w:sz="0" w:space="0" w:color="auto"/>
        <w:left w:val="none" w:sz="0" w:space="0" w:color="auto"/>
        <w:bottom w:val="none" w:sz="0" w:space="0" w:color="auto"/>
        <w:right w:val="none" w:sz="0" w:space="0" w:color="auto"/>
      </w:divBdr>
    </w:div>
    <w:div w:id="1024597327">
      <w:bodyDiv w:val="1"/>
      <w:marLeft w:val="0"/>
      <w:marRight w:val="0"/>
      <w:marTop w:val="0"/>
      <w:marBottom w:val="0"/>
      <w:divBdr>
        <w:top w:val="none" w:sz="0" w:space="0" w:color="auto"/>
        <w:left w:val="none" w:sz="0" w:space="0" w:color="auto"/>
        <w:bottom w:val="none" w:sz="0" w:space="0" w:color="auto"/>
        <w:right w:val="none" w:sz="0" w:space="0" w:color="auto"/>
      </w:divBdr>
    </w:div>
    <w:div w:id="1508716450">
      <w:bodyDiv w:val="1"/>
      <w:marLeft w:val="0"/>
      <w:marRight w:val="0"/>
      <w:marTop w:val="0"/>
      <w:marBottom w:val="0"/>
      <w:divBdr>
        <w:top w:val="none" w:sz="0" w:space="0" w:color="auto"/>
        <w:left w:val="none" w:sz="0" w:space="0" w:color="auto"/>
        <w:bottom w:val="none" w:sz="0" w:space="0" w:color="auto"/>
        <w:right w:val="none" w:sz="0" w:space="0" w:color="auto"/>
      </w:divBdr>
    </w:div>
    <w:div w:id="1901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jrc.ec.europa.eu/scoreboard14.html" TargetMode="External"/><Relationship Id="rId13" Type="http://schemas.openxmlformats.org/officeDocument/2006/relationships/hyperlink" Target="https://twitter.com/AmadeusITGroup"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us.google.com/113862376434257859271/post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user/AmadeusITGrou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madeusITGroup"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linkedin.com/company/2780?trk=tyah" TargetMode="External"/><Relationship Id="rId23" Type="http://schemas.openxmlformats.org/officeDocument/2006/relationships/hyperlink" Target="http://www.pinterest.com/amadeusitgroup/" TargetMode="External"/><Relationship Id="rId28" Type="http://schemas.openxmlformats.org/officeDocument/2006/relationships/fontTable" Target="fontTable.xml"/><Relationship Id="rId10" Type="http://schemas.openxmlformats.org/officeDocument/2006/relationships/hyperlink" Target="http://www.amadeus.com/blog" TargetMode="External"/><Relationship Id="rId19" Type="http://schemas.openxmlformats.org/officeDocument/2006/relationships/hyperlink" Target="http://blogamadeus.com/feed/" TargetMode="External"/><Relationship Id="rId4" Type="http://schemas.openxmlformats.org/officeDocument/2006/relationships/settings" Target="settings.xml"/><Relationship Id="rId9" Type="http://schemas.openxmlformats.org/officeDocument/2006/relationships/hyperlink" Target="file:///C:\Users\MNEJJAI\AppData\Local\Temp\notes5001F8\www.amadeus.com"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1.MON\AppData\Local\Temp\notes5001F8\Public_PressRelease.dotx" TargetMode="External"/></Relationships>
</file>

<file path=word/theme/theme1.xml><?xml version="1.0" encoding="utf-8"?>
<a:theme xmlns:a="http://schemas.openxmlformats.org/drawingml/2006/main" name="Office Theme">
  <a:themeElements>
    <a:clrScheme name="Amadeus">
      <a:dk1>
        <a:srgbClr val="000000"/>
      </a:dk1>
      <a:lt1>
        <a:srgbClr val="FFFFFF"/>
      </a:lt1>
      <a:dk2>
        <a:srgbClr val="00A9E0"/>
      </a:dk2>
      <a:lt2>
        <a:srgbClr val="D7D2CB"/>
      </a:lt2>
      <a:accent1>
        <a:srgbClr val="005EB8"/>
      </a:accent1>
      <a:accent2>
        <a:srgbClr val="CE0058"/>
      </a:accent2>
      <a:accent3>
        <a:srgbClr val="00A9E0"/>
      </a:accent3>
      <a:accent4>
        <a:srgbClr val="7030A0"/>
      </a:accent4>
      <a:accent5>
        <a:srgbClr val="D29F13"/>
      </a:accent5>
      <a:accent6>
        <a:srgbClr val="D7D2CB"/>
      </a:accent6>
      <a:hlink>
        <a:srgbClr val="005EB8"/>
      </a:hlink>
      <a:folHlink>
        <a:srgbClr val="00A9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AEAC-ED46-4264-9D64-4AEC4CF2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Public_PressRelease.dotx</Template>
  <TotalTime>0</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Corporate Public Standard</vt:lpstr>
    </vt:vector>
  </TitlesOfParts>
  <Company>Amadeus</Company>
  <LinksUpToDate>false</LinksUpToDate>
  <CharactersWithSpaces>18557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Public Standard</dc:title>
  <dc:creator>Tomas MONGE</dc:creator>
  <cp:lastModifiedBy>Roman TOWNSEND</cp:lastModifiedBy>
  <cp:revision>3</cp:revision>
  <cp:lastPrinted>2015-02-19T16:37:00Z</cp:lastPrinted>
  <dcterms:created xsi:type="dcterms:W3CDTF">2015-02-26T20:12:00Z</dcterms:created>
  <dcterms:modified xsi:type="dcterms:W3CDTF">2015-02-26T20:12:00Z</dcterms:modified>
</cp:coreProperties>
</file>