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DED" w:rsidRPr="00A425A6" w:rsidRDefault="002E6DED" w:rsidP="00F127D7">
      <w:pPr>
        <w:jc w:val="center"/>
        <w:outlineLvl w:val="0"/>
        <w:rPr>
          <w:rFonts w:ascii="Trebuchet MS" w:hAnsi="Trebuchet MS" w:cs="Trebuchet MS"/>
          <w:b/>
          <w:bCs/>
          <w:sz w:val="24"/>
          <w:szCs w:val="24"/>
        </w:rPr>
      </w:pPr>
      <w:r w:rsidRPr="00A425A6">
        <w:rPr>
          <w:rFonts w:ascii="Trebuchet MS" w:hAnsi="Trebuchet MS" w:cs="Trebuchet MS"/>
          <w:b/>
          <w:bCs/>
          <w:sz w:val="24"/>
          <w:szCs w:val="24"/>
        </w:rPr>
        <w:t>COMUNICATO STAMPA</w:t>
      </w:r>
    </w:p>
    <w:p w:rsidR="002E6DED" w:rsidRPr="00A425A6" w:rsidRDefault="002E6DED">
      <w:pPr>
        <w:ind w:firstLine="720"/>
        <w:jc w:val="center"/>
        <w:rPr>
          <w:noProof/>
        </w:rPr>
      </w:pPr>
      <w:r>
        <w:rPr>
          <w:noProof/>
        </w:rPr>
        <w:pict>
          <v:shape id="Immagine 2" o:spid="_x0000_s1026" type="#_x0000_t75" style="position:absolute;left:0;text-align:left;margin-left:.55pt;margin-top:-19.75pt;width:107pt;height:150pt;z-index:251658240;visibility:visible">
            <v:imagedata r:id="rId7" o:title=""/>
          </v:shape>
        </w:pict>
      </w:r>
    </w:p>
    <w:p w:rsidR="002E6DED" w:rsidRPr="00A425A6" w:rsidRDefault="002E6DED">
      <w:pPr>
        <w:ind w:firstLine="720"/>
        <w:jc w:val="center"/>
        <w:rPr>
          <w:noProof/>
        </w:rPr>
      </w:pPr>
    </w:p>
    <w:p w:rsidR="002E6DED" w:rsidRPr="00A425A6" w:rsidRDefault="002E6DED" w:rsidP="00282077">
      <w:pPr>
        <w:rPr>
          <w:b/>
          <w:bCs/>
          <w:sz w:val="28"/>
          <w:szCs w:val="28"/>
        </w:rPr>
      </w:pPr>
    </w:p>
    <w:p w:rsidR="002E6DED" w:rsidRPr="00A425A6" w:rsidRDefault="002E6DED" w:rsidP="00F127D7">
      <w:pPr>
        <w:ind w:firstLine="720"/>
        <w:jc w:val="center"/>
        <w:outlineLvl w:val="0"/>
        <w:rPr>
          <w:rFonts w:ascii="Trebuchet MS" w:hAnsi="Trebuchet MS" w:cs="Trebuchet MS"/>
          <w:b/>
          <w:bCs/>
          <w:sz w:val="28"/>
          <w:szCs w:val="28"/>
        </w:rPr>
      </w:pPr>
      <w:r w:rsidRPr="00A425A6">
        <w:rPr>
          <w:rFonts w:ascii="Trebuchet MS" w:hAnsi="Trebuchet MS" w:cs="Trebuchet MS"/>
          <w:b/>
          <w:bCs/>
          <w:sz w:val="28"/>
          <w:szCs w:val="28"/>
        </w:rPr>
        <w:t>Osservatori – Politecnico di Milano</w:t>
      </w:r>
    </w:p>
    <w:p w:rsidR="002E6DED" w:rsidRPr="0073446A" w:rsidRDefault="002E6DED" w:rsidP="00F127D7">
      <w:pPr>
        <w:jc w:val="center"/>
        <w:outlineLvl w:val="0"/>
        <w:rPr>
          <w:rFonts w:ascii="Trebuchet MS" w:hAnsi="Trebuchet MS" w:cs="Trebuchet MS"/>
          <w:b/>
          <w:bCs/>
          <w:sz w:val="28"/>
          <w:szCs w:val="28"/>
        </w:rPr>
      </w:pPr>
      <w:r>
        <w:tab/>
      </w:r>
      <w:hyperlink r:id="rId8" w:history="1">
        <w:r w:rsidRPr="00A425A6">
          <w:rPr>
            <w:rFonts w:ascii="Trebuchet MS" w:hAnsi="Trebuchet MS" w:cs="Trebuchet MS"/>
            <w:b/>
            <w:bCs/>
            <w:color w:val="0000FF"/>
            <w:sz w:val="32"/>
            <w:szCs w:val="32"/>
            <w:u w:val="single"/>
          </w:rPr>
          <w:t>www.osservatori.net</w:t>
        </w:r>
      </w:hyperlink>
    </w:p>
    <w:p w:rsidR="002E6DED" w:rsidRDefault="002E6DED">
      <w:pPr>
        <w:ind w:firstLine="720"/>
        <w:jc w:val="center"/>
        <w:rPr>
          <w:rFonts w:ascii="Trebuchet MS" w:hAnsi="Trebuchet MS" w:cs="Trebuchet MS"/>
          <w:b/>
          <w:bCs/>
          <w:sz w:val="24"/>
          <w:szCs w:val="24"/>
        </w:rPr>
      </w:pPr>
    </w:p>
    <w:p w:rsidR="002E6DED" w:rsidRDefault="002E6DED">
      <w:pPr>
        <w:ind w:firstLine="720"/>
        <w:jc w:val="center"/>
        <w:rPr>
          <w:rFonts w:ascii="Trebuchet MS" w:hAnsi="Trebuchet MS" w:cs="Trebuchet MS"/>
          <w:b/>
          <w:bCs/>
          <w:sz w:val="24"/>
          <w:szCs w:val="24"/>
        </w:rPr>
      </w:pPr>
    </w:p>
    <w:p w:rsidR="002E6DED" w:rsidRPr="0073446A" w:rsidRDefault="002E6DED">
      <w:pPr>
        <w:ind w:firstLine="720"/>
        <w:jc w:val="center"/>
        <w:rPr>
          <w:rFonts w:ascii="Trebuchet MS" w:hAnsi="Trebuchet MS" w:cs="Trebuchet MS"/>
          <w:b/>
          <w:bCs/>
          <w:sz w:val="24"/>
          <w:szCs w:val="24"/>
        </w:rPr>
      </w:pPr>
    </w:p>
    <w:p w:rsidR="002E6DED" w:rsidRDefault="002E6DED" w:rsidP="00282077">
      <w:pPr>
        <w:widowControl/>
        <w:overflowPunct/>
        <w:autoSpaceDE w:val="0"/>
        <w:autoSpaceDN w:val="0"/>
        <w:jc w:val="both"/>
        <w:rPr>
          <w:rFonts w:ascii="Trebuchet MS" w:hAnsi="Trebuchet MS"/>
          <w:b/>
          <w:bCs/>
          <w:i/>
          <w:iCs/>
          <w:kern w:val="0"/>
          <w:sz w:val="24"/>
          <w:szCs w:val="24"/>
        </w:rPr>
      </w:pPr>
    </w:p>
    <w:p w:rsidR="002E6DED" w:rsidRPr="006906DF" w:rsidRDefault="002E6DED" w:rsidP="00282077">
      <w:pPr>
        <w:widowControl/>
        <w:overflowPunct/>
        <w:autoSpaceDE w:val="0"/>
        <w:autoSpaceDN w:val="0"/>
        <w:jc w:val="center"/>
        <w:rPr>
          <w:rFonts w:ascii="Trebuchet MS" w:hAnsi="Trebuchet MS"/>
          <w:b/>
          <w:bCs/>
          <w:iCs/>
          <w:kern w:val="0"/>
          <w:sz w:val="16"/>
          <w:szCs w:val="16"/>
        </w:rPr>
      </w:pPr>
    </w:p>
    <w:p w:rsidR="002E6DED" w:rsidRPr="00875B3F" w:rsidRDefault="002E6DED" w:rsidP="00875B3F">
      <w:pPr>
        <w:widowControl/>
        <w:overflowPunct/>
        <w:autoSpaceDE w:val="0"/>
        <w:autoSpaceDN w:val="0"/>
        <w:jc w:val="center"/>
        <w:outlineLvl w:val="0"/>
        <w:rPr>
          <w:rFonts w:ascii="Trebuchet MS" w:hAnsi="Trebuchet MS"/>
          <w:b/>
          <w:bCs/>
          <w:iCs/>
          <w:caps/>
          <w:kern w:val="0"/>
          <w:sz w:val="32"/>
          <w:szCs w:val="32"/>
        </w:rPr>
      </w:pPr>
      <w:r w:rsidRPr="00875B3F">
        <w:rPr>
          <w:rFonts w:ascii="Trebuchet MS" w:hAnsi="Trebuchet MS"/>
          <w:b/>
          <w:bCs/>
          <w:iCs/>
          <w:caps/>
          <w:kern w:val="0"/>
          <w:sz w:val="32"/>
          <w:szCs w:val="32"/>
        </w:rPr>
        <w:t>Business Intelligence:</w:t>
      </w:r>
    </w:p>
    <w:p w:rsidR="002E6DED" w:rsidRPr="006906DF" w:rsidRDefault="002E6DED" w:rsidP="00875B3F">
      <w:pPr>
        <w:widowControl/>
        <w:overflowPunct/>
        <w:autoSpaceDE w:val="0"/>
        <w:autoSpaceDN w:val="0"/>
        <w:jc w:val="center"/>
        <w:outlineLvl w:val="0"/>
        <w:rPr>
          <w:rFonts w:ascii="Trebuchet MS" w:hAnsi="Trebuchet MS"/>
          <w:b/>
          <w:bCs/>
          <w:iCs/>
          <w:caps/>
          <w:kern w:val="0"/>
          <w:sz w:val="32"/>
          <w:szCs w:val="32"/>
        </w:rPr>
      </w:pPr>
      <w:r w:rsidRPr="00875B3F">
        <w:rPr>
          <w:rFonts w:ascii="Trebuchet MS" w:hAnsi="Trebuchet MS"/>
          <w:b/>
          <w:bCs/>
          <w:iCs/>
          <w:caps/>
          <w:kern w:val="0"/>
          <w:sz w:val="32"/>
          <w:szCs w:val="32"/>
        </w:rPr>
        <w:t>universo in continua evoluzione</w:t>
      </w:r>
    </w:p>
    <w:p w:rsidR="002E6DED" w:rsidRDefault="002E6DED" w:rsidP="005859A7">
      <w:pPr>
        <w:widowControl/>
        <w:overflowPunct/>
        <w:autoSpaceDE w:val="0"/>
        <w:autoSpaceDN w:val="0"/>
        <w:jc w:val="center"/>
        <w:rPr>
          <w:rFonts w:ascii="Trebuchet MS" w:hAnsi="Trebuchet MS"/>
          <w:b/>
          <w:bCs/>
          <w:i/>
          <w:iCs/>
          <w:kern w:val="0"/>
          <w:sz w:val="24"/>
          <w:szCs w:val="24"/>
        </w:rPr>
      </w:pPr>
    </w:p>
    <w:p w:rsidR="002E6DED" w:rsidRDefault="002E6DED" w:rsidP="005859A7">
      <w:pPr>
        <w:widowControl/>
        <w:overflowPunct/>
        <w:autoSpaceDE w:val="0"/>
        <w:autoSpaceDN w:val="0"/>
        <w:jc w:val="center"/>
        <w:rPr>
          <w:rFonts w:ascii="Trebuchet MS" w:hAnsi="Trebuchet MS"/>
          <w:b/>
          <w:bCs/>
          <w:i/>
          <w:iCs/>
          <w:kern w:val="0"/>
          <w:sz w:val="24"/>
          <w:szCs w:val="24"/>
        </w:rPr>
      </w:pPr>
      <w:r w:rsidRPr="00887FBD">
        <w:rPr>
          <w:rFonts w:ascii="Trebuchet MS" w:hAnsi="Trebuchet MS"/>
          <w:b/>
          <w:bCs/>
          <w:i/>
          <w:iCs/>
          <w:kern w:val="0"/>
          <w:sz w:val="24"/>
          <w:szCs w:val="24"/>
        </w:rPr>
        <w:t xml:space="preserve">Le imprese </w:t>
      </w:r>
      <w:r>
        <w:rPr>
          <w:rFonts w:ascii="Trebuchet MS" w:hAnsi="Trebuchet MS"/>
          <w:b/>
          <w:bCs/>
          <w:i/>
          <w:iCs/>
          <w:kern w:val="0"/>
          <w:sz w:val="24"/>
          <w:szCs w:val="24"/>
        </w:rPr>
        <w:t>devono</w:t>
      </w:r>
      <w:r w:rsidRPr="00887FBD">
        <w:rPr>
          <w:rFonts w:ascii="Trebuchet MS" w:hAnsi="Trebuchet MS"/>
          <w:b/>
          <w:bCs/>
          <w:i/>
          <w:iCs/>
          <w:kern w:val="0"/>
          <w:sz w:val="24"/>
          <w:szCs w:val="24"/>
        </w:rPr>
        <w:t xml:space="preserve"> inventare nuovi modi di competere, ponendo al centro le relazioni con i clienti e lasciandosi guidare dall’analisi della ingente mole di informazioni</w:t>
      </w:r>
      <w:r>
        <w:rPr>
          <w:rFonts w:ascii="Trebuchet MS" w:hAnsi="Trebuchet MS"/>
          <w:b/>
          <w:bCs/>
          <w:i/>
          <w:iCs/>
          <w:kern w:val="0"/>
          <w:sz w:val="24"/>
          <w:szCs w:val="24"/>
        </w:rPr>
        <w:t xml:space="preserve"> non strutturate provenienti soprattutto dai social network.</w:t>
      </w:r>
    </w:p>
    <w:p w:rsidR="002E6DED" w:rsidRDefault="002E6DED" w:rsidP="00282077">
      <w:pPr>
        <w:widowControl/>
        <w:overflowPunct/>
        <w:autoSpaceDE w:val="0"/>
        <w:autoSpaceDN w:val="0"/>
        <w:jc w:val="center"/>
        <w:rPr>
          <w:rFonts w:ascii="Consolas" w:hAnsi="Consolas"/>
          <w:sz w:val="16"/>
          <w:szCs w:val="16"/>
        </w:rPr>
      </w:pPr>
    </w:p>
    <w:p w:rsidR="002E6DED" w:rsidRDefault="002E6DED" w:rsidP="00282077">
      <w:pPr>
        <w:widowControl/>
        <w:overflowPunct/>
        <w:autoSpaceDE w:val="0"/>
        <w:autoSpaceDN w:val="0"/>
        <w:jc w:val="center"/>
        <w:rPr>
          <w:rFonts w:ascii="Consolas" w:hAnsi="Consolas"/>
          <w:sz w:val="16"/>
          <w:szCs w:val="16"/>
        </w:rPr>
      </w:pPr>
    </w:p>
    <w:p w:rsidR="002E6DED" w:rsidRPr="006906DF" w:rsidRDefault="002E6DED" w:rsidP="00282077">
      <w:pPr>
        <w:widowControl/>
        <w:overflowPunct/>
        <w:autoSpaceDE w:val="0"/>
        <w:autoSpaceDN w:val="0"/>
        <w:jc w:val="center"/>
        <w:rPr>
          <w:rFonts w:ascii="Consolas" w:hAnsi="Consolas"/>
          <w:sz w:val="16"/>
          <w:szCs w:val="16"/>
        </w:rPr>
      </w:pPr>
    </w:p>
    <w:p w:rsidR="002E6DED" w:rsidRDefault="002E6DED" w:rsidP="00875B3F">
      <w:pPr>
        <w:widowControl/>
        <w:overflowPunct/>
        <w:autoSpaceDE w:val="0"/>
        <w:autoSpaceDN w:val="0"/>
        <w:jc w:val="both"/>
        <w:rPr>
          <w:rFonts w:ascii="Trebuchet MS" w:hAnsi="Trebuchet MS"/>
          <w:kern w:val="0"/>
          <w:sz w:val="22"/>
          <w:szCs w:val="22"/>
        </w:rPr>
      </w:pPr>
      <w:r>
        <w:rPr>
          <w:rFonts w:ascii="Trebuchet MS" w:hAnsi="Trebuchet MS"/>
          <w:kern w:val="0"/>
          <w:sz w:val="22"/>
          <w:szCs w:val="22"/>
        </w:rPr>
        <w:t>Milano, 8 Novembre</w:t>
      </w:r>
      <w:r w:rsidRPr="00A7629B">
        <w:rPr>
          <w:rFonts w:ascii="Trebuchet MS" w:hAnsi="Trebuchet MS"/>
          <w:kern w:val="0"/>
          <w:sz w:val="22"/>
          <w:szCs w:val="22"/>
        </w:rPr>
        <w:t xml:space="preserve"> 201</w:t>
      </w:r>
      <w:r>
        <w:rPr>
          <w:rFonts w:ascii="Trebuchet MS" w:hAnsi="Trebuchet MS"/>
          <w:kern w:val="0"/>
          <w:sz w:val="22"/>
          <w:szCs w:val="22"/>
        </w:rPr>
        <w:t>1</w:t>
      </w:r>
      <w:r w:rsidRPr="00A7629B">
        <w:rPr>
          <w:rFonts w:ascii="Trebuchet MS" w:hAnsi="Trebuchet MS"/>
          <w:kern w:val="0"/>
          <w:sz w:val="22"/>
          <w:szCs w:val="22"/>
        </w:rPr>
        <w:t xml:space="preserve"> – </w:t>
      </w:r>
      <w:r w:rsidRPr="006906DF">
        <w:rPr>
          <w:rFonts w:ascii="Trebuchet MS" w:hAnsi="Trebuchet MS"/>
          <w:kern w:val="0"/>
          <w:sz w:val="22"/>
          <w:szCs w:val="22"/>
        </w:rPr>
        <w:t xml:space="preserve">Si è svolto oggi </w:t>
      </w:r>
      <w:r>
        <w:rPr>
          <w:rFonts w:ascii="Trebuchet MS" w:hAnsi="Trebuchet MS"/>
          <w:kern w:val="0"/>
          <w:sz w:val="22"/>
          <w:szCs w:val="22"/>
        </w:rPr>
        <w:t xml:space="preserve">presso il Politecnico di Milano </w:t>
      </w:r>
      <w:r w:rsidRPr="006906DF">
        <w:rPr>
          <w:rFonts w:ascii="Trebuchet MS" w:hAnsi="Trebuchet MS"/>
          <w:kern w:val="0"/>
          <w:sz w:val="22"/>
          <w:szCs w:val="22"/>
        </w:rPr>
        <w:t>il Convegno “</w:t>
      </w:r>
      <w:r w:rsidRPr="00875B3F">
        <w:rPr>
          <w:rFonts w:ascii="Trebuchet MS" w:hAnsi="Trebuchet MS"/>
          <w:i/>
          <w:kern w:val="0"/>
          <w:sz w:val="22"/>
          <w:szCs w:val="22"/>
        </w:rPr>
        <w:t>Business Intelligence:</w:t>
      </w:r>
      <w:r>
        <w:rPr>
          <w:rFonts w:ascii="Trebuchet MS" w:hAnsi="Trebuchet MS"/>
          <w:i/>
          <w:kern w:val="0"/>
          <w:sz w:val="22"/>
          <w:szCs w:val="22"/>
        </w:rPr>
        <w:t xml:space="preserve"> </w:t>
      </w:r>
      <w:r w:rsidRPr="00875B3F">
        <w:rPr>
          <w:rFonts w:ascii="Trebuchet MS" w:hAnsi="Trebuchet MS"/>
          <w:i/>
          <w:kern w:val="0"/>
          <w:sz w:val="22"/>
          <w:szCs w:val="22"/>
        </w:rPr>
        <w:t>universo in continua evoluzione</w:t>
      </w:r>
      <w:r w:rsidRPr="006906DF">
        <w:rPr>
          <w:rStyle w:val="Strong"/>
          <w:rFonts w:ascii="Trebuchet MS" w:hAnsi="Trebuchet MS"/>
          <w:bCs/>
          <w:sz w:val="22"/>
          <w:szCs w:val="22"/>
        </w:rPr>
        <w:t xml:space="preserve">” </w:t>
      </w:r>
      <w:r w:rsidRPr="006906DF">
        <w:rPr>
          <w:rStyle w:val="Strong"/>
          <w:rFonts w:ascii="Trebuchet MS" w:hAnsi="Trebuchet MS"/>
          <w:b w:val="0"/>
          <w:bCs/>
          <w:sz w:val="22"/>
          <w:szCs w:val="22"/>
        </w:rPr>
        <w:t>dell’</w:t>
      </w:r>
      <w:r w:rsidRPr="006906DF">
        <w:rPr>
          <w:rFonts w:ascii="Trebuchet MS" w:hAnsi="Trebuchet MS"/>
          <w:kern w:val="0"/>
          <w:sz w:val="22"/>
          <w:szCs w:val="22"/>
        </w:rPr>
        <w:t xml:space="preserve">Osservatorio </w:t>
      </w:r>
      <w:r>
        <w:rPr>
          <w:rFonts w:ascii="Trebuchet MS" w:hAnsi="Trebuchet MS"/>
          <w:kern w:val="0"/>
          <w:sz w:val="22"/>
          <w:szCs w:val="22"/>
        </w:rPr>
        <w:t xml:space="preserve">Business Intelligence promosso dalla </w:t>
      </w:r>
      <w:r w:rsidRPr="006906DF">
        <w:rPr>
          <w:rFonts w:ascii="Trebuchet MS" w:hAnsi="Trebuchet MS"/>
          <w:b/>
          <w:kern w:val="0"/>
          <w:sz w:val="22"/>
          <w:szCs w:val="22"/>
        </w:rPr>
        <w:t xml:space="preserve">School of Management del Politecnico di Milano </w:t>
      </w:r>
      <w:r w:rsidRPr="006906DF">
        <w:rPr>
          <w:rFonts w:ascii="Trebuchet MS" w:hAnsi="Trebuchet MS"/>
          <w:kern w:val="0"/>
          <w:sz w:val="22"/>
          <w:szCs w:val="22"/>
        </w:rPr>
        <w:t>(</w:t>
      </w:r>
      <w:hyperlink r:id="rId9" w:history="1">
        <w:r w:rsidRPr="006906DF">
          <w:rPr>
            <w:rFonts w:ascii="Trebuchet MS" w:hAnsi="Trebuchet MS"/>
            <w:kern w:val="0"/>
            <w:sz w:val="22"/>
            <w:szCs w:val="22"/>
          </w:rPr>
          <w:t>www.osservatori.net</w:t>
        </w:r>
      </w:hyperlink>
      <w:r w:rsidRPr="006906DF">
        <w:rPr>
          <w:rFonts w:ascii="Trebuchet MS" w:hAnsi="Trebuchet MS"/>
          <w:kern w:val="0"/>
          <w:sz w:val="22"/>
          <w:szCs w:val="22"/>
        </w:rPr>
        <w:t>)</w:t>
      </w:r>
      <w:r>
        <w:rPr>
          <w:rFonts w:ascii="Trebuchet MS" w:hAnsi="Trebuchet MS"/>
          <w:kern w:val="0"/>
          <w:sz w:val="22"/>
          <w:szCs w:val="22"/>
        </w:rPr>
        <w:t xml:space="preserve">. </w:t>
      </w:r>
      <w:r w:rsidRPr="006906DF">
        <w:rPr>
          <w:rFonts w:ascii="Trebuchet MS" w:hAnsi="Trebuchet MS"/>
          <w:kern w:val="0"/>
          <w:sz w:val="22"/>
          <w:szCs w:val="22"/>
        </w:rPr>
        <w:t>(*)</w:t>
      </w:r>
    </w:p>
    <w:p w:rsidR="002E6DED" w:rsidRDefault="002E6DED" w:rsidP="00894E62">
      <w:pPr>
        <w:widowControl/>
        <w:overflowPunct/>
        <w:autoSpaceDE w:val="0"/>
        <w:autoSpaceDN w:val="0"/>
        <w:jc w:val="both"/>
        <w:rPr>
          <w:rFonts w:ascii="Trebuchet MS" w:hAnsi="Trebuchet MS" w:cs="MinionPro-Regular"/>
          <w:kern w:val="0"/>
          <w:sz w:val="22"/>
          <w:szCs w:val="22"/>
        </w:rPr>
      </w:pPr>
    </w:p>
    <w:p w:rsidR="002E6DED" w:rsidRPr="001812CA" w:rsidRDefault="002E6DED" w:rsidP="00894E62">
      <w:pPr>
        <w:widowControl/>
        <w:overflowPunct/>
        <w:autoSpaceDE w:val="0"/>
        <w:autoSpaceDN w:val="0"/>
        <w:jc w:val="center"/>
        <w:rPr>
          <w:rFonts w:ascii="Trebuchet MS" w:hAnsi="Trebuchet MS" w:cs="MinionPro-Regular"/>
          <w:i/>
          <w:kern w:val="0"/>
          <w:sz w:val="22"/>
          <w:szCs w:val="22"/>
        </w:rPr>
      </w:pPr>
      <w:r w:rsidRPr="00E241F2">
        <w:rPr>
          <w:rFonts w:ascii="Trebuchet MS" w:hAnsi="Trebuchet MS" w:cs="Arial"/>
          <w:kern w:val="0"/>
          <w:sz w:val="22"/>
          <w:szCs w:val="22"/>
        </w:rPr>
        <w:t>“</w:t>
      </w:r>
      <w:r w:rsidRPr="00875B3F">
        <w:rPr>
          <w:rFonts w:ascii="Trebuchet MS" w:hAnsi="Trebuchet MS" w:cs="Arial"/>
          <w:i/>
          <w:kern w:val="0"/>
          <w:sz w:val="22"/>
          <w:szCs w:val="22"/>
        </w:rPr>
        <w:t>Si sta rapidamente affermando un nuovo ambiente competitivo sotto la spinta convergente di cinque forze principali</w:t>
      </w:r>
      <w:r>
        <w:rPr>
          <w:rFonts w:ascii="Trebuchet MS" w:hAnsi="Trebuchet MS" w:cs="Arial"/>
          <w:i/>
          <w:kern w:val="0"/>
          <w:sz w:val="22"/>
          <w:szCs w:val="22"/>
        </w:rPr>
        <w:t>:</w:t>
      </w:r>
      <w:r w:rsidRPr="00E241F2">
        <w:rPr>
          <w:rFonts w:ascii="Trebuchet MS" w:hAnsi="Trebuchet MS" w:cs="Arial"/>
          <w:kern w:val="0"/>
          <w:sz w:val="22"/>
          <w:szCs w:val="22"/>
        </w:rPr>
        <w:t xml:space="preserve">- ha dichiarato </w:t>
      </w:r>
      <w:smartTag w:uri="urn:schemas-microsoft-com:office:smarttags" w:element="PersonName">
        <w:smartTagPr>
          <w:attr w:name="ProductID" w:val="Carlo Vercellis"/>
        </w:smartTagPr>
        <w:r w:rsidRPr="00E241F2">
          <w:rPr>
            <w:rFonts w:ascii="Trebuchet MS" w:hAnsi="Trebuchet MS" w:cs="Arial"/>
            <w:b/>
            <w:kern w:val="0"/>
            <w:sz w:val="22"/>
            <w:szCs w:val="22"/>
          </w:rPr>
          <w:t>Carlo Vercellis</w:t>
        </w:r>
      </w:smartTag>
      <w:r w:rsidRPr="00E241F2">
        <w:rPr>
          <w:rFonts w:ascii="Trebuchet MS" w:hAnsi="Trebuchet MS" w:cs="Arial"/>
          <w:b/>
          <w:kern w:val="0"/>
          <w:sz w:val="22"/>
          <w:szCs w:val="22"/>
        </w:rPr>
        <w:t>, Responsabile Scientifico dell’Osservator</w:t>
      </w:r>
      <w:r>
        <w:rPr>
          <w:rFonts w:ascii="Trebuchet MS" w:hAnsi="Trebuchet MS" w:cs="Arial"/>
          <w:b/>
          <w:kern w:val="0"/>
          <w:sz w:val="22"/>
          <w:szCs w:val="22"/>
        </w:rPr>
        <w:t>i</w:t>
      </w:r>
      <w:r w:rsidRPr="00E241F2">
        <w:rPr>
          <w:rFonts w:ascii="Trebuchet MS" w:hAnsi="Trebuchet MS" w:cs="Arial"/>
          <w:b/>
          <w:kern w:val="0"/>
          <w:sz w:val="22"/>
          <w:szCs w:val="22"/>
        </w:rPr>
        <w:t xml:space="preserve">o Business Intelligence </w:t>
      </w:r>
      <w:r w:rsidRPr="00E241F2">
        <w:rPr>
          <w:rFonts w:ascii="Trebuchet MS" w:hAnsi="Trebuchet MS" w:cs="Arial"/>
          <w:kern w:val="0"/>
          <w:sz w:val="22"/>
          <w:szCs w:val="22"/>
        </w:rPr>
        <w:t xml:space="preserve">della </w:t>
      </w:r>
      <w:r w:rsidRPr="00E241F2">
        <w:rPr>
          <w:rFonts w:ascii="Trebuchet MS" w:hAnsi="Trebuchet MS" w:cs="Arial"/>
          <w:b/>
          <w:kern w:val="0"/>
          <w:sz w:val="22"/>
          <w:szCs w:val="22"/>
        </w:rPr>
        <w:t>School of Management del Politecnico di Milano –</w:t>
      </w:r>
      <w:r w:rsidRPr="00875B3F">
        <w:rPr>
          <w:rFonts w:ascii="Trebuchet MS" w:hAnsi="Trebuchet MS" w:cs="Arial"/>
          <w:i/>
          <w:kern w:val="0"/>
          <w:sz w:val="22"/>
          <w:szCs w:val="22"/>
        </w:rPr>
        <w:t>la potenza metodologica degli advanced analytics per ricavare predizioni e svolgere ottimizzazioni; la diffusione dei social network con il loro enorme potenziale informativo</w:t>
      </w:r>
      <w:bookmarkStart w:id="0" w:name="_GoBack"/>
      <w:bookmarkEnd w:id="0"/>
      <w:r w:rsidRPr="00875B3F">
        <w:rPr>
          <w:rFonts w:ascii="Trebuchet MS" w:hAnsi="Trebuchet MS" w:cs="Arial"/>
          <w:i/>
          <w:kern w:val="0"/>
          <w:sz w:val="22"/>
          <w:szCs w:val="22"/>
        </w:rPr>
        <w:t xml:space="preserve">; la crescita di collezioni di big data contenenti exabyte di dati, in prevalenza non strutturati; la disponibilità a basso costo di tecnologie cloud capaci, tra l’altro, di gestire big data su scala distribuita; la diffusione capillare di device mobili in grado di accedere ad applicazioni BI in remoto. Le imprese sono quindi chiamate a raccogliere questa sfida e a inventare nuovi modi di competere e di svolgere le proprie attività, ponendo al centro le relazioni con i clienti e lasciandosi guidare dall’analisi della ingente mole di informazioni. Il tradizionale concetto di warehouse aziendale isolato e autosufficiente risulta ormai obsoleto. </w:t>
      </w:r>
      <w:r w:rsidRPr="0085247F">
        <w:rPr>
          <w:rFonts w:ascii="Trebuchet MS" w:hAnsi="Trebuchet MS" w:cs="Arial"/>
          <w:i/>
          <w:kern w:val="0"/>
          <w:sz w:val="22"/>
          <w:szCs w:val="22"/>
        </w:rPr>
        <w:t>Assistiamo all’integrazione di più sistemi informativi, destinati a trasformarsi in un data warehouse virtuale a supporto delle analisi di BI e degli advanced analytics: essi includono componenti di content e knowledge management, data warehouse e data mart tradizionali, architetture per la gestione di big data non strutturati.</w:t>
      </w:r>
      <w:r>
        <w:rPr>
          <w:rFonts w:ascii="Trebuchet MS" w:hAnsi="Trebuchet MS" w:cs="Arial"/>
          <w:i/>
          <w:kern w:val="0"/>
          <w:sz w:val="22"/>
          <w:szCs w:val="22"/>
        </w:rPr>
        <w:t>”</w:t>
      </w:r>
    </w:p>
    <w:p w:rsidR="002E6DED" w:rsidRPr="00A73A9D" w:rsidRDefault="002E6DED" w:rsidP="00894E62">
      <w:pPr>
        <w:widowControl/>
        <w:overflowPunct/>
        <w:autoSpaceDE w:val="0"/>
        <w:autoSpaceDN w:val="0"/>
        <w:jc w:val="both"/>
        <w:rPr>
          <w:rFonts w:ascii="Trebuchet MS" w:hAnsi="Trebuchet MS"/>
          <w:b/>
          <w:kern w:val="0"/>
          <w:sz w:val="22"/>
          <w:szCs w:val="22"/>
        </w:rPr>
      </w:pPr>
    </w:p>
    <w:p w:rsidR="002E6DED" w:rsidRDefault="002E6DED" w:rsidP="00F127D7">
      <w:pPr>
        <w:widowControl/>
        <w:overflowPunct/>
        <w:autoSpaceDE w:val="0"/>
        <w:autoSpaceDN w:val="0"/>
        <w:jc w:val="both"/>
        <w:rPr>
          <w:rFonts w:ascii="Trebuchet MS" w:hAnsi="Trebuchet MS" w:cs="MinionPro-Regular"/>
          <w:kern w:val="0"/>
          <w:sz w:val="22"/>
          <w:szCs w:val="22"/>
        </w:rPr>
      </w:pPr>
      <w:r w:rsidRPr="00894E62">
        <w:rPr>
          <w:rFonts w:ascii="Trebuchet MS" w:hAnsi="Trebuchet MS" w:cs="MinionPro-Regular"/>
          <w:kern w:val="0"/>
          <w:sz w:val="22"/>
          <w:szCs w:val="22"/>
        </w:rPr>
        <w:t>Questi i risultati di sintesi della nuova Ricerca dell’Osservatorio</w:t>
      </w:r>
      <w:r>
        <w:rPr>
          <w:rFonts w:ascii="Trebuchet MS" w:hAnsi="Trebuchet MS" w:cs="MinionPro-Regular"/>
          <w:kern w:val="0"/>
          <w:sz w:val="22"/>
          <w:szCs w:val="22"/>
        </w:rPr>
        <w:t xml:space="preserve"> Business Intelligence</w:t>
      </w:r>
      <w:r w:rsidRPr="00894E62">
        <w:rPr>
          <w:rFonts w:ascii="Trebuchet MS" w:hAnsi="Trebuchet MS" w:cs="MinionPro-Regular"/>
          <w:kern w:val="0"/>
          <w:sz w:val="22"/>
          <w:szCs w:val="22"/>
        </w:rPr>
        <w:t xml:space="preserve"> che</w:t>
      </w:r>
      <w:r>
        <w:rPr>
          <w:rFonts w:ascii="Trebuchet MS" w:hAnsi="Trebuchet MS" w:cs="MinionPro-Regular"/>
          <w:kern w:val="0"/>
          <w:sz w:val="22"/>
          <w:szCs w:val="22"/>
        </w:rPr>
        <w:t>, giunto alla quarta edizione,</w:t>
      </w:r>
      <w:r w:rsidRPr="00894E62">
        <w:rPr>
          <w:rFonts w:ascii="Trebuchet MS" w:hAnsi="Trebuchet MS" w:cs="MinionPro-Regular"/>
          <w:kern w:val="0"/>
          <w:sz w:val="22"/>
          <w:szCs w:val="22"/>
        </w:rPr>
        <w:t xml:space="preserve"> nel corso del </w:t>
      </w:r>
      <w:smartTag w:uri="urn:schemas-microsoft-com:office:smarttags" w:element="metricconverter">
        <w:smartTagPr>
          <w:attr w:name="ProductID" w:val="2011 ha"/>
        </w:smartTagPr>
        <w:r w:rsidRPr="00894E62">
          <w:rPr>
            <w:rFonts w:ascii="Trebuchet MS" w:hAnsi="Trebuchet MS" w:cs="MinionPro-Regular"/>
            <w:kern w:val="0"/>
            <w:sz w:val="22"/>
            <w:szCs w:val="22"/>
          </w:rPr>
          <w:t>201</w:t>
        </w:r>
        <w:r>
          <w:rPr>
            <w:rFonts w:ascii="Trebuchet MS" w:hAnsi="Trebuchet MS" w:cs="MinionPro-Regular"/>
            <w:kern w:val="0"/>
            <w:sz w:val="22"/>
            <w:szCs w:val="22"/>
          </w:rPr>
          <w:t>1</w:t>
        </w:r>
        <w:r w:rsidRPr="00894E62">
          <w:rPr>
            <w:rFonts w:ascii="Trebuchet MS" w:hAnsi="Trebuchet MS" w:cs="MinionPro-Regular"/>
            <w:b/>
            <w:kern w:val="0"/>
            <w:sz w:val="22"/>
            <w:szCs w:val="22"/>
          </w:rPr>
          <w:t xml:space="preserve"> </w:t>
        </w:r>
        <w:r>
          <w:rPr>
            <w:rFonts w:ascii="Trebuchet MS" w:hAnsi="Trebuchet MS" w:cs="MinionPro-Regular"/>
            <w:kern w:val="0"/>
            <w:sz w:val="22"/>
            <w:szCs w:val="22"/>
          </w:rPr>
          <w:t>ha</w:t>
        </w:r>
      </w:smartTag>
      <w:r>
        <w:rPr>
          <w:rFonts w:ascii="Trebuchet MS" w:hAnsi="Trebuchet MS" w:cs="MinionPro-Regular"/>
          <w:kern w:val="0"/>
          <w:sz w:val="22"/>
          <w:szCs w:val="22"/>
        </w:rPr>
        <w:t xml:space="preserve"> svolto un’indagine basata </w:t>
      </w:r>
      <w:r w:rsidRPr="00894E62">
        <w:rPr>
          <w:rFonts w:ascii="Trebuchet MS" w:hAnsi="Trebuchet MS" w:cs="MinionPro-Regular"/>
          <w:kern w:val="0"/>
          <w:sz w:val="22"/>
          <w:szCs w:val="22"/>
        </w:rPr>
        <w:t>su una solida base empirica costituita da più di 80 casi di studio approfonditi, che hanno permesso di identificare alcune best practice e le principali tendenze evolutive in atto. Attraverso i casi analizzati è stato possibile identificare le principali aree di applicazione dei sistemi di business intelligence nelle aziende dei settori investigati, valutando i benefici, le barriere allo sviluppo e l’impatto organizzativo sui processi e sulle risorse umane.</w:t>
      </w:r>
    </w:p>
    <w:p w:rsidR="002E6DED" w:rsidRPr="00894E62" w:rsidRDefault="002E6DED" w:rsidP="00F127D7">
      <w:pPr>
        <w:widowControl/>
        <w:overflowPunct/>
        <w:autoSpaceDE w:val="0"/>
        <w:autoSpaceDN w:val="0"/>
        <w:jc w:val="both"/>
        <w:rPr>
          <w:rFonts w:ascii="Trebuchet MS" w:hAnsi="Trebuchet MS"/>
          <w:b/>
          <w:kern w:val="0"/>
          <w:sz w:val="22"/>
          <w:szCs w:val="22"/>
        </w:rPr>
      </w:pPr>
    </w:p>
    <w:p w:rsidR="002E6DED" w:rsidRPr="00894E62" w:rsidRDefault="002E6DED" w:rsidP="00311E20">
      <w:pPr>
        <w:widowControl/>
        <w:overflowPunct/>
        <w:autoSpaceDE w:val="0"/>
        <w:autoSpaceDN w:val="0"/>
        <w:jc w:val="both"/>
        <w:outlineLvl w:val="0"/>
        <w:rPr>
          <w:rFonts w:ascii="Trebuchet MS" w:hAnsi="Trebuchet MS" w:cs="MinionPro-Regular"/>
          <w:kern w:val="0"/>
          <w:sz w:val="22"/>
          <w:szCs w:val="22"/>
        </w:rPr>
      </w:pPr>
      <w:r>
        <w:rPr>
          <w:rFonts w:ascii="Trebuchet MS" w:hAnsi="Trebuchet MS" w:cs="MinionPro-BoldIt"/>
          <w:b/>
          <w:bCs/>
          <w:i/>
          <w:iCs/>
          <w:kern w:val="0"/>
          <w:sz w:val="22"/>
          <w:szCs w:val="22"/>
        </w:rPr>
        <w:t>Vantaggi e criticità</w:t>
      </w:r>
    </w:p>
    <w:p w:rsidR="002E6DED" w:rsidRPr="00875B3F" w:rsidRDefault="002E6DED" w:rsidP="00875B3F">
      <w:pPr>
        <w:widowControl/>
        <w:overflowPunct/>
        <w:autoSpaceDE w:val="0"/>
        <w:autoSpaceDN w:val="0"/>
        <w:jc w:val="center"/>
        <w:rPr>
          <w:rFonts w:ascii="Trebuchet MS" w:hAnsi="Trebuchet MS" w:cs="Arial"/>
          <w:i/>
          <w:kern w:val="0"/>
          <w:sz w:val="22"/>
          <w:szCs w:val="22"/>
        </w:rPr>
      </w:pPr>
      <w:r>
        <w:rPr>
          <w:rFonts w:ascii="Trebuchet MS" w:hAnsi="Trebuchet MS" w:cs="Arial"/>
          <w:i/>
          <w:kern w:val="0"/>
          <w:sz w:val="22"/>
          <w:szCs w:val="22"/>
        </w:rPr>
        <w:t>“I</w:t>
      </w:r>
      <w:r w:rsidRPr="00875B3F">
        <w:rPr>
          <w:rFonts w:ascii="Trebuchet MS" w:hAnsi="Trebuchet MS" w:cs="Arial"/>
          <w:i/>
          <w:kern w:val="0"/>
          <w:sz w:val="22"/>
          <w:szCs w:val="22"/>
        </w:rPr>
        <w:t>l vantaggio principale conseguito dai sistemi di BI riguarda la maggiore efficacia delle decisioni, seguito dalla rapidità di reazione. Tra i benefici di natura organizzativa, figurano la visione univoca delle informazioni e la maggiore condivisione della conoscenza.</w:t>
      </w:r>
      <w:r w:rsidRPr="00E241F2">
        <w:rPr>
          <w:rFonts w:ascii="Trebuchet MS" w:hAnsi="Trebuchet MS" w:cs="Arial"/>
          <w:kern w:val="0"/>
          <w:sz w:val="22"/>
          <w:szCs w:val="22"/>
        </w:rPr>
        <w:t xml:space="preserve"> - ha dichiarato </w:t>
      </w:r>
      <w:r w:rsidRPr="00E241F2">
        <w:rPr>
          <w:rFonts w:ascii="Trebuchet MS" w:hAnsi="Trebuchet MS" w:cs="Arial"/>
          <w:b/>
          <w:kern w:val="0"/>
          <w:sz w:val="22"/>
          <w:szCs w:val="22"/>
        </w:rPr>
        <w:t>Carlo</w:t>
      </w:r>
      <w:r>
        <w:rPr>
          <w:rFonts w:ascii="Trebuchet MS" w:hAnsi="Trebuchet MS" w:cs="Arial"/>
          <w:b/>
          <w:kern w:val="0"/>
          <w:sz w:val="22"/>
          <w:szCs w:val="22"/>
        </w:rPr>
        <w:t>tta</w:t>
      </w:r>
      <w:r w:rsidRPr="00E241F2">
        <w:rPr>
          <w:rFonts w:ascii="Trebuchet MS" w:hAnsi="Trebuchet MS" w:cs="Arial"/>
          <w:b/>
          <w:kern w:val="0"/>
          <w:sz w:val="22"/>
          <w:szCs w:val="22"/>
        </w:rPr>
        <w:t xml:space="preserve"> </w:t>
      </w:r>
      <w:r>
        <w:rPr>
          <w:rFonts w:ascii="Trebuchet MS" w:hAnsi="Trebuchet MS" w:cs="Arial"/>
          <w:b/>
          <w:kern w:val="0"/>
          <w:sz w:val="22"/>
          <w:szCs w:val="22"/>
        </w:rPr>
        <w:t>Orsenigo</w:t>
      </w:r>
      <w:r w:rsidRPr="00E241F2">
        <w:rPr>
          <w:rFonts w:ascii="Trebuchet MS" w:hAnsi="Trebuchet MS" w:cs="Arial"/>
          <w:b/>
          <w:kern w:val="0"/>
          <w:sz w:val="22"/>
          <w:szCs w:val="22"/>
        </w:rPr>
        <w:t xml:space="preserve">, Responsabile </w:t>
      </w:r>
      <w:r>
        <w:rPr>
          <w:rFonts w:ascii="Trebuchet MS" w:hAnsi="Trebuchet MS" w:cs="Arial"/>
          <w:b/>
          <w:kern w:val="0"/>
          <w:sz w:val="22"/>
          <w:szCs w:val="22"/>
        </w:rPr>
        <w:t>della Ricerca</w:t>
      </w:r>
      <w:r w:rsidRPr="00E241F2">
        <w:rPr>
          <w:rFonts w:ascii="Trebuchet MS" w:hAnsi="Trebuchet MS" w:cs="Arial"/>
          <w:b/>
          <w:kern w:val="0"/>
          <w:sz w:val="22"/>
          <w:szCs w:val="22"/>
        </w:rPr>
        <w:t xml:space="preserve"> dell’Osservator</w:t>
      </w:r>
      <w:r>
        <w:rPr>
          <w:rFonts w:ascii="Trebuchet MS" w:hAnsi="Trebuchet MS" w:cs="Arial"/>
          <w:b/>
          <w:kern w:val="0"/>
          <w:sz w:val="22"/>
          <w:szCs w:val="22"/>
        </w:rPr>
        <w:t>i</w:t>
      </w:r>
      <w:r w:rsidRPr="00E241F2">
        <w:rPr>
          <w:rFonts w:ascii="Trebuchet MS" w:hAnsi="Trebuchet MS" w:cs="Arial"/>
          <w:b/>
          <w:kern w:val="0"/>
          <w:sz w:val="22"/>
          <w:szCs w:val="22"/>
        </w:rPr>
        <w:t xml:space="preserve">o Business Intelligence </w:t>
      </w:r>
      <w:r w:rsidRPr="00E241F2">
        <w:rPr>
          <w:rFonts w:ascii="Trebuchet MS" w:hAnsi="Trebuchet MS" w:cs="Arial"/>
          <w:kern w:val="0"/>
          <w:sz w:val="22"/>
          <w:szCs w:val="22"/>
        </w:rPr>
        <w:t xml:space="preserve">della </w:t>
      </w:r>
      <w:r w:rsidRPr="00E241F2">
        <w:rPr>
          <w:rFonts w:ascii="Trebuchet MS" w:hAnsi="Trebuchet MS" w:cs="Arial"/>
          <w:b/>
          <w:kern w:val="0"/>
          <w:sz w:val="22"/>
          <w:szCs w:val="22"/>
        </w:rPr>
        <w:t>School of Management del Politecnico di Milano –</w:t>
      </w:r>
      <w:r w:rsidRPr="00311E20">
        <w:rPr>
          <w:rFonts w:ascii="Trebuchet MS" w:hAnsi="Trebuchet MS" w:cs="Arial"/>
          <w:i/>
          <w:kern w:val="0"/>
          <w:sz w:val="22"/>
          <w:szCs w:val="22"/>
        </w:rPr>
        <w:t xml:space="preserve">. </w:t>
      </w:r>
    </w:p>
    <w:p w:rsidR="002E6DED" w:rsidRDefault="002E6DED" w:rsidP="00875B3F">
      <w:pPr>
        <w:widowControl/>
        <w:overflowPunct/>
        <w:autoSpaceDE w:val="0"/>
        <w:autoSpaceDN w:val="0"/>
        <w:jc w:val="center"/>
        <w:rPr>
          <w:rFonts w:ascii="Trebuchet MS" w:hAnsi="Trebuchet MS" w:cs="Arial"/>
          <w:i/>
          <w:kern w:val="0"/>
          <w:sz w:val="22"/>
          <w:szCs w:val="22"/>
        </w:rPr>
      </w:pPr>
      <w:r w:rsidRPr="00875B3F">
        <w:rPr>
          <w:rFonts w:ascii="Trebuchet MS" w:hAnsi="Trebuchet MS" w:cs="Arial"/>
          <w:i/>
          <w:kern w:val="0"/>
          <w:sz w:val="22"/>
          <w:szCs w:val="22"/>
        </w:rPr>
        <w:t>Le barriere che ostacolano l’adozione di sistemi di BI sono prevalentemente di natura organizzativa e culturale. Da un lato, la mancanza di commitment dei C-level, la mancanza di visione strategica che concepisca i progetti di BI come attività che riguardano l’impresa nel suo complesso, la carenza di comunicazione e collaborazione. Dall’altro, le resistenze culturali al ca</w:t>
      </w:r>
      <w:r>
        <w:rPr>
          <w:rFonts w:ascii="Trebuchet MS" w:hAnsi="Trebuchet MS" w:cs="Arial"/>
          <w:i/>
          <w:kern w:val="0"/>
          <w:sz w:val="22"/>
          <w:szCs w:val="22"/>
        </w:rPr>
        <w:t>mbiamento e la carenza di skill</w:t>
      </w:r>
      <w:r w:rsidRPr="00875B3F">
        <w:rPr>
          <w:rFonts w:ascii="Trebuchet MS" w:hAnsi="Trebuchet MS" w:cs="Arial"/>
          <w:i/>
          <w:kern w:val="0"/>
          <w:sz w:val="22"/>
          <w:szCs w:val="22"/>
        </w:rPr>
        <w:t xml:space="preserve"> adeguate per poter impiegare gli strumenti di BI e segnatamente gli advanced analytics, la capacità dei knowledge worker di ricercare informazioni e di tradurle in azioni efficaci.</w:t>
      </w:r>
      <w:r>
        <w:rPr>
          <w:rFonts w:ascii="Trebuchet MS" w:hAnsi="Trebuchet MS" w:cs="Arial"/>
          <w:i/>
          <w:kern w:val="0"/>
          <w:sz w:val="22"/>
          <w:szCs w:val="22"/>
        </w:rPr>
        <w:t>”</w:t>
      </w:r>
    </w:p>
    <w:p w:rsidR="002E6DED" w:rsidRDefault="002E6DED" w:rsidP="00F127D7">
      <w:pPr>
        <w:widowControl/>
        <w:overflowPunct/>
        <w:autoSpaceDE w:val="0"/>
        <w:autoSpaceDN w:val="0"/>
        <w:jc w:val="both"/>
        <w:rPr>
          <w:rFonts w:ascii="Trebuchet MS" w:hAnsi="Trebuchet MS"/>
          <w:kern w:val="0"/>
          <w:sz w:val="22"/>
          <w:szCs w:val="22"/>
        </w:rPr>
      </w:pPr>
    </w:p>
    <w:p w:rsidR="002E6DED" w:rsidRPr="0078152E" w:rsidRDefault="002E6DED" w:rsidP="00875B3F">
      <w:pPr>
        <w:widowControl/>
        <w:overflowPunct/>
        <w:autoSpaceDE w:val="0"/>
        <w:autoSpaceDN w:val="0"/>
        <w:jc w:val="both"/>
        <w:outlineLvl w:val="0"/>
        <w:rPr>
          <w:rFonts w:ascii="Trebuchet MS" w:hAnsi="Trebuchet MS"/>
          <w:b/>
          <w:kern w:val="0"/>
          <w:sz w:val="22"/>
          <w:szCs w:val="22"/>
        </w:rPr>
      </w:pPr>
      <w:r>
        <w:rPr>
          <w:rFonts w:ascii="Trebuchet MS" w:hAnsi="Trebuchet MS" w:cs="MinionPro-Regular"/>
          <w:b/>
          <w:kern w:val="0"/>
          <w:sz w:val="22"/>
          <w:szCs w:val="22"/>
        </w:rPr>
        <w:t>Prospettive di mercato</w:t>
      </w:r>
    </w:p>
    <w:p w:rsidR="002E6DED"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kern w:val="0"/>
          <w:sz w:val="22"/>
          <w:szCs w:val="22"/>
        </w:rPr>
        <w:t>A dispetto della congiuntura sfavorevole, gli investimenti in sistemi di business intelligence nel corso del biennio 2009-2010 e del primo semestre 2011 sono cresciuti in modo significativo, con incrementi medi che superano il 7%. Anche per il futuro le prospettive di sviluppo si presentano favorevoli, con una previsione di crescita superiore all’8% per il prossimo triennio. Gli investimenti in sistemi di BI continuano a risultare superiori alla media degli investimenti complessivi in ICT. Le applicazioni di business intelligence rafforzano il proprio ruolo strategico e rappresentano una priorità per i CIO, per il contributo che offrono al miglioramento dei processi decisionali, all’ottimizzazione delle prestazioni, all’incremento dei ricavi,  alla riduzione dei costi.</w:t>
      </w:r>
    </w:p>
    <w:p w:rsidR="002E6DED" w:rsidRDefault="002E6DED" w:rsidP="00875B3F">
      <w:pPr>
        <w:widowControl/>
        <w:overflowPunct/>
        <w:autoSpaceDE w:val="0"/>
        <w:autoSpaceDN w:val="0"/>
        <w:jc w:val="both"/>
        <w:rPr>
          <w:rFonts w:ascii="Trebuchet MS" w:hAnsi="Trebuchet MS" w:cs="MinionPro-Regular"/>
          <w:kern w:val="0"/>
          <w:sz w:val="22"/>
          <w:szCs w:val="22"/>
        </w:rPr>
      </w:pPr>
    </w:p>
    <w:p w:rsidR="002E6DED" w:rsidRPr="00894E62" w:rsidRDefault="002E6DED" w:rsidP="00875B3F">
      <w:pPr>
        <w:widowControl/>
        <w:overflowPunct/>
        <w:autoSpaceDE w:val="0"/>
        <w:autoSpaceDN w:val="0"/>
        <w:jc w:val="both"/>
        <w:outlineLvl w:val="0"/>
        <w:rPr>
          <w:rFonts w:ascii="Trebuchet MS" w:hAnsi="Trebuchet MS" w:cs="MinionPro-Regular"/>
          <w:kern w:val="0"/>
          <w:sz w:val="22"/>
          <w:szCs w:val="22"/>
        </w:rPr>
      </w:pPr>
      <w:r>
        <w:rPr>
          <w:rFonts w:ascii="Trebuchet MS" w:hAnsi="Trebuchet MS" w:cs="MinionPro-BoldIt"/>
          <w:b/>
          <w:bCs/>
          <w:i/>
          <w:iCs/>
          <w:kern w:val="0"/>
          <w:sz w:val="22"/>
          <w:szCs w:val="22"/>
        </w:rPr>
        <w:t>Maturity model</w:t>
      </w:r>
    </w:p>
    <w:p w:rsidR="002E6DED" w:rsidRPr="00894E62" w:rsidRDefault="002E6DED" w:rsidP="00875B3F">
      <w:pPr>
        <w:widowControl/>
        <w:overflowPunct/>
        <w:autoSpaceDE w:val="0"/>
        <w:autoSpaceDN w:val="0"/>
        <w:jc w:val="both"/>
        <w:rPr>
          <w:rFonts w:ascii="Trebuchet MS" w:hAnsi="Trebuchet MS" w:cs="MinionPro-Regular"/>
          <w:kern w:val="0"/>
          <w:sz w:val="22"/>
          <w:szCs w:val="22"/>
        </w:rPr>
      </w:pPr>
      <w:smartTag w:uri="urn:schemas-microsoft-com:office:smarttags" w:element="PersonName">
        <w:smartTagPr>
          <w:attr w:name="ProductID" w:val="La School"/>
        </w:smartTagPr>
        <w:r>
          <w:rPr>
            <w:rFonts w:ascii="Trebuchet MS" w:hAnsi="Trebuchet MS" w:cs="MinionPro-Regular"/>
            <w:kern w:val="0"/>
            <w:sz w:val="22"/>
            <w:szCs w:val="22"/>
          </w:rPr>
          <w:t>La Ricerca</w:t>
        </w:r>
      </w:smartTag>
      <w:r>
        <w:rPr>
          <w:rFonts w:ascii="Trebuchet MS" w:hAnsi="Trebuchet MS" w:cs="MinionPro-Regular"/>
          <w:kern w:val="0"/>
          <w:sz w:val="22"/>
          <w:szCs w:val="22"/>
        </w:rPr>
        <w:t xml:space="preserve"> </w:t>
      </w:r>
      <w:smartTag w:uri="urn:schemas-microsoft-com:office:smarttags" w:element="metricconverter">
        <w:smartTagPr>
          <w:attr w:name="ProductID" w:val="2011 ha"/>
        </w:smartTagPr>
        <w:r>
          <w:rPr>
            <w:rFonts w:ascii="Trebuchet MS" w:hAnsi="Trebuchet MS" w:cs="MinionPro-Regular"/>
            <w:kern w:val="0"/>
            <w:sz w:val="22"/>
            <w:szCs w:val="22"/>
          </w:rPr>
          <w:t>2011 ha</w:t>
        </w:r>
      </w:smartTag>
      <w:r>
        <w:rPr>
          <w:rFonts w:ascii="Trebuchet MS" w:hAnsi="Trebuchet MS" w:cs="MinionPro-Regular"/>
          <w:kern w:val="0"/>
          <w:sz w:val="22"/>
          <w:szCs w:val="22"/>
        </w:rPr>
        <w:t xml:space="preserve"> anche verificato e consolidato </w:t>
      </w:r>
      <w:r w:rsidRPr="00894E62">
        <w:rPr>
          <w:rFonts w:ascii="Trebuchet MS" w:hAnsi="Trebuchet MS" w:cs="MinionPro-Regular"/>
          <w:kern w:val="0"/>
          <w:sz w:val="22"/>
          <w:szCs w:val="22"/>
        </w:rPr>
        <w:t>il maturity model elaborato dall</w:t>
      </w:r>
      <w:r>
        <w:rPr>
          <w:rFonts w:ascii="Trebuchet MS" w:hAnsi="Trebuchet MS" w:cs="MinionPro-Regular"/>
          <w:kern w:val="0"/>
          <w:sz w:val="22"/>
          <w:szCs w:val="22"/>
        </w:rPr>
        <w:t xml:space="preserve">o stesso </w:t>
      </w:r>
      <w:r w:rsidRPr="00894E62">
        <w:rPr>
          <w:rFonts w:ascii="Trebuchet MS" w:hAnsi="Trebuchet MS" w:cs="MinionPro-Regular"/>
          <w:kern w:val="0"/>
          <w:sz w:val="22"/>
          <w:szCs w:val="22"/>
        </w:rPr>
        <w:t xml:space="preserve">Osservatorio </w:t>
      </w:r>
      <w:r>
        <w:rPr>
          <w:rFonts w:ascii="Trebuchet MS" w:hAnsi="Trebuchet MS" w:cs="MinionPro-Regular"/>
          <w:kern w:val="0"/>
          <w:sz w:val="22"/>
          <w:szCs w:val="22"/>
        </w:rPr>
        <w:t>nel 2008 e</w:t>
      </w:r>
      <w:r w:rsidRPr="00894E62">
        <w:rPr>
          <w:rFonts w:ascii="Trebuchet MS" w:hAnsi="Trebuchet MS" w:cs="MinionPro-Regular"/>
          <w:kern w:val="0"/>
          <w:sz w:val="22"/>
          <w:szCs w:val="22"/>
        </w:rPr>
        <w:t xml:space="preserve"> confermato nel corso del </w:t>
      </w:r>
      <w:r>
        <w:rPr>
          <w:rFonts w:ascii="Trebuchet MS" w:hAnsi="Trebuchet MS" w:cs="MinionPro-Regular"/>
          <w:kern w:val="0"/>
          <w:sz w:val="22"/>
          <w:szCs w:val="22"/>
        </w:rPr>
        <w:t xml:space="preserve">biennio </w:t>
      </w:r>
      <w:r w:rsidRPr="00894E62">
        <w:rPr>
          <w:rFonts w:ascii="Trebuchet MS" w:hAnsi="Trebuchet MS" w:cs="MinionPro-Regular"/>
          <w:kern w:val="0"/>
          <w:sz w:val="22"/>
          <w:szCs w:val="22"/>
        </w:rPr>
        <w:t>2009</w:t>
      </w:r>
      <w:r>
        <w:rPr>
          <w:rFonts w:ascii="Trebuchet MS" w:hAnsi="Trebuchet MS" w:cs="MinionPro-Regular"/>
          <w:kern w:val="0"/>
          <w:sz w:val="22"/>
          <w:szCs w:val="22"/>
        </w:rPr>
        <w:t>-2010</w:t>
      </w:r>
      <w:r w:rsidRPr="00894E62">
        <w:rPr>
          <w:rFonts w:ascii="Trebuchet MS" w:hAnsi="Trebuchet MS" w:cs="MinionPro-Regular"/>
          <w:kern w:val="0"/>
          <w:sz w:val="22"/>
          <w:szCs w:val="22"/>
        </w:rPr>
        <w:t>, che permette di classificare le imprese rispetto al loro effettivo grado di utilizzo degli strumenti di business intelligence. Le imprese del campione della ricerca 2010 sono state collocate nei quattro quadranti del maturity model (BI basilare, BI integrata, BI mirata, BI strategica), al fine di operare un confronto tra i diversi settori analizzati.</w:t>
      </w:r>
    </w:p>
    <w:p w:rsidR="002E6DED" w:rsidRPr="00875B3F" w:rsidRDefault="002E6DED" w:rsidP="00875B3F">
      <w:pPr>
        <w:widowControl/>
        <w:overflowPunct/>
        <w:autoSpaceDE w:val="0"/>
        <w:autoSpaceDN w:val="0"/>
        <w:jc w:val="both"/>
        <w:rPr>
          <w:rFonts w:ascii="Trebuchet MS" w:hAnsi="Trebuchet MS"/>
          <w:kern w:val="0"/>
          <w:sz w:val="22"/>
          <w:szCs w:val="22"/>
        </w:rPr>
      </w:pPr>
    </w:p>
    <w:p w:rsidR="002E6DED" w:rsidRPr="009B59E6" w:rsidRDefault="002E6DED" w:rsidP="00F127D7">
      <w:pPr>
        <w:widowControl/>
        <w:overflowPunct/>
        <w:autoSpaceDE w:val="0"/>
        <w:autoSpaceDN w:val="0"/>
        <w:jc w:val="both"/>
        <w:outlineLvl w:val="0"/>
        <w:rPr>
          <w:rFonts w:ascii="Trebuchet MS" w:hAnsi="Trebuchet MS" w:cs="Wingdings-Regular"/>
          <w:b/>
          <w:kern w:val="0"/>
          <w:sz w:val="22"/>
          <w:szCs w:val="22"/>
        </w:rPr>
      </w:pPr>
      <w:r>
        <w:rPr>
          <w:rFonts w:ascii="Trebuchet MS" w:hAnsi="Trebuchet MS" w:cs="Wingdings-Regular"/>
          <w:b/>
          <w:kern w:val="0"/>
          <w:sz w:val="22"/>
          <w:szCs w:val="22"/>
        </w:rPr>
        <w:t>Le tendenze in atto</w:t>
      </w:r>
    </w:p>
    <w:p w:rsidR="002E6DED" w:rsidRPr="00875B3F"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b/>
          <w:i/>
          <w:kern w:val="0"/>
          <w:sz w:val="22"/>
          <w:szCs w:val="22"/>
        </w:rPr>
        <w:t>Advanced analytics</w:t>
      </w:r>
      <w:r w:rsidRPr="00875B3F">
        <w:rPr>
          <w:rFonts w:ascii="Trebuchet MS" w:hAnsi="Trebuchet MS" w:cs="MinionPro-Regular"/>
          <w:kern w:val="0"/>
          <w:sz w:val="22"/>
          <w:szCs w:val="22"/>
        </w:rPr>
        <w:t>. L’impiego di advanced analytics, già apparso in progressivo aumento negli scorsi anni, continua ad affermarsi in quanto permette di supportare efficacemente i processi decisionali e di conseguire benefici in termini di vantaggio competitivo. Siamo tuttavia in presenza di un cambiamento di paradigma in quanto la necessità di svolgere analisi di big data, in larga parte costituiti da dati non strutturati estratti da social network, richiede nuove generazioni di algoritmi predittivi e di ottimizzazione robusti progettati per affrontare il volume, la varietà e la tempestività nell’analisi dei dati. Si tratta in molti casi di algoritmi di elaborazione in parallelo, che consentono di dividere automaticamente i carichi di lavoro su molteplici server per migliorare le prestazioni a fronte di collezioni di dati di enormi dimensioni.</w:t>
      </w:r>
    </w:p>
    <w:p w:rsidR="002E6DED" w:rsidRDefault="002E6DED" w:rsidP="00875B3F">
      <w:pPr>
        <w:widowControl/>
        <w:overflowPunct/>
        <w:autoSpaceDE w:val="0"/>
        <w:autoSpaceDN w:val="0"/>
        <w:jc w:val="both"/>
        <w:rPr>
          <w:rFonts w:ascii="Trebuchet MS" w:hAnsi="Trebuchet MS" w:cs="MinionPro-Regular"/>
          <w:kern w:val="0"/>
          <w:sz w:val="22"/>
          <w:szCs w:val="22"/>
        </w:rPr>
      </w:pPr>
    </w:p>
    <w:p w:rsidR="002E6DED" w:rsidRPr="00875B3F"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b/>
          <w:i/>
          <w:kern w:val="0"/>
          <w:sz w:val="22"/>
          <w:szCs w:val="22"/>
        </w:rPr>
        <w:t>Social network</w:t>
      </w:r>
      <w:r w:rsidRPr="00875B3F">
        <w:rPr>
          <w:rFonts w:ascii="Trebuchet MS" w:hAnsi="Trebuchet MS" w:cs="MinionPro-Regular"/>
          <w:kern w:val="0"/>
          <w:sz w:val="22"/>
          <w:szCs w:val="22"/>
        </w:rPr>
        <w:t>. La massiccia presenza sui social network – ormai frequentati da quasi un miliardo e mezzo di individui, a un tempo cittadini, clienti, lavoratori, lettori, influenzatori – rende evidente l’importanza crescente del web come canale di comunicazione e promozione dell’immagine delle imprese. L’analisi delle informazioni relative alle visite a siti, forum, blog, messaggi, email diviene critica per estrarre conoscenze indispensabili per guidare le azioni di marketing e vendita, per progettare lo sviluppo e il posizionamento di nuovi prodotti, per valutare la web reputation di prodotti e servizi.</w:t>
      </w:r>
    </w:p>
    <w:p w:rsidR="002E6DED" w:rsidRDefault="002E6DED" w:rsidP="00875B3F">
      <w:pPr>
        <w:widowControl/>
        <w:overflowPunct/>
        <w:autoSpaceDE w:val="0"/>
        <w:autoSpaceDN w:val="0"/>
        <w:jc w:val="both"/>
        <w:rPr>
          <w:rFonts w:ascii="Trebuchet MS" w:hAnsi="Trebuchet MS" w:cs="MinionPro-Regular"/>
          <w:kern w:val="0"/>
          <w:sz w:val="22"/>
          <w:szCs w:val="22"/>
        </w:rPr>
      </w:pPr>
    </w:p>
    <w:p w:rsidR="002E6DED" w:rsidRPr="00875B3F"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b/>
          <w:i/>
          <w:kern w:val="0"/>
          <w:sz w:val="22"/>
          <w:szCs w:val="22"/>
        </w:rPr>
        <w:t>Big data</w:t>
      </w:r>
      <w:r w:rsidRPr="00875B3F">
        <w:rPr>
          <w:rFonts w:ascii="Trebuchet MS" w:hAnsi="Trebuchet MS" w:cs="MinionPro-Regular"/>
          <w:kern w:val="0"/>
          <w:sz w:val="22"/>
          <w:szCs w:val="22"/>
        </w:rPr>
        <w:t>. Il termine “big data” si riferisce alle enormi moli di dati che vengono creati all’interno dei sistemi informativi aziendali, ad esempio mediante la raccolta di dati di processo real-time o di transazioni commerciali, l’estrazione di informazioni dai social network, la collezione di dati da dispositivi mobili. Si tratta nel complesso di dati che non è possibile caricare in un tipico database relazionale, per limiti tecnici o economici. I big data si estendono per dimensioni da petabyte a exabyte, e contengono dati eterogenei per origine, contenuto e rappresentazione, in prevalenza di natura testuale: transazioni commerciali, finanziarie e amministrative, percorsi di navigazione su web, email, messaggi su forum, blog, social networks, misurazioni di parametri di processi, contratti, fatture, documentazioni e reports, reclami, file multimediali, per limitarsi ad alcuni esempi. Si valuta che almeno l’85% delle informazioni oggi disponibili rientri nella categoria dei dati non strutturati.</w:t>
      </w:r>
    </w:p>
    <w:p w:rsidR="002E6DED" w:rsidRPr="00875B3F"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b/>
          <w:i/>
          <w:kern w:val="0"/>
          <w:sz w:val="22"/>
          <w:szCs w:val="22"/>
        </w:rPr>
        <w:t>Cloud</w:t>
      </w:r>
      <w:r w:rsidRPr="00875B3F">
        <w:rPr>
          <w:rFonts w:ascii="Trebuchet MS" w:hAnsi="Trebuchet MS" w:cs="MinionPro-Regular"/>
          <w:kern w:val="0"/>
          <w:sz w:val="22"/>
          <w:szCs w:val="22"/>
        </w:rPr>
        <w:t>. L’obiettivo dei modelli cloud è la distribuzione delle risorse hardware e software sulla rete, la possibilità di avere accesso a tali risorse da ogni luogo e in ogni momento, la sicurezza dei dati in termini di backup, la capacità di potenziare l’infrastruttura IT in modo dinamico e senza investimenti di ampia portata. Vi sono molteplici ragioni che favoriscono la collocazione di applicazioni di business intelligence in architetture di cloud computing. Tra queste, la riduzione dei costi di investimento e di manutenzione; la difficoltà di realizzare in-house potenti architetture di calcolo necessarie per utilizzare advanced analytics per l’elaborazione di grandi moli di dati; la possibilità di condividere dati e informazioni tra diverse organizzazioni.</w:t>
      </w:r>
    </w:p>
    <w:p w:rsidR="002E6DED" w:rsidRDefault="002E6DED" w:rsidP="00875B3F">
      <w:pPr>
        <w:widowControl/>
        <w:overflowPunct/>
        <w:autoSpaceDE w:val="0"/>
        <w:autoSpaceDN w:val="0"/>
        <w:jc w:val="both"/>
        <w:rPr>
          <w:rFonts w:ascii="Trebuchet MS" w:hAnsi="Trebuchet MS" w:cs="MinionPro-Regular"/>
          <w:kern w:val="0"/>
          <w:sz w:val="22"/>
          <w:szCs w:val="22"/>
        </w:rPr>
      </w:pPr>
    </w:p>
    <w:p w:rsidR="002E6DED" w:rsidRPr="00875B3F" w:rsidRDefault="002E6DED" w:rsidP="00875B3F">
      <w:pPr>
        <w:widowControl/>
        <w:overflowPunct/>
        <w:autoSpaceDE w:val="0"/>
        <w:autoSpaceDN w:val="0"/>
        <w:jc w:val="both"/>
        <w:rPr>
          <w:rFonts w:ascii="Trebuchet MS" w:hAnsi="Trebuchet MS" w:cs="MinionPro-Regular"/>
          <w:kern w:val="0"/>
          <w:sz w:val="22"/>
          <w:szCs w:val="22"/>
        </w:rPr>
      </w:pPr>
      <w:r w:rsidRPr="00875B3F">
        <w:rPr>
          <w:rFonts w:ascii="Trebuchet MS" w:hAnsi="Trebuchet MS" w:cs="MinionPro-Regular"/>
          <w:b/>
          <w:i/>
          <w:kern w:val="0"/>
          <w:sz w:val="22"/>
          <w:szCs w:val="22"/>
        </w:rPr>
        <w:t>Mobile BI</w:t>
      </w:r>
      <w:r w:rsidRPr="00875B3F">
        <w:rPr>
          <w:rFonts w:ascii="Trebuchet MS" w:hAnsi="Trebuchet MS" w:cs="MinionPro-Regular"/>
          <w:kern w:val="0"/>
          <w:sz w:val="22"/>
          <w:szCs w:val="22"/>
        </w:rPr>
        <w:t>. L’ampia diffusione di dispositivi tablet sul mercato ha dato origine allo sviluppo di nuovi strumenti di analisi che traggono vantaggio dalle capacità di calcolo e dalla qualità dei display dei device mobili, rendendo cosi possibile l’utilizzo di dashboard e report interattivi anche in mobilità. Il successo di applicativi di BI mobile può favorire anche il paradigma di self-service BI, consentendo agli utenti mobili di creare analisi personalizzate che possono essere di grande ausilio nel corso dei processi decisionali.</w:t>
      </w:r>
    </w:p>
    <w:p w:rsidR="002E6DED" w:rsidRDefault="002E6DED" w:rsidP="00875B3F">
      <w:pPr>
        <w:widowControl/>
        <w:overflowPunct/>
        <w:autoSpaceDE w:val="0"/>
        <w:autoSpaceDN w:val="0"/>
        <w:jc w:val="both"/>
        <w:rPr>
          <w:rFonts w:ascii="Trebuchet MS" w:hAnsi="Trebuchet MS" w:cs="MinionPro-Regular"/>
          <w:kern w:val="0"/>
          <w:sz w:val="22"/>
          <w:szCs w:val="22"/>
        </w:rPr>
      </w:pPr>
    </w:p>
    <w:p w:rsidR="002E6DED" w:rsidRPr="00894E62" w:rsidRDefault="002E6DED" w:rsidP="00875B3F">
      <w:pPr>
        <w:widowControl/>
        <w:overflowPunct/>
        <w:autoSpaceDE w:val="0"/>
        <w:autoSpaceDN w:val="0"/>
        <w:jc w:val="both"/>
        <w:rPr>
          <w:rFonts w:ascii="Trebuchet MS" w:hAnsi="Trebuchet MS"/>
          <w:kern w:val="0"/>
          <w:sz w:val="22"/>
          <w:szCs w:val="22"/>
        </w:rPr>
      </w:pPr>
      <w:r w:rsidRPr="009731FA">
        <w:rPr>
          <w:rFonts w:ascii="Trebuchet MS" w:hAnsi="Trebuchet MS" w:cs="MinionPro-Regular"/>
          <w:b/>
          <w:i/>
          <w:kern w:val="0"/>
          <w:sz w:val="22"/>
          <w:szCs w:val="22"/>
        </w:rPr>
        <w:t>Event driven BI</w:t>
      </w:r>
      <w:r w:rsidRPr="00875B3F">
        <w:rPr>
          <w:rFonts w:ascii="Trebuchet MS" w:hAnsi="Trebuchet MS" w:cs="MinionPro-Regular"/>
          <w:kern w:val="0"/>
          <w:sz w:val="22"/>
          <w:szCs w:val="22"/>
        </w:rPr>
        <w:t>. Le applicazioni di business intelligence operativa e orientata agli eventi, real-time o near real-time, in crescente diffusione, consentono di agire in modo tempestivo mediante l’automazione delle decisioni operative. Risulta evidente come questi strumenti applicativi possono trarre vantaggio dagli advanced analytics sviluppati per l’elaborazione di big data e da tecnologie cloud che consentono l’accesso a infrastrutture hardware e software a costi proporzionali all’utilizzo e con espandibilità potenzialmente illimitata.</w:t>
      </w:r>
    </w:p>
    <w:p w:rsidR="002E6DED" w:rsidRPr="00894E62" w:rsidRDefault="002E6DED" w:rsidP="00194403">
      <w:pPr>
        <w:widowControl/>
        <w:overflowPunct/>
        <w:autoSpaceDE w:val="0"/>
        <w:autoSpaceDN w:val="0"/>
        <w:jc w:val="both"/>
        <w:rPr>
          <w:rFonts w:ascii="Trebuchet MS" w:hAnsi="Trebuchet MS"/>
          <w:kern w:val="0"/>
          <w:sz w:val="22"/>
          <w:szCs w:val="22"/>
        </w:rPr>
      </w:pPr>
    </w:p>
    <w:p w:rsidR="002E6DED" w:rsidRPr="0080179C" w:rsidRDefault="002E6DED" w:rsidP="00282077">
      <w:pPr>
        <w:jc w:val="both"/>
        <w:rPr>
          <w:rFonts w:ascii="Trebuchet MS" w:hAnsi="Trebuchet MS" w:cs="Arial"/>
          <w:sz w:val="18"/>
          <w:szCs w:val="18"/>
        </w:rPr>
      </w:pPr>
      <w:r w:rsidRPr="006906DF">
        <w:rPr>
          <w:rFonts w:ascii="Trebuchet MS" w:hAnsi="Trebuchet MS" w:cs="Arial"/>
          <w:i/>
          <w:iCs/>
          <w:sz w:val="18"/>
          <w:szCs w:val="18"/>
        </w:rPr>
        <w:t xml:space="preserve">(* ) </w:t>
      </w:r>
      <w:r w:rsidRPr="006906DF">
        <w:rPr>
          <w:rFonts w:ascii="Trebuchet MS" w:hAnsi="Trebuchet MS" w:cs="Arial"/>
          <w:sz w:val="18"/>
          <w:szCs w:val="18"/>
        </w:rPr>
        <w:t xml:space="preserve">L’edizione 2010 dell'Osservatorio è stata realizzata </w:t>
      </w:r>
      <w:r>
        <w:rPr>
          <w:rFonts w:ascii="Trebuchet MS" w:hAnsi="Trebuchet MS" w:cs="Arial"/>
          <w:sz w:val="18"/>
          <w:szCs w:val="18"/>
        </w:rPr>
        <w:t xml:space="preserve">con il </w:t>
      </w:r>
      <w:r w:rsidRPr="0080179C">
        <w:rPr>
          <w:rFonts w:ascii="Trebuchet MS" w:hAnsi="Trebuchet MS" w:cs="Arial"/>
          <w:sz w:val="18"/>
          <w:szCs w:val="18"/>
        </w:rPr>
        <w:t xml:space="preserve">supporto di </w:t>
      </w:r>
      <w:r w:rsidRPr="0080179C">
        <w:rPr>
          <w:rFonts w:ascii="Trebuchet MS" w:hAnsi="Trebuchet MS"/>
          <w:sz w:val="18"/>
          <w:szCs w:val="18"/>
        </w:rPr>
        <w:t>Microsoft, QlikView, SAS, Altea, Ardency, Axiante, Bicon3, Bisight, Crystal-System, Decisyon, Iconsulting, Softquattro, Sopra Group, Targit</w:t>
      </w:r>
      <w:r w:rsidRPr="0080179C">
        <w:rPr>
          <w:rFonts w:ascii="Trebuchet MS" w:hAnsi="Trebuchet MS" w:cs="Arial"/>
          <w:sz w:val="18"/>
          <w:szCs w:val="18"/>
        </w:rPr>
        <w:t>.</w:t>
      </w:r>
    </w:p>
    <w:p w:rsidR="002E6DED" w:rsidRPr="0080179C" w:rsidRDefault="002E6DED" w:rsidP="00282077">
      <w:pPr>
        <w:jc w:val="both"/>
        <w:rPr>
          <w:rFonts w:ascii="Trebuchet MS" w:hAnsi="Trebuchet MS" w:cs="Arial"/>
          <w:sz w:val="18"/>
          <w:szCs w:val="18"/>
        </w:rPr>
      </w:pPr>
    </w:p>
    <w:p w:rsidR="002E6DED" w:rsidRPr="006906DF" w:rsidRDefault="002E6DED" w:rsidP="00282077">
      <w:pPr>
        <w:jc w:val="both"/>
        <w:rPr>
          <w:rFonts w:ascii="Trebuchet MS" w:hAnsi="Trebuchet MS" w:cs="Trebuchet MS"/>
          <w:b/>
          <w:bCs/>
          <w:sz w:val="14"/>
        </w:rPr>
      </w:pPr>
    </w:p>
    <w:p w:rsidR="002E6DED" w:rsidRPr="00E02603" w:rsidRDefault="002E6DED" w:rsidP="00684572">
      <w:pPr>
        <w:rPr>
          <w:rFonts w:ascii="Trebuchet MS" w:hAnsi="Trebuchet MS" w:cs="Trebuchet MS"/>
          <w:b/>
          <w:bCs/>
          <w:noProof/>
          <w:sz w:val="16"/>
          <w:szCs w:val="16"/>
        </w:rPr>
      </w:pPr>
    </w:p>
    <w:tbl>
      <w:tblPr>
        <w:tblW w:w="0" w:type="auto"/>
        <w:tblLayout w:type="fixed"/>
        <w:tblCellMar>
          <w:left w:w="180" w:type="dxa"/>
          <w:right w:w="180" w:type="dxa"/>
        </w:tblCellMar>
        <w:tblLook w:val="0000"/>
      </w:tblPr>
      <w:tblGrid>
        <w:gridCol w:w="5220"/>
        <w:gridCol w:w="5220"/>
      </w:tblGrid>
      <w:tr w:rsidR="002E6DED" w:rsidRPr="00684572" w:rsidTr="00492C7A">
        <w:trPr>
          <w:trHeight w:val="1228"/>
        </w:trPr>
        <w:tc>
          <w:tcPr>
            <w:tcW w:w="5220" w:type="dxa"/>
            <w:tcBorders>
              <w:top w:val="nil"/>
              <w:left w:val="nil"/>
              <w:bottom w:val="nil"/>
              <w:right w:val="nil"/>
            </w:tcBorders>
          </w:tcPr>
          <w:p w:rsidR="002E6DED" w:rsidRPr="00E02603" w:rsidRDefault="002E6DED" w:rsidP="00492C7A">
            <w:pPr>
              <w:rPr>
                <w:rFonts w:ascii="Trebuchet MS" w:hAnsi="Trebuchet MS" w:cs="Trebuchet MS"/>
                <w:b/>
                <w:bCs/>
                <w:noProof/>
              </w:rPr>
            </w:pPr>
            <w:r w:rsidRPr="00E02603">
              <w:rPr>
                <w:rFonts w:ascii="Trebuchet MS" w:hAnsi="Trebuchet MS" w:cs="Trebuchet MS"/>
                <w:b/>
                <w:bCs/>
                <w:noProof/>
              </w:rPr>
              <w:t>School of Management Politecnico di Milano</w:t>
            </w:r>
          </w:p>
          <w:p w:rsidR="002E6DED" w:rsidRPr="00E02603" w:rsidRDefault="002E6DED" w:rsidP="00492C7A">
            <w:pPr>
              <w:rPr>
                <w:rFonts w:ascii="Trebuchet MS" w:hAnsi="Trebuchet MS" w:cs="Trebuchet MS"/>
                <w:noProof/>
              </w:rPr>
            </w:pPr>
            <w:r w:rsidRPr="00E02603">
              <w:rPr>
                <w:rFonts w:ascii="Trebuchet MS" w:hAnsi="Trebuchet MS" w:cs="Trebuchet MS"/>
                <w:noProof/>
              </w:rPr>
              <w:t>Alessia Valsecchi</w:t>
            </w:r>
          </w:p>
          <w:p w:rsidR="002E6DED" w:rsidRPr="00684572" w:rsidRDefault="002E6DED" w:rsidP="00492C7A">
            <w:pPr>
              <w:rPr>
                <w:rFonts w:ascii="Trebuchet MS" w:hAnsi="Trebuchet MS" w:cs="Trebuchet MS"/>
                <w:noProof/>
                <w:lang w:val="fr-FR"/>
              </w:rPr>
            </w:pPr>
            <w:r w:rsidRPr="00684572">
              <w:rPr>
                <w:rFonts w:ascii="Trebuchet MS" w:hAnsi="Trebuchet MS" w:cs="Trebuchet MS"/>
                <w:noProof/>
                <w:lang w:val="fr-FR"/>
              </w:rPr>
              <w:t>Tel.: 02 2399 4800</w:t>
            </w:r>
          </w:p>
          <w:p w:rsidR="002E6DED" w:rsidRPr="00684572" w:rsidRDefault="002E6DED" w:rsidP="00492C7A">
            <w:pPr>
              <w:rPr>
                <w:rFonts w:ascii="Trebuchet MS" w:hAnsi="Trebuchet MS" w:cs="Trebuchet MS"/>
                <w:noProof/>
                <w:lang w:val="fr-FR"/>
              </w:rPr>
            </w:pPr>
            <w:r w:rsidRPr="00684572">
              <w:rPr>
                <w:rFonts w:ascii="Trebuchet MS" w:hAnsi="Trebuchet MS" w:cs="Trebuchet MS"/>
                <w:noProof/>
                <w:lang w:val="fr-FR"/>
              </w:rPr>
              <w:t xml:space="preserve">email </w:t>
            </w:r>
            <w:hyperlink r:id="rId10" w:history="1">
              <w:r w:rsidRPr="00684572">
                <w:rPr>
                  <w:rFonts w:ascii="Trebuchet MS" w:hAnsi="Trebuchet MS" w:cs="Trebuchet MS"/>
                  <w:noProof/>
                  <w:u w:val="single"/>
                  <w:lang w:val="fr-FR"/>
                </w:rPr>
                <w:t>alessia.valsecchi@polimi.it</w:t>
              </w:r>
            </w:hyperlink>
          </w:p>
          <w:p w:rsidR="002E6DED" w:rsidRPr="00E02603" w:rsidRDefault="002E6DED" w:rsidP="00492C7A">
            <w:pPr>
              <w:rPr>
                <w:rFonts w:ascii="Trebuchet MS" w:hAnsi="Trebuchet MS" w:cs="Trebuchet MS"/>
                <w:noProof/>
              </w:rPr>
            </w:pPr>
            <w:r w:rsidRPr="00E02603">
              <w:rPr>
                <w:rFonts w:ascii="Trebuchet MS" w:hAnsi="Trebuchet MS" w:cs="Trebuchet MS"/>
                <w:noProof/>
              </w:rPr>
              <w:t>Skype alessia.valsecchi</w:t>
            </w:r>
          </w:p>
        </w:tc>
        <w:tc>
          <w:tcPr>
            <w:tcW w:w="5220" w:type="dxa"/>
            <w:tcBorders>
              <w:top w:val="nil"/>
              <w:left w:val="nil"/>
              <w:bottom w:val="nil"/>
              <w:right w:val="nil"/>
            </w:tcBorders>
          </w:tcPr>
          <w:p w:rsidR="002E6DED" w:rsidRPr="00E02603" w:rsidRDefault="002E6DED" w:rsidP="00492C7A">
            <w:pPr>
              <w:rPr>
                <w:rFonts w:ascii="Trebuchet MS" w:hAnsi="Trebuchet MS" w:cs="Trebuchet MS"/>
                <w:b/>
                <w:bCs/>
                <w:noProof/>
              </w:rPr>
            </w:pPr>
            <w:r w:rsidRPr="00E02603">
              <w:rPr>
                <w:rFonts w:ascii="Trebuchet MS" w:hAnsi="Trebuchet MS" w:cs="Trebuchet MS"/>
                <w:b/>
                <w:bCs/>
                <w:noProof/>
              </w:rPr>
              <w:t>Mirandola Comunicazione</w:t>
            </w:r>
          </w:p>
          <w:p w:rsidR="002E6DED" w:rsidRDefault="002E6DED" w:rsidP="00492C7A">
            <w:pPr>
              <w:rPr>
                <w:rFonts w:ascii="Trebuchet MS" w:hAnsi="Trebuchet MS"/>
                <w:sz w:val="18"/>
              </w:rPr>
            </w:pPr>
            <w:r w:rsidRPr="00B63865">
              <w:rPr>
                <w:rFonts w:ascii="Trebuchet MS" w:hAnsi="Trebuchet MS"/>
                <w:sz w:val="18"/>
              </w:rPr>
              <w:t>Marisandra Lizzi 348 3615042</w:t>
            </w:r>
          </w:p>
          <w:p w:rsidR="002E6DED" w:rsidRPr="008F0A7A" w:rsidRDefault="002E6DED" w:rsidP="00492C7A">
            <w:pPr>
              <w:rPr>
                <w:rFonts w:ascii="Trebuchet MS" w:hAnsi="Trebuchet MS"/>
                <w:sz w:val="18"/>
                <w:lang w:val="de-DE"/>
              </w:rPr>
            </w:pPr>
            <w:r w:rsidRPr="008F0A7A">
              <w:rPr>
                <w:rFonts w:ascii="Trebuchet MS" w:hAnsi="Trebuchet MS"/>
                <w:sz w:val="18"/>
                <w:lang w:val="de-DE"/>
              </w:rPr>
              <w:t>Tel.: 0524 574708</w:t>
            </w:r>
          </w:p>
          <w:p w:rsidR="002E6DED" w:rsidRPr="008F0A7A" w:rsidRDefault="002E6DED" w:rsidP="00492C7A">
            <w:pPr>
              <w:rPr>
                <w:rFonts w:ascii="Trebuchet MS" w:hAnsi="Trebuchet MS"/>
                <w:sz w:val="18"/>
                <w:lang w:val="de-DE"/>
              </w:rPr>
            </w:pPr>
            <w:hyperlink r:id="rId11" w:history="1">
              <w:r w:rsidRPr="008F0A7A">
                <w:rPr>
                  <w:rStyle w:val="Hyperlink"/>
                  <w:rFonts w:ascii="Trebuchet MS" w:hAnsi="Trebuchet MS"/>
                  <w:sz w:val="18"/>
                  <w:lang w:val="de-DE"/>
                </w:rPr>
                <w:t>marisandra@mirandolacomunicazione.it</w:t>
              </w:r>
            </w:hyperlink>
            <w:r w:rsidRPr="008F0A7A">
              <w:rPr>
                <w:rFonts w:ascii="Trebuchet MS" w:hAnsi="Trebuchet MS"/>
                <w:sz w:val="18"/>
                <w:lang w:val="de-DE"/>
              </w:rPr>
              <w:t xml:space="preserve"> </w:t>
            </w:r>
          </w:p>
          <w:p w:rsidR="002E6DED" w:rsidRPr="008F0A7A" w:rsidRDefault="002E6DED" w:rsidP="00684572">
            <w:pPr>
              <w:rPr>
                <w:rFonts w:ascii="Trebuchet MS" w:hAnsi="Trebuchet MS" w:cs="Trebuchet MS"/>
                <w:noProof/>
                <w:lang w:val="de-DE"/>
              </w:rPr>
            </w:pPr>
            <w:r>
              <w:rPr>
                <w:rFonts w:ascii="Trebuchet MS" w:hAnsi="Trebuchet MS" w:cs="Trebuchet MS"/>
                <w:noProof/>
              </w:rPr>
              <w:t xml:space="preserve">Skype </w:t>
            </w:r>
            <w:r w:rsidRPr="00684572">
              <w:rPr>
                <w:rFonts w:ascii="Trebuchet MS" w:hAnsi="Trebuchet MS" w:cs="Trebuchet MS"/>
                <w:noProof/>
              </w:rPr>
              <w:t>marisandralizzi</w:t>
            </w:r>
          </w:p>
        </w:tc>
      </w:tr>
    </w:tbl>
    <w:p w:rsidR="002E6DED" w:rsidRPr="00684572" w:rsidRDefault="002E6DED">
      <w:pPr>
        <w:overflowPunct/>
        <w:autoSpaceDE w:val="0"/>
        <w:autoSpaceDN w:val="0"/>
        <w:rPr>
          <w:rFonts w:ascii="Trebuchet MS" w:hAnsi="Trebuchet MS" w:cs="Trebuchet MS"/>
          <w:lang w:val="de-DE"/>
        </w:rPr>
      </w:pPr>
    </w:p>
    <w:p w:rsidR="002E6DED" w:rsidRPr="003B7A71" w:rsidRDefault="002E6DED" w:rsidP="003B7A71">
      <w:pPr>
        <w:jc w:val="both"/>
        <w:rPr>
          <w:rFonts w:ascii="Arial" w:hAnsi="Arial" w:cs="Arial"/>
          <w:i/>
          <w:iCs/>
          <w:sz w:val="17"/>
          <w:szCs w:val="17"/>
        </w:rPr>
      </w:pPr>
      <w:r w:rsidRPr="006906DF">
        <w:rPr>
          <w:rStyle w:val="Emphasis"/>
          <w:rFonts w:ascii="Trebuchet MS" w:hAnsi="Trebuchet MS" w:cs="Arial"/>
          <w:iCs/>
          <w:sz w:val="17"/>
          <w:szCs w:val="17"/>
        </w:rPr>
        <w:t>La School</w:t>
      </w:r>
      <w:r w:rsidRPr="006906DF">
        <w:rPr>
          <w:rStyle w:val="Emphasis"/>
          <w:rFonts w:ascii="Arial" w:hAnsi="Arial" w:cs="Arial"/>
          <w:iCs/>
          <w:sz w:val="17"/>
          <w:szCs w:val="17"/>
        </w:rPr>
        <w:t xml:space="preserve"> of Management del Politecnico di Milano, con oltre 240 docenti, e circa 80 fra dottorandi e collaboratori alla ricerca, dal 2003 accoglie le molteplici attività di ricerca, formazione e alta consulenza, nei campi del management, dell’economia e dell’industrial engineering che il Politecnico porta avanti attraverso le sue diverse strutture interne e consortili. Fanno parte della Scuola il Dipartimento di Ingegneria Gestionale, le Lauree e il PhD Program di Ingegneria Gestionale e il MIP, la business school del Politecnico di Milano. La School of Management ha ricevuto nel 2007 l’accreditamento EQUIS. Gli Osservatori ICT &amp; Management della School of Management del Politecnico di Milano (www.osservatori.net) vogliono offrire una fotografia accurata e continuamente aggiornata sugli impatti che le tecnologie dell’informazione e della comunicazione (ICT) hanno in Italia su imprese, pubbliche amministrazioni, filiere, mercati, ecc. Gli Osservatori sono ormai molteplici e affrontano in particolare tutte le tematiche più innovative: </w:t>
      </w:r>
      <w:r w:rsidRPr="006906DF">
        <w:rPr>
          <w:rFonts w:ascii="Arial" w:hAnsi="Arial" w:cs="Arial"/>
          <w:i/>
          <w:sz w:val="17"/>
          <w:szCs w:val="17"/>
        </w:rPr>
        <w:t>B2b - eProcurement e eSupply Chain, Banche 2.0, Business Intelligence, Canale ICT, Cloud &amp; ICT as a Service, eCommerce B2c, eGovernment, Enterprise 2.0, eProcurement nella PA, Fatturazione Elettronica e Dematerializzazione, Gestione Strategica dell’ICT, Gioco Online, HR Innovation Practice, ICT &amp; PMI,  ICT Accessibile e Disabilità, ICT in Sanità, ICT &amp; Business Innovation nel Fashion-Retail, ICT nel Real Estate, ICT nelle Utility, ICT Strategic Sourcing, Information Security Management,  Intelligent Transportation Systems, Mobile &amp; Wireless Business, Mobile Content &amp; Internet, Mobile Finance, Mobile Marketing &amp; Service, Multicanalità, New Media &amp; Tv, New Slot &amp; VLT, NFC &amp; Mobile Payment, RFId, Social Network, Unified Communication &amp; Collaboration</w:t>
      </w:r>
      <w:r w:rsidRPr="006906DF">
        <w:rPr>
          <w:rStyle w:val="Emphasis"/>
          <w:rFonts w:ascii="Arial" w:hAnsi="Arial" w:cs="Arial"/>
          <w:iCs/>
          <w:sz w:val="17"/>
          <w:szCs w:val="17"/>
        </w:rPr>
        <w:t>.</w:t>
      </w:r>
    </w:p>
    <w:sectPr w:rsidR="002E6DED" w:rsidRPr="003B7A71" w:rsidSect="00DE3C77">
      <w:headerReference w:type="default" r:id="rId12"/>
      <w:footerReference w:type="default" r:id="rId13"/>
      <w:pgSz w:w="12240" w:h="15840"/>
      <w:pgMar w:top="357" w:right="758" w:bottom="567" w:left="1134" w:header="709" w:footer="709"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6DED" w:rsidRDefault="002E6DED">
      <w:r>
        <w:separator/>
      </w:r>
    </w:p>
  </w:endnote>
  <w:endnote w:type="continuationSeparator" w:id="1">
    <w:p w:rsidR="002E6DED" w:rsidRDefault="002E6DE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MinionPro-Regular">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MinionPro-BoldIt">
    <w:panose1 w:val="00000000000000000000"/>
    <w:charset w:val="00"/>
    <w:family w:val="roman"/>
    <w:notTrueType/>
    <w:pitch w:val="default"/>
    <w:sig w:usb0="00000003" w:usb1="00000000" w:usb2="00000000" w:usb3="00000000" w:csb0="00000001" w:csb1="00000000"/>
  </w:font>
  <w:font w:name="Wingdings-Regular">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DED" w:rsidRDefault="002E6DED">
    <w:pPr>
      <w:tabs>
        <w:tab w:val="center" w:pos="5269"/>
        <w:tab w:val="right" w:pos="10538"/>
      </w:tabs>
      <w:rPr>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6DED" w:rsidRDefault="002E6DED">
      <w:r>
        <w:separator/>
      </w:r>
    </w:p>
  </w:footnote>
  <w:footnote w:type="continuationSeparator" w:id="1">
    <w:p w:rsidR="002E6DED" w:rsidRDefault="002E6D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DED" w:rsidRDefault="002E6DED">
    <w:pPr>
      <w:tabs>
        <w:tab w:val="center" w:pos="5269"/>
        <w:tab w:val="right" w:pos="10538"/>
      </w:tabs>
      <w:rPr>
        <w:kern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
      </v:shape>
    </w:pict>
  </w:numPicBullet>
  <w:abstractNum w:abstractNumId="0">
    <w:nsid w:val="FFFFFFFE"/>
    <w:multiLevelType w:val="singleLevel"/>
    <w:tmpl w:val="B880BAD6"/>
    <w:lvl w:ilvl="0">
      <w:numFmt w:val="bullet"/>
      <w:lvlText w:val="*"/>
      <w:lvlJc w:val="left"/>
    </w:lvl>
  </w:abstractNum>
  <w:abstractNum w:abstractNumId="1">
    <w:nsid w:val="097A4DC4"/>
    <w:multiLevelType w:val="multilevel"/>
    <w:tmpl w:val="5E240B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C0FE6"/>
    <w:multiLevelType w:val="hybridMultilevel"/>
    <w:tmpl w:val="269A509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1B967320"/>
    <w:multiLevelType w:val="hybridMultilevel"/>
    <w:tmpl w:val="E0F84D76"/>
    <w:lvl w:ilvl="0" w:tplc="62FCF9E0">
      <w:start w:val="1"/>
      <w:numFmt w:val="bullet"/>
      <w:lvlText w:val=""/>
      <w:lvlPicBulletId w:val="0"/>
      <w:lvlJc w:val="left"/>
      <w:pPr>
        <w:tabs>
          <w:tab w:val="num" w:pos="720"/>
        </w:tabs>
        <w:ind w:left="720"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1DE91B82"/>
    <w:multiLevelType w:val="hybridMultilevel"/>
    <w:tmpl w:val="59EC128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nsid w:val="27AC3379"/>
    <w:multiLevelType w:val="hybridMultilevel"/>
    <w:tmpl w:val="E968FCEE"/>
    <w:lvl w:ilvl="0" w:tplc="04100005">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nsid w:val="361E4985"/>
    <w:multiLevelType w:val="hybridMultilevel"/>
    <w:tmpl w:val="66C063A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3F3179E2"/>
    <w:multiLevelType w:val="hybridMultilevel"/>
    <w:tmpl w:val="281889F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4A782BC6"/>
    <w:multiLevelType w:val="hybridMultilevel"/>
    <w:tmpl w:val="04629660"/>
    <w:lvl w:ilvl="0" w:tplc="04100005">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nsid w:val="53C43CC8"/>
    <w:multiLevelType w:val="hybridMultilevel"/>
    <w:tmpl w:val="F4EEEEA0"/>
    <w:lvl w:ilvl="0" w:tplc="62FCF9E0">
      <w:start w:val="1"/>
      <w:numFmt w:val="bullet"/>
      <w:lvlText w:val=""/>
      <w:lvlPicBulletId w:val="0"/>
      <w:lvlJc w:val="left"/>
      <w:pPr>
        <w:tabs>
          <w:tab w:val="num" w:pos="720"/>
        </w:tabs>
        <w:ind w:left="720"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565714C7"/>
    <w:multiLevelType w:val="hybridMultilevel"/>
    <w:tmpl w:val="7BFAC916"/>
    <w:lvl w:ilvl="0" w:tplc="62FCF9E0">
      <w:start w:val="1"/>
      <w:numFmt w:val="bullet"/>
      <w:lvlText w:val=""/>
      <w:lvlPicBulletId w:val="0"/>
      <w:lvlJc w:val="left"/>
      <w:pPr>
        <w:tabs>
          <w:tab w:val="num" w:pos="720"/>
        </w:tabs>
        <w:ind w:left="720"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nsid w:val="57BC195D"/>
    <w:multiLevelType w:val="hybridMultilevel"/>
    <w:tmpl w:val="6562F5A4"/>
    <w:lvl w:ilvl="0" w:tplc="9F9482C0">
      <w:numFmt w:val="bullet"/>
      <w:lvlText w:val="-"/>
      <w:lvlJc w:val="left"/>
      <w:pPr>
        <w:ind w:left="720" w:hanging="360"/>
      </w:pPr>
      <w:rPr>
        <w:rFonts w:ascii="Consolas" w:eastAsia="Times New Roman" w:hAnsi="Consola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5B325EA9"/>
    <w:multiLevelType w:val="hybridMultilevel"/>
    <w:tmpl w:val="951A9CE2"/>
    <w:lvl w:ilvl="0" w:tplc="04100001">
      <w:start w:val="1"/>
      <w:numFmt w:val="bullet"/>
      <w:lvlText w:val=""/>
      <w:lvlJc w:val="left"/>
      <w:pPr>
        <w:tabs>
          <w:tab w:val="num" w:pos="1776"/>
        </w:tabs>
        <w:ind w:left="1776" w:hanging="360"/>
      </w:pPr>
      <w:rPr>
        <w:rFonts w:ascii="Symbol" w:hAnsi="Symbol" w:hint="default"/>
      </w:rPr>
    </w:lvl>
    <w:lvl w:ilvl="1" w:tplc="04100003" w:tentative="1">
      <w:start w:val="1"/>
      <w:numFmt w:val="bullet"/>
      <w:lvlText w:val="o"/>
      <w:lvlJc w:val="left"/>
      <w:pPr>
        <w:tabs>
          <w:tab w:val="num" w:pos="2496"/>
        </w:tabs>
        <w:ind w:left="2496" w:hanging="360"/>
      </w:pPr>
      <w:rPr>
        <w:rFonts w:ascii="Courier New" w:hAnsi="Courier New" w:hint="default"/>
      </w:rPr>
    </w:lvl>
    <w:lvl w:ilvl="2" w:tplc="04100005" w:tentative="1">
      <w:start w:val="1"/>
      <w:numFmt w:val="bullet"/>
      <w:lvlText w:val=""/>
      <w:lvlJc w:val="left"/>
      <w:pPr>
        <w:tabs>
          <w:tab w:val="num" w:pos="3216"/>
        </w:tabs>
        <w:ind w:left="3216" w:hanging="360"/>
      </w:pPr>
      <w:rPr>
        <w:rFonts w:ascii="Wingdings" w:hAnsi="Wingdings" w:hint="default"/>
      </w:rPr>
    </w:lvl>
    <w:lvl w:ilvl="3" w:tplc="04100001" w:tentative="1">
      <w:start w:val="1"/>
      <w:numFmt w:val="bullet"/>
      <w:lvlText w:val=""/>
      <w:lvlJc w:val="left"/>
      <w:pPr>
        <w:tabs>
          <w:tab w:val="num" w:pos="3936"/>
        </w:tabs>
        <w:ind w:left="3936" w:hanging="360"/>
      </w:pPr>
      <w:rPr>
        <w:rFonts w:ascii="Symbol" w:hAnsi="Symbol" w:hint="default"/>
      </w:rPr>
    </w:lvl>
    <w:lvl w:ilvl="4" w:tplc="04100003" w:tentative="1">
      <w:start w:val="1"/>
      <w:numFmt w:val="bullet"/>
      <w:lvlText w:val="o"/>
      <w:lvlJc w:val="left"/>
      <w:pPr>
        <w:tabs>
          <w:tab w:val="num" w:pos="4656"/>
        </w:tabs>
        <w:ind w:left="4656" w:hanging="360"/>
      </w:pPr>
      <w:rPr>
        <w:rFonts w:ascii="Courier New" w:hAnsi="Courier New" w:hint="default"/>
      </w:rPr>
    </w:lvl>
    <w:lvl w:ilvl="5" w:tplc="04100005" w:tentative="1">
      <w:start w:val="1"/>
      <w:numFmt w:val="bullet"/>
      <w:lvlText w:val=""/>
      <w:lvlJc w:val="left"/>
      <w:pPr>
        <w:tabs>
          <w:tab w:val="num" w:pos="5376"/>
        </w:tabs>
        <w:ind w:left="5376" w:hanging="360"/>
      </w:pPr>
      <w:rPr>
        <w:rFonts w:ascii="Wingdings" w:hAnsi="Wingdings" w:hint="default"/>
      </w:rPr>
    </w:lvl>
    <w:lvl w:ilvl="6" w:tplc="04100001" w:tentative="1">
      <w:start w:val="1"/>
      <w:numFmt w:val="bullet"/>
      <w:lvlText w:val=""/>
      <w:lvlJc w:val="left"/>
      <w:pPr>
        <w:tabs>
          <w:tab w:val="num" w:pos="6096"/>
        </w:tabs>
        <w:ind w:left="6096" w:hanging="360"/>
      </w:pPr>
      <w:rPr>
        <w:rFonts w:ascii="Symbol" w:hAnsi="Symbol" w:hint="default"/>
      </w:rPr>
    </w:lvl>
    <w:lvl w:ilvl="7" w:tplc="04100003" w:tentative="1">
      <w:start w:val="1"/>
      <w:numFmt w:val="bullet"/>
      <w:lvlText w:val="o"/>
      <w:lvlJc w:val="left"/>
      <w:pPr>
        <w:tabs>
          <w:tab w:val="num" w:pos="6816"/>
        </w:tabs>
        <w:ind w:left="6816" w:hanging="360"/>
      </w:pPr>
      <w:rPr>
        <w:rFonts w:ascii="Courier New" w:hAnsi="Courier New" w:hint="default"/>
      </w:rPr>
    </w:lvl>
    <w:lvl w:ilvl="8" w:tplc="04100005" w:tentative="1">
      <w:start w:val="1"/>
      <w:numFmt w:val="bullet"/>
      <w:lvlText w:val=""/>
      <w:lvlJc w:val="left"/>
      <w:pPr>
        <w:tabs>
          <w:tab w:val="num" w:pos="7536"/>
        </w:tabs>
        <w:ind w:left="7536" w:hanging="360"/>
      </w:pPr>
      <w:rPr>
        <w:rFonts w:ascii="Wingdings" w:hAnsi="Wingdings" w:hint="default"/>
      </w:rPr>
    </w:lvl>
  </w:abstractNum>
  <w:abstractNum w:abstractNumId="13">
    <w:nsid w:val="6E1454CC"/>
    <w:multiLevelType w:val="hybridMultilevel"/>
    <w:tmpl w:val="606EC70E"/>
    <w:lvl w:ilvl="0" w:tplc="04100005">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nsid w:val="78A81548"/>
    <w:multiLevelType w:val="hybridMultilevel"/>
    <w:tmpl w:val="55BECA52"/>
    <w:lvl w:ilvl="0" w:tplc="62FCF9E0">
      <w:start w:val="1"/>
      <w:numFmt w:val="bullet"/>
      <w:lvlText w:val=""/>
      <w:lvlPicBulletId w:val="0"/>
      <w:lvlJc w:val="left"/>
      <w:pPr>
        <w:tabs>
          <w:tab w:val="num" w:pos="720"/>
        </w:tabs>
        <w:ind w:left="720"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7AC53475"/>
    <w:multiLevelType w:val="hybridMultilevel"/>
    <w:tmpl w:val="500C38EA"/>
    <w:lvl w:ilvl="0" w:tplc="62FCF9E0">
      <w:start w:val="1"/>
      <w:numFmt w:val="bullet"/>
      <w:lvlText w:val=""/>
      <w:lvlPicBulletId w:val="0"/>
      <w:lvlJc w:val="left"/>
      <w:pPr>
        <w:tabs>
          <w:tab w:val="num" w:pos="720"/>
        </w:tabs>
        <w:ind w:left="720"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lvlOverride w:ilvl="0">
      <w:lvl w:ilvl="0">
        <w:numFmt w:val="bullet"/>
        <w:lvlText w:val=""/>
        <w:legacy w:legacy="1" w:legacySpace="0" w:legacyIndent="360"/>
        <w:lvlJc w:val="left"/>
        <w:rPr>
          <w:rFonts w:ascii="Symbol" w:hAnsi="Symbol" w:hint="default"/>
        </w:rPr>
      </w:lvl>
    </w:lvlOverride>
  </w:num>
  <w:num w:numId="3">
    <w:abstractNumId w:val="12"/>
  </w:num>
  <w:num w:numId="4">
    <w:abstractNumId w:val="7"/>
  </w:num>
  <w:num w:numId="5">
    <w:abstractNumId w:val="2"/>
  </w:num>
  <w:num w:numId="6">
    <w:abstractNumId w:val="4"/>
  </w:num>
  <w:num w:numId="7">
    <w:abstractNumId w:val="9"/>
  </w:num>
  <w:num w:numId="8">
    <w:abstractNumId w:val="15"/>
  </w:num>
  <w:num w:numId="9">
    <w:abstractNumId w:val="14"/>
  </w:num>
  <w:num w:numId="10">
    <w:abstractNumId w:val="3"/>
  </w:num>
  <w:num w:numId="11">
    <w:abstractNumId w:val="10"/>
  </w:num>
  <w:num w:numId="12">
    <w:abstractNumId w:val="11"/>
  </w:num>
  <w:num w:numId="13">
    <w:abstractNumId w:val="6"/>
  </w:num>
  <w:num w:numId="14">
    <w:abstractNumId w:val="8"/>
  </w:num>
  <w:num w:numId="15">
    <w:abstractNumId w:val="5"/>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0"/>
    <w:footnote w:id="1"/>
  </w:footnotePr>
  <w:endnotePr>
    <w:pos w:val="sectEnd"/>
    <w:endnote w:id="0"/>
    <w:endnote w:id="1"/>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2A0AD9"/>
    <w:rsid w:val="00001833"/>
    <w:rsid w:val="000278CC"/>
    <w:rsid w:val="00047CA2"/>
    <w:rsid w:val="00086710"/>
    <w:rsid w:val="00096DD0"/>
    <w:rsid w:val="000B5E79"/>
    <w:rsid w:val="00142AA7"/>
    <w:rsid w:val="001812CA"/>
    <w:rsid w:val="00194403"/>
    <w:rsid w:val="001A2C6F"/>
    <w:rsid w:val="0022174A"/>
    <w:rsid w:val="00242D01"/>
    <w:rsid w:val="00282077"/>
    <w:rsid w:val="002862A1"/>
    <w:rsid w:val="00286560"/>
    <w:rsid w:val="00287D6F"/>
    <w:rsid w:val="00291046"/>
    <w:rsid w:val="002A0AD9"/>
    <w:rsid w:val="002D2F97"/>
    <w:rsid w:val="002D351E"/>
    <w:rsid w:val="002E6DED"/>
    <w:rsid w:val="00311E20"/>
    <w:rsid w:val="00354CCC"/>
    <w:rsid w:val="00361428"/>
    <w:rsid w:val="00387DCB"/>
    <w:rsid w:val="00391B21"/>
    <w:rsid w:val="00391C32"/>
    <w:rsid w:val="003A5898"/>
    <w:rsid w:val="003B1AEE"/>
    <w:rsid w:val="003B290C"/>
    <w:rsid w:val="003B7A71"/>
    <w:rsid w:val="003F18ED"/>
    <w:rsid w:val="003F1A9E"/>
    <w:rsid w:val="00434799"/>
    <w:rsid w:val="00492C7A"/>
    <w:rsid w:val="00493615"/>
    <w:rsid w:val="004E3180"/>
    <w:rsid w:val="004E5614"/>
    <w:rsid w:val="00564781"/>
    <w:rsid w:val="005859A7"/>
    <w:rsid w:val="00586CA9"/>
    <w:rsid w:val="0059385A"/>
    <w:rsid w:val="005D4DB3"/>
    <w:rsid w:val="006207A1"/>
    <w:rsid w:val="006702C0"/>
    <w:rsid w:val="00684572"/>
    <w:rsid w:val="006906DF"/>
    <w:rsid w:val="006C41C9"/>
    <w:rsid w:val="00731118"/>
    <w:rsid w:val="0073446A"/>
    <w:rsid w:val="0073591D"/>
    <w:rsid w:val="00741AED"/>
    <w:rsid w:val="0078152E"/>
    <w:rsid w:val="007B1946"/>
    <w:rsid w:val="007C2E1F"/>
    <w:rsid w:val="007E0999"/>
    <w:rsid w:val="0080179C"/>
    <w:rsid w:val="0085247F"/>
    <w:rsid w:val="00875B3F"/>
    <w:rsid w:val="00887FBD"/>
    <w:rsid w:val="00894E62"/>
    <w:rsid w:val="00897F50"/>
    <w:rsid w:val="008C5AF7"/>
    <w:rsid w:val="008D200F"/>
    <w:rsid w:val="008F0A7A"/>
    <w:rsid w:val="009731FA"/>
    <w:rsid w:val="00990470"/>
    <w:rsid w:val="009B59E6"/>
    <w:rsid w:val="00A04EBD"/>
    <w:rsid w:val="00A22B7A"/>
    <w:rsid w:val="00A425A6"/>
    <w:rsid w:val="00A51E42"/>
    <w:rsid w:val="00A6067E"/>
    <w:rsid w:val="00A73A9D"/>
    <w:rsid w:val="00A755C7"/>
    <w:rsid w:val="00A7629B"/>
    <w:rsid w:val="00AF1F12"/>
    <w:rsid w:val="00B0122D"/>
    <w:rsid w:val="00B32247"/>
    <w:rsid w:val="00B37069"/>
    <w:rsid w:val="00B63865"/>
    <w:rsid w:val="00B90CF2"/>
    <w:rsid w:val="00BC12B1"/>
    <w:rsid w:val="00BC549D"/>
    <w:rsid w:val="00BD29F8"/>
    <w:rsid w:val="00BE4D1E"/>
    <w:rsid w:val="00C07FAA"/>
    <w:rsid w:val="00C313B6"/>
    <w:rsid w:val="00C410B1"/>
    <w:rsid w:val="00C66BA3"/>
    <w:rsid w:val="00CA440C"/>
    <w:rsid w:val="00CB267C"/>
    <w:rsid w:val="00CB344F"/>
    <w:rsid w:val="00CC06BE"/>
    <w:rsid w:val="00CD2B3F"/>
    <w:rsid w:val="00CF2F4C"/>
    <w:rsid w:val="00D15AC6"/>
    <w:rsid w:val="00D3771F"/>
    <w:rsid w:val="00D46EA9"/>
    <w:rsid w:val="00D81993"/>
    <w:rsid w:val="00D847D1"/>
    <w:rsid w:val="00DD54D6"/>
    <w:rsid w:val="00DE3C77"/>
    <w:rsid w:val="00E02603"/>
    <w:rsid w:val="00E241F2"/>
    <w:rsid w:val="00E31529"/>
    <w:rsid w:val="00E349A9"/>
    <w:rsid w:val="00EB65E6"/>
    <w:rsid w:val="00EF7FE6"/>
    <w:rsid w:val="00F127D7"/>
    <w:rsid w:val="00FA313D"/>
    <w:rsid w:val="00FA66ED"/>
    <w:rsid w:val="00FF5D61"/>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DB3"/>
    <w:pPr>
      <w:widowControl w:val="0"/>
      <w:overflowPunct w:val="0"/>
      <w:adjustRightInd w:val="0"/>
    </w:pPr>
    <w:rPr>
      <w:rFonts w:ascii="Times New Roman" w:hAnsi="Times New Roman"/>
      <w:kern w:val="28"/>
      <w:sz w:val="20"/>
      <w:szCs w:val="20"/>
    </w:rPr>
  </w:style>
  <w:style w:type="paragraph" w:styleId="Heading1">
    <w:name w:val="heading 1"/>
    <w:basedOn w:val="Normal"/>
    <w:next w:val="Normal"/>
    <w:link w:val="Heading1Char"/>
    <w:uiPriority w:val="99"/>
    <w:qFormat/>
    <w:rsid w:val="005D4DB3"/>
    <w:pPr>
      <w:keepNext/>
      <w:jc w:val="both"/>
      <w:outlineLvl w:val="0"/>
    </w:pPr>
    <w:rPr>
      <w:rFonts w:ascii="Cambria" w:hAnsi="Cambria"/>
      <w:b/>
      <w:bCs/>
      <w:kern w:val="32"/>
      <w:sz w:val="32"/>
      <w:szCs w:val="32"/>
      <w:lang w:eastAsia="ja-JP"/>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15AC6"/>
    <w:rPr>
      <w:rFonts w:ascii="Cambria" w:hAnsi="Cambria"/>
      <w:b/>
      <w:kern w:val="32"/>
      <w:sz w:val="32"/>
    </w:rPr>
  </w:style>
  <w:style w:type="paragraph" w:styleId="BodyText">
    <w:name w:val="Body Text"/>
    <w:basedOn w:val="Normal"/>
    <w:link w:val="BodyTextChar"/>
    <w:uiPriority w:val="99"/>
    <w:semiHidden/>
    <w:rsid w:val="005D4DB3"/>
    <w:pPr>
      <w:jc w:val="both"/>
    </w:pPr>
    <w:rPr>
      <w:lang w:eastAsia="ja-JP"/>
    </w:rPr>
  </w:style>
  <w:style w:type="character" w:customStyle="1" w:styleId="BodyTextChar">
    <w:name w:val="Body Text Char"/>
    <w:basedOn w:val="DefaultParagraphFont"/>
    <w:link w:val="BodyText"/>
    <w:uiPriority w:val="99"/>
    <w:semiHidden/>
    <w:locked/>
    <w:rsid w:val="00D15AC6"/>
    <w:rPr>
      <w:rFonts w:ascii="Times New Roman" w:hAnsi="Times New Roman"/>
      <w:kern w:val="28"/>
      <w:sz w:val="20"/>
    </w:rPr>
  </w:style>
  <w:style w:type="paragraph" w:styleId="BodyText2">
    <w:name w:val="Body Text 2"/>
    <w:basedOn w:val="Normal"/>
    <w:link w:val="BodyText2Char"/>
    <w:uiPriority w:val="99"/>
    <w:semiHidden/>
    <w:rsid w:val="005D4DB3"/>
    <w:rPr>
      <w:lang w:eastAsia="ja-JP"/>
    </w:rPr>
  </w:style>
  <w:style w:type="character" w:customStyle="1" w:styleId="BodyText2Char">
    <w:name w:val="Body Text 2 Char"/>
    <w:basedOn w:val="DefaultParagraphFont"/>
    <w:link w:val="BodyText2"/>
    <w:uiPriority w:val="99"/>
    <w:semiHidden/>
    <w:locked/>
    <w:rsid w:val="00D15AC6"/>
    <w:rPr>
      <w:rFonts w:ascii="Times New Roman" w:hAnsi="Times New Roman"/>
      <w:kern w:val="28"/>
      <w:sz w:val="20"/>
    </w:rPr>
  </w:style>
  <w:style w:type="paragraph" w:styleId="BalloonText">
    <w:name w:val="Balloon Text"/>
    <w:basedOn w:val="Normal"/>
    <w:link w:val="BalloonTextChar"/>
    <w:uiPriority w:val="99"/>
    <w:semiHidden/>
    <w:rsid w:val="002A0AD9"/>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2A0AD9"/>
    <w:rPr>
      <w:rFonts w:ascii="Tahoma" w:hAnsi="Tahoma"/>
      <w:kern w:val="28"/>
      <w:sz w:val="16"/>
    </w:rPr>
  </w:style>
  <w:style w:type="character" w:styleId="Hyperlink">
    <w:name w:val="Hyperlink"/>
    <w:basedOn w:val="DefaultParagraphFont"/>
    <w:uiPriority w:val="99"/>
    <w:rsid w:val="00286560"/>
    <w:rPr>
      <w:rFonts w:cs="Times New Roman"/>
      <w:color w:val="0000FF"/>
      <w:u w:val="single"/>
    </w:rPr>
  </w:style>
  <w:style w:type="character" w:styleId="Strong">
    <w:name w:val="Strong"/>
    <w:basedOn w:val="DefaultParagraphFont"/>
    <w:uiPriority w:val="99"/>
    <w:qFormat/>
    <w:rsid w:val="00286560"/>
    <w:rPr>
      <w:rFonts w:cs="Times New Roman"/>
      <w:b/>
    </w:rPr>
  </w:style>
  <w:style w:type="paragraph" w:styleId="NormalWeb">
    <w:name w:val="Normal (Web)"/>
    <w:basedOn w:val="Normal"/>
    <w:uiPriority w:val="99"/>
    <w:rsid w:val="00286560"/>
    <w:pPr>
      <w:widowControl/>
      <w:overflowPunct/>
      <w:adjustRightInd/>
      <w:spacing w:before="100" w:beforeAutospacing="1" w:after="100" w:afterAutospacing="1"/>
    </w:pPr>
    <w:rPr>
      <w:kern w:val="0"/>
      <w:sz w:val="24"/>
      <w:szCs w:val="24"/>
    </w:rPr>
  </w:style>
  <w:style w:type="character" w:styleId="CommentReference">
    <w:name w:val="annotation reference"/>
    <w:basedOn w:val="DefaultParagraphFont"/>
    <w:uiPriority w:val="99"/>
    <w:semiHidden/>
    <w:rsid w:val="00286560"/>
    <w:rPr>
      <w:rFonts w:cs="Times New Roman"/>
      <w:sz w:val="16"/>
    </w:rPr>
  </w:style>
  <w:style w:type="paragraph" w:styleId="CommentText">
    <w:name w:val="annotation text"/>
    <w:basedOn w:val="Normal"/>
    <w:link w:val="CommentTextChar"/>
    <w:uiPriority w:val="99"/>
    <w:semiHidden/>
    <w:rsid w:val="00286560"/>
    <w:rPr>
      <w:lang w:eastAsia="ja-JP"/>
    </w:rPr>
  </w:style>
  <w:style w:type="character" w:customStyle="1" w:styleId="CommentTextChar">
    <w:name w:val="Comment Text Char"/>
    <w:basedOn w:val="DefaultParagraphFont"/>
    <w:link w:val="CommentText"/>
    <w:uiPriority w:val="99"/>
    <w:semiHidden/>
    <w:locked/>
    <w:rsid w:val="00D15AC6"/>
    <w:rPr>
      <w:rFonts w:ascii="Times New Roman" w:hAnsi="Times New Roman"/>
      <w:kern w:val="28"/>
      <w:sz w:val="20"/>
    </w:rPr>
  </w:style>
  <w:style w:type="paragraph" w:styleId="CommentSubject">
    <w:name w:val="annotation subject"/>
    <w:basedOn w:val="CommentText"/>
    <w:next w:val="CommentText"/>
    <w:link w:val="CommentSubjectChar"/>
    <w:uiPriority w:val="99"/>
    <w:semiHidden/>
    <w:rsid w:val="00286560"/>
    <w:rPr>
      <w:b/>
      <w:bCs/>
    </w:rPr>
  </w:style>
  <w:style w:type="character" w:customStyle="1" w:styleId="CommentSubjectChar">
    <w:name w:val="Comment Subject Char"/>
    <w:basedOn w:val="CommentTextChar"/>
    <w:link w:val="CommentSubject"/>
    <w:uiPriority w:val="99"/>
    <w:semiHidden/>
    <w:locked/>
    <w:rsid w:val="00D15AC6"/>
    <w:rPr>
      <w:b/>
    </w:rPr>
  </w:style>
  <w:style w:type="character" w:styleId="Emphasis">
    <w:name w:val="Emphasis"/>
    <w:basedOn w:val="DefaultParagraphFont"/>
    <w:uiPriority w:val="99"/>
    <w:qFormat/>
    <w:rsid w:val="00286560"/>
    <w:rPr>
      <w:rFonts w:cs="Times New Roman"/>
      <w:i/>
    </w:rPr>
  </w:style>
  <w:style w:type="paragraph" w:styleId="FootnoteText">
    <w:name w:val="footnote text"/>
    <w:basedOn w:val="Normal"/>
    <w:link w:val="FootnoteTextChar"/>
    <w:uiPriority w:val="99"/>
    <w:rsid w:val="00286560"/>
    <w:rPr>
      <w:sz w:val="24"/>
      <w:szCs w:val="24"/>
      <w:lang w:eastAsia="ja-JP"/>
    </w:rPr>
  </w:style>
  <w:style w:type="character" w:customStyle="1" w:styleId="FootnoteTextChar">
    <w:name w:val="Footnote Text Char"/>
    <w:basedOn w:val="DefaultParagraphFont"/>
    <w:link w:val="FootnoteText"/>
    <w:uiPriority w:val="99"/>
    <w:locked/>
    <w:rsid w:val="00286560"/>
    <w:rPr>
      <w:rFonts w:ascii="Times New Roman" w:hAnsi="Times New Roman"/>
      <w:kern w:val="28"/>
      <w:sz w:val="24"/>
    </w:rPr>
  </w:style>
  <w:style w:type="character" w:styleId="FootnoteReference">
    <w:name w:val="footnote reference"/>
    <w:basedOn w:val="DefaultParagraphFont"/>
    <w:uiPriority w:val="99"/>
    <w:rsid w:val="00286560"/>
    <w:rPr>
      <w:rFonts w:cs="Times New Roman"/>
      <w:vertAlign w:val="superscript"/>
    </w:rPr>
  </w:style>
  <w:style w:type="paragraph" w:styleId="DocumentMap">
    <w:name w:val="Document Map"/>
    <w:basedOn w:val="Normal"/>
    <w:link w:val="DocumentMapChar"/>
    <w:uiPriority w:val="99"/>
    <w:semiHidden/>
    <w:rsid w:val="00F127D7"/>
    <w:pPr>
      <w:shd w:val="clear" w:color="auto" w:fill="000080"/>
    </w:pPr>
    <w:rPr>
      <w:sz w:val="2"/>
      <w:lang w:eastAsia="ja-JP"/>
    </w:rPr>
  </w:style>
  <w:style w:type="character" w:customStyle="1" w:styleId="DocumentMapChar">
    <w:name w:val="Document Map Char"/>
    <w:basedOn w:val="DefaultParagraphFont"/>
    <w:link w:val="DocumentMap"/>
    <w:uiPriority w:val="99"/>
    <w:semiHidden/>
    <w:locked/>
    <w:rPr>
      <w:rFonts w:ascii="Times New Roman" w:hAnsi="Times New Roman"/>
      <w:kern w:val="28"/>
      <w:sz w:val="2"/>
    </w:rPr>
  </w:style>
</w:styles>
</file>

<file path=word/webSettings.xml><?xml version="1.0" encoding="utf-8"?>
<w:webSettings xmlns:r="http://schemas.openxmlformats.org/officeDocument/2006/relationships" xmlns:w="http://schemas.openxmlformats.org/wordprocessingml/2006/main">
  <w:divs>
    <w:div w:id="2005009184">
      <w:marLeft w:val="0"/>
      <w:marRight w:val="0"/>
      <w:marTop w:val="0"/>
      <w:marBottom w:val="0"/>
      <w:divBdr>
        <w:top w:val="none" w:sz="0" w:space="0" w:color="auto"/>
        <w:left w:val="none" w:sz="0" w:space="0" w:color="auto"/>
        <w:bottom w:val="none" w:sz="0" w:space="0" w:color="auto"/>
        <w:right w:val="none" w:sz="0" w:space="0" w:color="auto"/>
      </w:divBdr>
    </w:div>
    <w:div w:id="2005009185">
      <w:marLeft w:val="0"/>
      <w:marRight w:val="0"/>
      <w:marTop w:val="0"/>
      <w:marBottom w:val="0"/>
      <w:divBdr>
        <w:top w:val="none" w:sz="0" w:space="0" w:color="auto"/>
        <w:left w:val="none" w:sz="0" w:space="0" w:color="auto"/>
        <w:bottom w:val="none" w:sz="0" w:space="0" w:color="auto"/>
        <w:right w:val="none" w:sz="0" w:space="0" w:color="auto"/>
      </w:divBdr>
    </w:div>
    <w:div w:id="2005009186">
      <w:marLeft w:val="0"/>
      <w:marRight w:val="0"/>
      <w:marTop w:val="0"/>
      <w:marBottom w:val="0"/>
      <w:divBdr>
        <w:top w:val="none" w:sz="0" w:space="0" w:color="auto"/>
        <w:left w:val="none" w:sz="0" w:space="0" w:color="auto"/>
        <w:bottom w:val="none" w:sz="0" w:space="0" w:color="auto"/>
        <w:right w:val="none" w:sz="0" w:space="0" w:color="auto"/>
      </w:divBdr>
    </w:div>
    <w:div w:id="2005009187">
      <w:marLeft w:val="0"/>
      <w:marRight w:val="0"/>
      <w:marTop w:val="0"/>
      <w:marBottom w:val="0"/>
      <w:divBdr>
        <w:top w:val="none" w:sz="0" w:space="0" w:color="auto"/>
        <w:left w:val="none" w:sz="0" w:space="0" w:color="auto"/>
        <w:bottom w:val="none" w:sz="0" w:space="0" w:color="auto"/>
        <w:right w:val="none" w:sz="0" w:space="0" w:color="auto"/>
      </w:divBdr>
    </w:div>
    <w:div w:id="2005009188">
      <w:marLeft w:val="0"/>
      <w:marRight w:val="0"/>
      <w:marTop w:val="0"/>
      <w:marBottom w:val="0"/>
      <w:divBdr>
        <w:top w:val="none" w:sz="0" w:space="0" w:color="auto"/>
        <w:left w:val="none" w:sz="0" w:space="0" w:color="auto"/>
        <w:bottom w:val="none" w:sz="0" w:space="0" w:color="auto"/>
        <w:right w:val="none" w:sz="0" w:space="0" w:color="auto"/>
      </w:divBdr>
    </w:div>
    <w:div w:id="2005009201">
      <w:marLeft w:val="0"/>
      <w:marRight w:val="0"/>
      <w:marTop w:val="0"/>
      <w:marBottom w:val="0"/>
      <w:divBdr>
        <w:top w:val="none" w:sz="0" w:space="0" w:color="auto"/>
        <w:left w:val="none" w:sz="0" w:space="0" w:color="auto"/>
        <w:bottom w:val="none" w:sz="0" w:space="0" w:color="auto"/>
        <w:right w:val="none" w:sz="0" w:space="0" w:color="auto"/>
      </w:divBdr>
      <w:divsChild>
        <w:div w:id="2005009194">
          <w:marLeft w:val="0"/>
          <w:marRight w:val="0"/>
          <w:marTop w:val="0"/>
          <w:marBottom w:val="0"/>
          <w:divBdr>
            <w:top w:val="none" w:sz="0" w:space="0" w:color="auto"/>
            <w:left w:val="none" w:sz="0" w:space="0" w:color="auto"/>
            <w:bottom w:val="none" w:sz="0" w:space="0" w:color="auto"/>
            <w:right w:val="none" w:sz="0" w:space="0" w:color="auto"/>
          </w:divBdr>
          <w:divsChild>
            <w:div w:id="2005009206">
              <w:marLeft w:val="0"/>
              <w:marRight w:val="0"/>
              <w:marTop w:val="0"/>
              <w:marBottom w:val="0"/>
              <w:divBdr>
                <w:top w:val="none" w:sz="0" w:space="0" w:color="auto"/>
                <w:left w:val="none" w:sz="0" w:space="0" w:color="auto"/>
                <w:bottom w:val="none" w:sz="0" w:space="0" w:color="auto"/>
                <w:right w:val="none" w:sz="0" w:space="0" w:color="auto"/>
              </w:divBdr>
              <w:divsChild>
                <w:div w:id="2005009196">
                  <w:marLeft w:val="0"/>
                  <w:marRight w:val="0"/>
                  <w:marTop w:val="0"/>
                  <w:marBottom w:val="0"/>
                  <w:divBdr>
                    <w:top w:val="none" w:sz="0" w:space="0" w:color="auto"/>
                    <w:left w:val="none" w:sz="0" w:space="0" w:color="auto"/>
                    <w:bottom w:val="none" w:sz="0" w:space="0" w:color="auto"/>
                    <w:right w:val="none" w:sz="0" w:space="0" w:color="auto"/>
                  </w:divBdr>
                  <w:divsChild>
                    <w:div w:id="2005009203">
                      <w:marLeft w:val="0"/>
                      <w:marRight w:val="0"/>
                      <w:marTop w:val="0"/>
                      <w:marBottom w:val="0"/>
                      <w:divBdr>
                        <w:top w:val="none" w:sz="0" w:space="0" w:color="auto"/>
                        <w:left w:val="none" w:sz="0" w:space="0" w:color="auto"/>
                        <w:bottom w:val="none" w:sz="0" w:space="0" w:color="auto"/>
                        <w:right w:val="none" w:sz="0" w:space="0" w:color="auto"/>
                      </w:divBdr>
                      <w:divsChild>
                        <w:div w:id="2005009192">
                          <w:marLeft w:val="0"/>
                          <w:marRight w:val="0"/>
                          <w:marTop w:val="0"/>
                          <w:marBottom w:val="0"/>
                          <w:divBdr>
                            <w:top w:val="none" w:sz="0" w:space="0" w:color="auto"/>
                            <w:left w:val="none" w:sz="0" w:space="0" w:color="auto"/>
                            <w:bottom w:val="none" w:sz="0" w:space="0" w:color="auto"/>
                            <w:right w:val="none" w:sz="0" w:space="0" w:color="auto"/>
                          </w:divBdr>
                          <w:divsChild>
                            <w:div w:id="2005009189">
                              <w:marLeft w:val="0"/>
                              <w:marRight w:val="0"/>
                              <w:marTop w:val="0"/>
                              <w:marBottom w:val="0"/>
                              <w:divBdr>
                                <w:top w:val="none" w:sz="0" w:space="0" w:color="auto"/>
                                <w:left w:val="none" w:sz="0" w:space="0" w:color="auto"/>
                                <w:bottom w:val="none" w:sz="0" w:space="0" w:color="auto"/>
                                <w:right w:val="none" w:sz="0" w:space="0" w:color="auto"/>
                              </w:divBdr>
                              <w:divsChild>
                                <w:div w:id="2005009197">
                                  <w:marLeft w:val="60"/>
                                  <w:marRight w:val="0"/>
                                  <w:marTop w:val="0"/>
                                  <w:marBottom w:val="0"/>
                                  <w:divBdr>
                                    <w:top w:val="none" w:sz="0" w:space="0" w:color="auto"/>
                                    <w:left w:val="none" w:sz="0" w:space="0" w:color="auto"/>
                                    <w:bottom w:val="none" w:sz="0" w:space="0" w:color="auto"/>
                                    <w:right w:val="none" w:sz="0" w:space="0" w:color="auto"/>
                                  </w:divBdr>
                                  <w:divsChild>
                                    <w:div w:id="200500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5009205">
      <w:marLeft w:val="0"/>
      <w:marRight w:val="0"/>
      <w:marTop w:val="0"/>
      <w:marBottom w:val="0"/>
      <w:divBdr>
        <w:top w:val="none" w:sz="0" w:space="0" w:color="auto"/>
        <w:left w:val="none" w:sz="0" w:space="0" w:color="auto"/>
        <w:bottom w:val="none" w:sz="0" w:space="0" w:color="auto"/>
        <w:right w:val="none" w:sz="0" w:space="0" w:color="auto"/>
      </w:divBdr>
      <w:divsChild>
        <w:div w:id="2005009190">
          <w:marLeft w:val="0"/>
          <w:marRight w:val="0"/>
          <w:marTop w:val="0"/>
          <w:marBottom w:val="0"/>
          <w:divBdr>
            <w:top w:val="none" w:sz="0" w:space="0" w:color="auto"/>
            <w:left w:val="none" w:sz="0" w:space="0" w:color="auto"/>
            <w:bottom w:val="none" w:sz="0" w:space="0" w:color="auto"/>
            <w:right w:val="none" w:sz="0" w:space="0" w:color="auto"/>
          </w:divBdr>
          <w:divsChild>
            <w:div w:id="2005009198">
              <w:marLeft w:val="0"/>
              <w:marRight w:val="0"/>
              <w:marTop w:val="0"/>
              <w:marBottom w:val="0"/>
              <w:divBdr>
                <w:top w:val="none" w:sz="0" w:space="0" w:color="auto"/>
                <w:left w:val="none" w:sz="0" w:space="0" w:color="auto"/>
                <w:bottom w:val="none" w:sz="0" w:space="0" w:color="auto"/>
                <w:right w:val="none" w:sz="0" w:space="0" w:color="auto"/>
              </w:divBdr>
              <w:divsChild>
                <w:div w:id="2005009200">
                  <w:marLeft w:val="0"/>
                  <w:marRight w:val="0"/>
                  <w:marTop w:val="0"/>
                  <w:marBottom w:val="0"/>
                  <w:divBdr>
                    <w:top w:val="none" w:sz="0" w:space="0" w:color="auto"/>
                    <w:left w:val="none" w:sz="0" w:space="0" w:color="auto"/>
                    <w:bottom w:val="none" w:sz="0" w:space="0" w:color="auto"/>
                    <w:right w:val="none" w:sz="0" w:space="0" w:color="auto"/>
                  </w:divBdr>
                  <w:divsChild>
                    <w:div w:id="2005009195">
                      <w:marLeft w:val="0"/>
                      <w:marRight w:val="0"/>
                      <w:marTop w:val="0"/>
                      <w:marBottom w:val="0"/>
                      <w:divBdr>
                        <w:top w:val="none" w:sz="0" w:space="0" w:color="auto"/>
                        <w:left w:val="none" w:sz="0" w:space="0" w:color="auto"/>
                        <w:bottom w:val="none" w:sz="0" w:space="0" w:color="auto"/>
                        <w:right w:val="none" w:sz="0" w:space="0" w:color="auto"/>
                      </w:divBdr>
                      <w:divsChild>
                        <w:div w:id="2005009191">
                          <w:marLeft w:val="0"/>
                          <w:marRight w:val="0"/>
                          <w:marTop w:val="0"/>
                          <w:marBottom w:val="0"/>
                          <w:divBdr>
                            <w:top w:val="none" w:sz="0" w:space="0" w:color="auto"/>
                            <w:left w:val="none" w:sz="0" w:space="0" w:color="auto"/>
                            <w:bottom w:val="none" w:sz="0" w:space="0" w:color="auto"/>
                            <w:right w:val="none" w:sz="0" w:space="0" w:color="auto"/>
                          </w:divBdr>
                          <w:divsChild>
                            <w:div w:id="2005009202">
                              <w:marLeft w:val="0"/>
                              <w:marRight w:val="0"/>
                              <w:marTop w:val="0"/>
                              <w:marBottom w:val="0"/>
                              <w:divBdr>
                                <w:top w:val="none" w:sz="0" w:space="0" w:color="auto"/>
                                <w:left w:val="none" w:sz="0" w:space="0" w:color="auto"/>
                                <w:bottom w:val="none" w:sz="0" w:space="0" w:color="auto"/>
                                <w:right w:val="none" w:sz="0" w:space="0" w:color="auto"/>
                              </w:divBdr>
                              <w:divsChild>
                                <w:div w:id="2005009199">
                                  <w:marLeft w:val="60"/>
                                  <w:marRight w:val="0"/>
                                  <w:marTop w:val="0"/>
                                  <w:marBottom w:val="0"/>
                                  <w:divBdr>
                                    <w:top w:val="none" w:sz="0" w:space="0" w:color="auto"/>
                                    <w:left w:val="none" w:sz="0" w:space="0" w:color="auto"/>
                                    <w:bottom w:val="none" w:sz="0" w:space="0" w:color="auto"/>
                                    <w:right w:val="none" w:sz="0" w:space="0" w:color="auto"/>
                                  </w:divBdr>
                                  <w:divsChild>
                                    <w:div w:id="200500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osservatori.ne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isandra@mirandolacomunicazione.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lessia.valsecchi@polimi.it%20/%20mailto:alessia.valsecchi@polimi.it" TargetMode="External"/><Relationship Id="rId4" Type="http://schemas.openxmlformats.org/officeDocument/2006/relationships/webSettings" Target="webSettings.xml"/><Relationship Id="rId9" Type="http://schemas.openxmlformats.org/officeDocument/2006/relationships/hyperlink" Target="http://www.osservatori.net"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13</TotalTime>
  <Pages>3</Pages>
  <Words>1785</Words>
  <Characters>10181</Characters>
  <Application>Microsoft Office Outlook</Application>
  <DocSecurity>0</DocSecurity>
  <Lines>0</Lines>
  <Paragraphs>0</Paragraphs>
  <ScaleCrop>false</ScaleCrop>
  <Company>Politecnico di Milano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 Business Intelligence</dc:title>
  <dc:subject/>
  <dc:creator>Barbara Balabio</dc:creator>
  <cp:keywords/>
  <dc:description/>
  <cp:lastModifiedBy>Francesca Zanella</cp:lastModifiedBy>
  <cp:revision>3</cp:revision>
  <cp:lastPrinted>2010-06-06T19:26:00Z</cp:lastPrinted>
  <dcterms:created xsi:type="dcterms:W3CDTF">2011-11-08T11:03:00Z</dcterms:created>
  <dcterms:modified xsi:type="dcterms:W3CDTF">2011-11-08T11:20:00Z</dcterms:modified>
</cp:coreProperties>
</file>