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5C" w:rsidRPr="00FC7076" w:rsidRDefault="00906C68">
      <w:pPr>
        <w:rPr>
          <w:sz w:val="19"/>
          <w:szCs w:val="19"/>
        </w:rPr>
      </w:pPr>
      <w:r w:rsidRPr="00FC7076">
        <w:rPr>
          <w:i/>
          <w:sz w:val="19"/>
          <w:szCs w:val="19"/>
        </w:rPr>
        <w:t xml:space="preserve">The </w:t>
      </w:r>
      <w:proofErr w:type="spellStart"/>
      <w:r w:rsidRPr="00FC7076">
        <w:rPr>
          <w:i/>
          <w:sz w:val="19"/>
          <w:szCs w:val="19"/>
        </w:rPr>
        <w:t>Chrysalids</w:t>
      </w:r>
      <w:proofErr w:type="spellEnd"/>
      <w:r w:rsidRPr="00FC7076">
        <w:rPr>
          <w:sz w:val="19"/>
          <w:szCs w:val="19"/>
        </w:rPr>
        <w:t xml:space="preserve"> by John Wyndham</w:t>
      </w:r>
    </w:p>
    <w:p w:rsidR="00906C68" w:rsidRPr="00FC7076" w:rsidRDefault="00FC7076">
      <w:pPr>
        <w:rPr>
          <w:sz w:val="19"/>
          <w:szCs w:val="19"/>
        </w:rPr>
      </w:pPr>
      <w:hyperlink r:id="rId5" w:history="1">
        <w:r w:rsidR="00CA604E" w:rsidRPr="00FC7076">
          <w:rPr>
            <w:rStyle w:val="Hyperlink"/>
            <w:color w:val="auto"/>
            <w:sz w:val="19"/>
            <w:szCs w:val="19"/>
          </w:rPr>
          <w:t>http://hrsbstaff.ednet.ns.ca/engramja/ENG_11/The%20Chrysalids.pdf</w:t>
        </w:r>
      </w:hyperlink>
    </w:p>
    <w:p w:rsidR="0031458D" w:rsidRPr="00FC7076" w:rsidRDefault="0031458D">
      <w:pPr>
        <w:rPr>
          <w:sz w:val="19"/>
          <w:szCs w:val="19"/>
        </w:rPr>
      </w:pPr>
      <w:r w:rsidRPr="00FC7076">
        <w:rPr>
          <w:sz w:val="19"/>
          <w:szCs w:val="19"/>
        </w:rPr>
        <w:t>(If you TRULY do not own a computer or have web access at school or home, please let me know.)</w:t>
      </w:r>
      <w:r w:rsidR="00FC7076" w:rsidRPr="00FC7076">
        <w:rPr>
          <w:sz w:val="19"/>
          <w:szCs w:val="19"/>
        </w:rPr>
        <w:t xml:space="preserve"> It is also available on the class website.</w:t>
      </w:r>
    </w:p>
    <w:p w:rsidR="00CA604E" w:rsidRPr="00FC7076" w:rsidRDefault="00CA604E">
      <w:pPr>
        <w:rPr>
          <w:sz w:val="19"/>
          <w:szCs w:val="19"/>
        </w:rPr>
      </w:pPr>
      <w:r w:rsidRPr="00FC7076">
        <w:rPr>
          <w:sz w:val="19"/>
          <w:szCs w:val="19"/>
        </w:rPr>
        <w:t xml:space="preserve">Our </w:t>
      </w:r>
      <w:proofErr w:type="spellStart"/>
      <w:r w:rsidRPr="00FC7076">
        <w:rPr>
          <w:i/>
          <w:sz w:val="19"/>
          <w:szCs w:val="19"/>
        </w:rPr>
        <w:t>Chrysalids</w:t>
      </w:r>
      <w:proofErr w:type="spellEnd"/>
      <w:r w:rsidRPr="00FC7076">
        <w:rPr>
          <w:sz w:val="19"/>
          <w:szCs w:val="19"/>
        </w:rPr>
        <w:t xml:space="preserve"> Project:</w:t>
      </w:r>
    </w:p>
    <w:p w:rsidR="00CA604E" w:rsidRPr="00FC7076" w:rsidRDefault="00CA604E">
      <w:pPr>
        <w:rPr>
          <w:sz w:val="19"/>
          <w:szCs w:val="19"/>
        </w:rPr>
      </w:pPr>
      <w:r w:rsidRPr="00FC7076">
        <w:rPr>
          <w:i/>
          <w:sz w:val="19"/>
          <w:szCs w:val="19"/>
        </w:rPr>
        <w:t xml:space="preserve">The </w:t>
      </w:r>
      <w:proofErr w:type="spellStart"/>
      <w:r w:rsidRPr="00FC7076">
        <w:rPr>
          <w:i/>
          <w:sz w:val="19"/>
          <w:szCs w:val="19"/>
        </w:rPr>
        <w:t>Chrysalids</w:t>
      </w:r>
      <w:proofErr w:type="spellEnd"/>
      <w:r w:rsidRPr="00FC7076">
        <w:rPr>
          <w:sz w:val="19"/>
          <w:szCs w:val="19"/>
        </w:rPr>
        <w:t xml:space="preserve"> is a great novel from the </w:t>
      </w:r>
      <w:proofErr w:type="spellStart"/>
      <w:r w:rsidRPr="00FC7076">
        <w:rPr>
          <w:sz w:val="19"/>
          <w:szCs w:val="19"/>
        </w:rPr>
        <w:t>mid 20</w:t>
      </w:r>
      <w:r w:rsidRPr="00FC7076">
        <w:rPr>
          <w:sz w:val="19"/>
          <w:szCs w:val="19"/>
          <w:vertAlign w:val="superscript"/>
        </w:rPr>
        <w:t>th</w:t>
      </w:r>
      <w:proofErr w:type="spellEnd"/>
      <w:r w:rsidRPr="00FC7076">
        <w:rPr>
          <w:sz w:val="19"/>
          <w:szCs w:val="19"/>
        </w:rPr>
        <w:t xml:space="preserve"> Century that covers many themes and explores a number of “what ifs” regarding life and society. We can be inspired by the </w:t>
      </w:r>
      <w:proofErr w:type="gramStart"/>
      <w:r w:rsidRPr="00FC7076">
        <w:rPr>
          <w:sz w:val="19"/>
          <w:szCs w:val="19"/>
        </w:rPr>
        <w:t>excellency</w:t>
      </w:r>
      <w:proofErr w:type="gramEnd"/>
      <w:r w:rsidRPr="00FC7076">
        <w:rPr>
          <w:sz w:val="19"/>
          <w:szCs w:val="19"/>
        </w:rPr>
        <w:t xml:space="preserve"> of the writer’s craft, and also by his messages to us about the value of the individual as part of an </w:t>
      </w:r>
      <w:r w:rsidR="0031458D" w:rsidRPr="00FC7076">
        <w:rPr>
          <w:sz w:val="19"/>
          <w:szCs w:val="19"/>
        </w:rPr>
        <w:t>organic</w:t>
      </w:r>
      <w:r w:rsidRPr="00FC7076">
        <w:rPr>
          <w:sz w:val="19"/>
          <w:szCs w:val="19"/>
        </w:rPr>
        <w:t xml:space="preserve"> whole.</w:t>
      </w:r>
      <w:r w:rsidR="0031458D" w:rsidRPr="00FC7076">
        <w:rPr>
          <w:sz w:val="19"/>
          <w:szCs w:val="19"/>
        </w:rPr>
        <w:t xml:space="preserve"> The novel follows the heroic pattern common for adventure-type stories (e.g. </w:t>
      </w:r>
      <w:r w:rsidR="0031458D" w:rsidRPr="00FC7076">
        <w:rPr>
          <w:i/>
          <w:sz w:val="19"/>
          <w:szCs w:val="19"/>
        </w:rPr>
        <w:t>Lord of the Rings</w:t>
      </w:r>
      <w:r w:rsidR="0031458D" w:rsidRPr="00FC7076">
        <w:rPr>
          <w:sz w:val="19"/>
          <w:szCs w:val="19"/>
        </w:rPr>
        <w:t xml:space="preserve">, </w:t>
      </w:r>
      <w:r w:rsidR="0031458D" w:rsidRPr="00FC7076">
        <w:rPr>
          <w:i/>
          <w:sz w:val="19"/>
          <w:szCs w:val="19"/>
        </w:rPr>
        <w:t>The Odyssey</w:t>
      </w:r>
      <w:r w:rsidR="0031458D" w:rsidRPr="00FC7076">
        <w:rPr>
          <w:sz w:val="19"/>
          <w:szCs w:val="19"/>
        </w:rPr>
        <w:t xml:space="preserve">, </w:t>
      </w:r>
      <w:proofErr w:type="spellStart"/>
      <w:r w:rsidR="0031458D" w:rsidRPr="00FC7076">
        <w:rPr>
          <w:sz w:val="19"/>
          <w:szCs w:val="19"/>
        </w:rPr>
        <w:t>etc</w:t>
      </w:r>
      <w:proofErr w:type="spellEnd"/>
      <w:r w:rsidR="0031458D" w:rsidRPr="00FC7076">
        <w:rPr>
          <w:sz w:val="19"/>
          <w:szCs w:val="19"/>
        </w:rPr>
        <w:t>) and quite interestingly for us, although written by a Briton, it is set in Canada! Enjoy! But, there is a difference between merely reading a work of literature and truly studying and mastering it. We will be reading and also commenting upon what we read, culminating in a short “epic” poem we will write. So:</w:t>
      </w:r>
    </w:p>
    <w:p w:rsidR="0031458D" w:rsidRPr="00FC7076" w:rsidRDefault="0031458D" w:rsidP="0031458D">
      <w:pPr>
        <w:rPr>
          <w:sz w:val="19"/>
          <w:szCs w:val="19"/>
        </w:rPr>
      </w:pPr>
      <w:r w:rsidRPr="00FC7076">
        <w:rPr>
          <w:sz w:val="19"/>
          <w:szCs w:val="19"/>
        </w:rPr>
        <w:t>For each one of the 17 chapters in the book:</w:t>
      </w:r>
    </w:p>
    <w:p w:rsidR="0031458D" w:rsidRPr="00FC7076" w:rsidRDefault="0031458D" w:rsidP="0031458D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FC7076">
        <w:rPr>
          <w:sz w:val="19"/>
          <w:szCs w:val="19"/>
        </w:rPr>
        <w:t>Write a 6 point summary</w:t>
      </w:r>
    </w:p>
    <w:p w:rsidR="0031458D" w:rsidRPr="00FC7076" w:rsidRDefault="0031458D" w:rsidP="0031458D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FC7076">
        <w:rPr>
          <w:sz w:val="19"/>
          <w:szCs w:val="19"/>
        </w:rPr>
        <w:t>Write a 100 word or more critical reflection upon the thoughts and actions of the characters</w:t>
      </w:r>
    </w:p>
    <w:p w:rsidR="0031458D" w:rsidRPr="00FC7076" w:rsidRDefault="0031458D" w:rsidP="0031458D">
      <w:pPr>
        <w:pStyle w:val="ListParagraph"/>
        <w:numPr>
          <w:ilvl w:val="0"/>
          <w:numId w:val="2"/>
        </w:numPr>
        <w:rPr>
          <w:sz w:val="19"/>
          <w:szCs w:val="19"/>
        </w:rPr>
      </w:pPr>
      <w:r w:rsidRPr="00FC7076">
        <w:rPr>
          <w:sz w:val="19"/>
          <w:szCs w:val="19"/>
        </w:rPr>
        <w:t>Write a stanza of a poem, which will end up being 17 stanzas in length</w:t>
      </w:r>
    </w:p>
    <w:p w:rsidR="0031458D" w:rsidRPr="00FC7076" w:rsidRDefault="0031458D" w:rsidP="0031458D">
      <w:pPr>
        <w:rPr>
          <w:sz w:val="19"/>
          <w:szCs w:val="19"/>
        </w:rPr>
      </w:pPr>
      <w:r w:rsidRPr="00FC7076">
        <w:rPr>
          <w:sz w:val="19"/>
          <w:szCs w:val="19"/>
        </w:rPr>
        <w:t>Your point summaries and reflections will be graded as you are accustomed to from other projects (although this one will be a separate “</w:t>
      </w:r>
      <w:proofErr w:type="spellStart"/>
      <w:r w:rsidRPr="00FC7076">
        <w:rPr>
          <w:sz w:val="19"/>
          <w:szCs w:val="19"/>
        </w:rPr>
        <w:t>Chrysalids</w:t>
      </w:r>
      <w:proofErr w:type="spellEnd"/>
      <w:r w:rsidRPr="00FC7076">
        <w:rPr>
          <w:sz w:val="19"/>
          <w:szCs w:val="19"/>
        </w:rPr>
        <w:t>” summary and reflection mark extraneous to your regular day work) but your “epic” poem will be graded according to the presentation rubric attached.</w:t>
      </w:r>
    </w:p>
    <w:p w:rsidR="0031458D" w:rsidRPr="00FC7076" w:rsidRDefault="0031458D" w:rsidP="0031458D">
      <w:pPr>
        <w:rPr>
          <w:sz w:val="19"/>
          <w:szCs w:val="19"/>
        </w:rPr>
      </w:pPr>
      <w:r w:rsidRPr="00FC7076">
        <w:rPr>
          <w:sz w:val="19"/>
          <w:szCs w:val="19"/>
        </w:rPr>
        <w:t xml:space="preserve">Regarding your “epic” poem. You should more or less retell the story of the </w:t>
      </w:r>
      <w:proofErr w:type="spellStart"/>
      <w:r w:rsidRPr="00FC7076">
        <w:rPr>
          <w:sz w:val="19"/>
          <w:szCs w:val="19"/>
        </w:rPr>
        <w:t>Chrysalids</w:t>
      </w:r>
      <w:proofErr w:type="spellEnd"/>
      <w:r w:rsidRPr="00FC7076">
        <w:rPr>
          <w:sz w:val="19"/>
          <w:szCs w:val="19"/>
        </w:rPr>
        <w:t xml:space="preserve"> in some way, perhaps focussing on a favourite character or such. You may use any poetic format or techniques you like, but you must be able to identify which ones you used. So, for your poem:</w:t>
      </w:r>
    </w:p>
    <w:p w:rsidR="0031458D" w:rsidRPr="00FC7076" w:rsidRDefault="0031458D" w:rsidP="0031458D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FC7076">
        <w:rPr>
          <w:sz w:val="19"/>
          <w:szCs w:val="19"/>
        </w:rPr>
        <w:t xml:space="preserve">Write a 17 stanza poem with each stanza based on one chapter of </w:t>
      </w:r>
      <w:r w:rsidRPr="00FC7076">
        <w:rPr>
          <w:i/>
          <w:sz w:val="19"/>
          <w:szCs w:val="19"/>
        </w:rPr>
        <w:t xml:space="preserve">The </w:t>
      </w:r>
      <w:proofErr w:type="spellStart"/>
      <w:r w:rsidRPr="00FC7076">
        <w:rPr>
          <w:i/>
          <w:sz w:val="19"/>
          <w:szCs w:val="19"/>
        </w:rPr>
        <w:t>Chrysalids</w:t>
      </w:r>
      <w:proofErr w:type="spellEnd"/>
      <w:r w:rsidRPr="00FC7076">
        <w:rPr>
          <w:sz w:val="19"/>
          <w:szCs w:val="19"/>
        </w:rPr>
        <w:t>.</w:t>
      </w:r>
    </w:p>
    <w:p w:rsidR="0031458D" w:rsidRPr="00FC7076" w:rsidRDefault="00535EBA" w:rsidP="0031458D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FC7076">
        <w:rPr>
          <w:sz w:val="19"/>
          <w:szCs w:val="19"/>
        </w:rPr>
        <w:t>Each stanza should have at least 100 words in it</w:t>
      </w:r>
      <w:r w:rsidR="00AD538C" w:rsidRPr="00FC7076">
        <w:rPr>
          <w:sz w:val="19"/>
          <w:szCs w:val="19"/>
        </w:rPr>
        <w:t xml:space="preserve"> (150 – enriched)</w:t>
      </w:r>
      <w:r w:rsidRPr="00FC7076">
        <w:rPr>
          <w:sz w:val="19"/>
          <w:szCs w:val="19"/>
        </w:rPr>
        <w:t>.</w:t>
      </w:r>
    </w:p>
    <w:p w:rsidR="00535EBA" w:rsidRPr="00FC7076" w:rsidRDefault="00535EBA" w:rsidP="0031458D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FC7076">
        <w:rPr>
          <w:sz w:val="19"/>
          <w:szCs w:val="19"/>
        </w:rPr>
        <w:t>Each stanza must include at least 6 poetical techniques</w:t>
      </w:r>
      <w:r w:rsidR="00B42886" w:rsidRPr="00FC7076">
        <w:rPr>
          <w:sz w:val="19"/>
          <w:szCs w:val="19"/>
        </w:rPr>
        <w:t xml:space="preserve"> (8 – enriched)</w:t>
      </w:r>
      <w:r w:rsidRPr="00FC7076">
        <w:rPr>
          <w:sz w:val="19"/>
          <w:szCs w:val="19"/>
        </w:rPr>
        <w:t>.</w:t>
      </w:r>
    </w:p>
    <w:p w:rsidR="00535EBA" w:rsidRPr="00FC7076" w:rsidRDefault="00535EBA" w:rsidP="0031458D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FC7076">
        <w:rPr>
          <w:sz w:val="19"/>
          <w:szCs w:val="19"/>
        </w:rPr>
        <w:t>Explicitly point out and define each of the 6 (or more) poetical techniques you use in each stanza. (e.g. “</w:t>
      </w:r>
      <w:proofErr w:type="spellStart"/>
      <w:r w:rsidRPr="00FC7076">
        <w:rPr>
          <w:sz w:val="19"/>
          <w:szCs w:val="19"/>
        </w:rPr>
        <w:t>Unce</w:t>
      </w:r>
      <w:proofErr w:type="spellEnd"/>
      <w:r w:rsidRPr="00FC7076">
        <w:rPr>
          <w:sz w:val="19"/>
          <w:szCs w:val="19"/>
        </w:rPr>
        <w:t xml:space="preserve"> Axel excelled in extraneous escapades!” – consonance regarding “x”: ax, ex, ex, even “esc” can be thought of as a reversed “x”</w:t>
      </w:r>
    </w:p>
    <w:p w:rsidR="00FC7076" w:rsidRPr="00FC7076" w:rsidRDefault="00FC7076" w:rsidP="0031458D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FC7076">
        <w:rPr>
          <w:sz w:val="19"/>
          <w:szCs w:val="19"/>
        </w:rPr>
        <w:t>Include one image accompanying each stanza.</w:t>
      </w:r>
    </w:p>
    <w:p w:rsidR="00535EBA" w:rsidRPr="00FC7076" w:rsidRDefault="005B74D9" w:rsidP="00535EBA">
      <w:pPr>
        <w:rPr>
          <w:sz w:val="19"/>
          <w:szCs w:val="19"/>
        </w:rPr>
      </w:pPr>
      <w:r w:rsidRPr="00FC7076">
        <w:rPr>
          <w:sz w:val="19"/>
          <w:szCs w:val="19"/>
        </w:rPr>
        <w:t>**</w:t>
      </w:r>
      <w:r w:rsidR="00535EBA" w:rsidRPr="00FC7076">
        <w:rPr>
          <w:sz w:val="19"/>
          <w:szCs w:val="19"/>
        </w:rPr>
        <w:t>Be aware that much of this project will be done on your own time. The Board of Education recommends about 2 hours of homework a day in Secondary School, so make this project part of that!</w:t>
      </w:r>
      <w:r w:rsidRPr="00FC7076">
        <w:rPr>
          <w:sz w:val="19"/>
          <w:szCs w:val="19"/>
        </w:rPr>
        <w:t>**</w:t>
      </w:r>
    </w:p>
    <w:p w:rsidR="005B74D9" w:rsidRPr="00FC7076" w:rsidRDefault="005B74D9" w:rsidP="005B74D9">
      <w:pPr>
        <w:jc w:val="center"/>
        <w:rPr>
          <w:sz w:val="19"/>
          <w:szCs w:val="19"/>
        </w:rPr>
      </w:pPr>
      <w:r w:rsidRPr="00FC7076">
        <w:rPr>
          <w:sz w:val="19"/>
          <w:szCs w:val="19"/>
        </w:rPr>
        <w:t>**Also be aware that it is CRITICAL that you actua</w:t>
      </w:r>
      <w:bookmarkStart w:id="0" w:name="_GoBack"/>
      <w:bookmarkEnd w:id="0"/>
      <w:r w:rsidRPr="00FC7076">
        <w:rPr>
          <w:sz w:val="19"/>
          <w:szCs w:val="19"/>
        </w:rPr>
        <w:t>lly read (and even reread!) every part of the book! PLEASE do not try to cheat yourself of your education</w:t>
      </w:r>
      <w:proofErr w:type="gramStart"/>
      <w:r w:rsidRPr="00FC7076">
        <w:rPr>
          <w:sz w:val="19"/>
          <w:szCs w:val="19"/>
        </w:rPr>
        <w:t>!*</w:t>
      </w:r>
      <w:proofErr w:type="gramEnd"/>
      <w:r w:rsidRPr="00FC7076">
        <w:rPr>
          <w:sz w:val="19"/>
          <w:szCs w:val="19"/>
        </w:rPr>
        <w:t>*</w:t>
      </w:r>
    </w:p>
    <w:p w:rsidR="00535EBA" w:rsidRPr="00535EBA" w:rsidRDefault="00535EBA" w:rsidP="00535EBA"/>
    <w:p w:rsidR="00611CAC" w:rsidRPr="007F2B9D" w:rsidRDefault="00611CAC" w:rsidP="00611CAC">
      <w:pPr>
        <w:rPr>
          <w:b/>
          <w:sz w:val="20"/>
          <w:szCs w:val="20"/>
        </w:rPr>
      </w:pPr>
      <w:r w:rsidRPr="007F2B9D">
        <w:rPr>
          <w:b/>
          <w:sz w:val="20"/>
          <w:szCs w:val="20"/>
        </w:rPr>
        <w:t>NAME: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2700"/>
        <w:gridCol w:w="2700"/>
        <w:gridCol w:w="2520"/>
        <w:gridCol w:w="2880"/>
      </w:tblGrid>
      <w:tr w:rsidR="00611CAC" w:rsidRPr="007F2B9D" w:rsidTr="006031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r w:rsidRPr="007F2B9D">
              <w:t>0-11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r w:rsidRPr="007F2B9D">
              <w:t>12-13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r w:rsidRPr="007F2B9D">
              <w:t>14-15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r w:rsidRPr="007F2B9D">
              <w:t>16-20</w:t>
            </w:r>
          </w:p>
        </w:tc>
      </w:tr>
      <w:tr w:rsidR="00611CAC" w:rsidRPr="007F2B9D" w:rsidTr="006031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pPr>
              <w:rPr>
                <w:b/>
              </w:rPr>
            </w:pPr>
            <w:r w:rsidRPr="007F2B9D">
              <w:rPr>
                <w:b/>
              </w:rPr>
              <w:t>Knowledge and Understanding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Content is not extensive and covers some of the issues at hand.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Research and/or detailed planning somewhat evident.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Content is satisfactory and covers the issues at hand.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Satisfactory research and/or planning evident.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Content is extensive and thoroughly covers the issues at hand.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Strong research and/or detailed planning evident.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Content is very extensive and very thoroughly covers the issues at hand.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Very strong research and/or exceptionally detailed planning evident.</w:t>
            </w:r>
          </w:p>
        </w:tc>
      </w:tr>
      <w:tr w:rsidR="00611CAC" w:rsidRPr="007F2B9D" w:rsidTr="006031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pPr>
              <w:rPr>
                <w:b/>
              </w:rPr>
            </w:pPr>
            <w:r w:rsidRPr="007F2B9D">
              <w:rPr>
                <w:b/>
              </w:rPr>
              <w:t>Thinking and Inquiry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is sometimes complex and varied.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It covers some ideas and themes.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is somewhat complex and varied.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It covers some ideas and themes, and links them together logically and/or artistically.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is complex and varied.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It covers a variety of ideas and themes, and links them together logically and/or artistically.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is very complex and highly varied.</w:t>
            </w:r>
          </w:p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It covers a wide variety of ideas and themes, and links them together logically and/or artistically in a highly effective way.</w:t>
            </w:r>
          </w:p>
        </w:tc>
      </w:tr>
      <w:tr w:rsidR="00611CAC" w:rsidRPr="007F2B9D" w:rsidTr="006031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pPr>
              <w:rPr>
                <w:b/>
              </w:rPr>
            </w:pPr>
            <w:r w:rsidRPr="007F2B9D">
              <w:rPr>
                <w:b/>
              </w:rPr>
              <w:t>Application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Grammar and vocabulary are sometimes correct, varied and appropriate to the form of written work at hand.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Grammar and vocabulary are mostly correct, somewhat varied and mostly appropriate to the form of written work at hand.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Grammar and vocabulary are correct, varied and appropriate to the form of written work at hand.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Grammar and vocabulary are correct, highly varied and appropriate to the form of written work at hand. Strong mastery of these skills is highly evident.</w:t>
            </w:r>
          </w:p>
        </w:tc>
      </w:tr>
      <w:tr w:rsidR="00611CAC" w:rsidRPr="007F2B9D" w:rsidTr="006031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03193">
            <w:pPr>
              <w:rPr>
                <w:b/>
              </w:rPr>
            </w:pPr>
            <w:r w:rsidRPr="007F2B9D">
              <w:rPr>
                <w:b/>
              </w:rPr>
              <w:t>Communication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sometimes makes sense and sometimes conveys the desired message.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mostly makes sense and conveys the desired message.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makes sense and clearly conveys the desired message.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AC" w:rsidRPr="007F2B9D" w:rsidRDefault="00611CAC" w:rsidP="00611CAC">
            <w:pPr>
              <w:numPr>
                <w:ilvl w:val="0"/>
                <w:numId w:val="4"/>
              </w:numPr>
            </w:pPr>
            <w:r w:rsidRPr="007F2B9D">
              <w:t>The written work makes sense and clearly conveys the desired message in a highly attractive and interesting way.</w:t>
            </w:r>
          </w:p>
        </w:tc>
      </w:tr>
    </w:tbl>
    <w:p w:rsidR="0031458D" w:rsidRDefault="0031458D" w:rsidP="0031458D"/>
    <w:p w:rsidR="00611CAC" w:rsidRPr="00535EBA" w:rsidRDefault="00611CAC" w:rsidP="00611CAC">
      <w:pPr>
        <w:jc w:val="center"/>
      </w:pPr>
      <w:r>
        <w:t>THE CHRYSALIDS “EPIC POEM” PROJECT</w:t>
      </w:r>
    </w:p>
    <w:sectPr w:rsidR="00611CAC" w:rsidRPr="00535EBA" w:rsidSect="00906C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DDF"/>
    <w:multiLevelType w:val="hybridMultilevel"/>
    <w:tmpl w:val="90860B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E7900"/>
    <w:multiLevelType w:val="hybridMultilevel"/>
    <w:tmpl w:val="77C2E47C"/>
    <w:lvl w:ilvl="0" w:tplc="1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32B2A"/>
    <w:multiLevelType w:val="hybridMultilevel"/>
    <w:tmpl w:val="082CE7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260D0"/>
    <w:multiLevelType w:val="hybridMultilevel"/>
    <w:tmpl w:val="788AC3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6"/>
    <w:rsid w:val="0031458D"/>
    <w:rsid w:val="004E5076"/>
    <w:rsid w:val="00535EBA"/>
    <w:rsid w:val="005B74D9"/>
    <w:rsid w:val="005D49F5"/>
    <w:rsid w:val="00611CAC"/>
    <w:rsid w:val="0063299F"/>
    <w:rsid w:val="00906C68"/>
    <w:rsid w:val="00AD538C"/>
    <w:rsid w:val="00B42886"/>
    <w:rsid w:val="00CA604E"/>
    <w:rsid w:val="00DB71A0"/>
    <w:rsid w:val="00F15F5C"/>
    <w:rsid w:val="00F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05840-B6A3-4BFE-8483-782E428F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0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58D"/>
    <w:pPr>
      <w:ind w:left="720"/>
      <w:contextualSpacing/>
    </w:pPr>
  </w:style>
  <w:style w:type="table" w:styleId="TableGrid">
    <w:name w:val="Table Grid"/>
    <w:basedOn w:val="TableNormal"/>
    <w:rsid w:val="00611CA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rsbstaff.ednet.ns.ca/engramja/ENG_11/The%20Chrysalid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Miller</dc:creator>
  <cp:keywords/>
  <dc:description/>
  <cp:lastModifiedBy>Chris Miller [Staff]</cp:lastModifiedBy>
  <cp:revision>23</cp:revision>
  <dcterms:created xsi:type="dcterms:W3CDTF">2015-04-27T12:52:00Z</dcterms:created>
  <dcterms:modified xsi:type="dcterms:W3CDTF">2015-11-16T15:56:00Z</dcterms:modified>
</cp:coreProperties>
</file>