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94B" w:rsidRDefault="0053194B" w:rsidP="0053194B">
      <w:pPr>
        <w:jc w:val="center"/>
        <w:rPr>
          <w:sz w:val="32"/>
        </w:rPr>
      </w:pPr>
      <w:r>
        <w:rPr>
          <w:i/>
          <w:sz w:val="32"/>
        </w:rPr>
        <w:t xml:space="preserve">The </w:t>
      </w:r>
      <w:proofErr w:type="spellStart"/>
      <w:r>
        <w:rPr>
          <w:i/>
          <w:sz w:val="32"/>
        </w:rPr>
        <w:t>Chrysalids</w:t>
      </w:r>
      <w:proofErr w:type="spellEnd"/>
      <w:r>
        <w:rPr>
          <w:i/>
          <w:sz w:val="32"/>
        </w:rPr>
        <w:t xml:space="preserve"> </w:t>
      </w:r>
      <w:r w:rsidR="00BB68A7">
        <w:rPr>
          <w:sz w:val="32"/>
        </w:rPr>
        <w:t>Assignment 2</w:t>
      </w:r>
      <w:r>
        <w:rPr>
          <w:sz w:val="32"/>
        </w:rPr>
        <w:t>: Chapters 6-10</w:t>
      </w:r>
    </w:p>
    <w:p w:rsidR="0053194B" w:rsidRDefault="0053194B" w:rsidP="0053194B"/>
    <w:p w:rsidR="0053194B" w:rsidRDefault="0053194B" w:rsidP="0053194B">
      <w:r>
        <w:t xml:space="preserve">Weekly assignments are scored out of </w:t>
      </w:r>
      <w:r>
        <w:rPr>
          <w:b/>
        </w:rPr>
        <w:t>20 marks</w:t>
      </w:r>
      <w:r>
        <w:t>.</w:t>
      </w:r>
    </w:p>
    <w:p w:rsidR="0053194B" w:rsidRDefault="0053194B" w:rsidP="0053194B"/>
    <w:p w:rsidR="0053194B" w:rsidRDefault="0053194B" w:rsidP="0053194B">
      <w:r>
        <w:t xml:space="preserve">Provide a 300-450 </w:t>
      </w:r>
      <w:r w:rsidR="0019450F">
        <w:t xml:space="preserve">(over 450 – enriched) </w:t>
      </w:r>
      <w:bookmarkStart w:id="0" w:name="_GoBack"/>
      <w:bookmarkEnd w:id="0"/>
      <w:r>
        <w:t xml:space="preserve">word </w:t>
      </w:r>
      <w:r>
        <w:rPr>
          <w:i/>
        </w:rPr>
        <w:t>double-spaced</w:t>
      </w:r>
      <w:r>
        <w:t xml:space="preserve"> response to </w:t>
      </w:r>
      <w:r>
        <w:rPr>
          <w:b/>
        </w:rPr>
        <w:t xml:space="preserve">one (1) </w:t>
      </w:r>
      <w:r>
        <w:t xml:space="preserve">of the following two questions. Support your points using evidence from the text. Hint: the questions are meant to stimulate your own critical reflection of the events and ideas in the text; you are welcome to answer them however you like, so long as you support your views with passages from, or references to, the text. </w:t>
      </w:r>
      <w:r>
        <w:rPr>
          <w:b/>
        </w:rPr>
        <w:t>Direct quotations from the text do not count as part of your overall word count</w:t>
      </w:r>
      <w:r>
        <w:t>, so use them sparingly. Paraphrase events in the novel using your own words where you can.</w:t>
      </w:r>
    </w:p>
    <w:p w:rsidR="0053194B" w:rsidRDefault="0053194B" w:rsidP="0053194B"/>
    <w:p w:rsidR="0053194B" w:rsidRDefault="0053194B" w:rsidP="0053194B">
      <w:r>
        <w:tab/>
        <w:t xml:space="preserve">(1) </w:t>
      </w:r>
      <w:r w:rsidR="00A1193E">
        <w:t>Petra sends a thought signal so strong it astounds all the others</w:t>
      </w:r>
      <w:r w:rsidR="006032F6">
        <w:t xml:space="preserve"> with </w:t>
      </w:r>
      <w:proofErr w:type="spellStart"/>
      <w:r w:rsidR="001223A5">
        <w:t>telecommunicative</w:t>
      </w:r>
      <w:proofErr w:type="spellEnd"/>
      <w:r w:rsidR="006032F6">
        <w:t xml:space="preserve"> abilities</w:t>
      </w:r>
      <w:r w:rsidR="00A1193E">
        <w:t xml:space="preserve">. Why does she send this signal? Was she in trouble, and, if so, </w:t>
      </w:r>
      <w:r w:rsidR="00692599">
        <w:t xml:space="preserve">what kind? What do you think Petra’s extraordinary abilities mean? You may speculate as to what you think </w:t>
      </w:r>
      <w:r w:rsidR="00DD5BAA">
        <w:t>could</w:t>
      </w:r>
      <w:r w:rsidR="00692599">
        <w:t xml:space="preserve"> come of this </w:t>
      </w:r>
      <w:r w:rsidR="006032F6">
        <w:t xml:space="preserve">plot development </w:t>
      </w:r>
      <w:r w:rsidR="00692599">
        <w:t>later in the novel.</w:t>
      </w:r>
    </w:p>
    <w:p w:rsidR="0053194B" w:rsidRDefault="0053194B" w:rsidP="0053194B"/>
    <w:p w:rsidR="0053194B" w:rsidRDefault="0053194B" w:rsidP="0053194B">
      <w:r>
        <w:tab/>
        <w:t xml:space="preserve">(2) </w:t>
      </w:r>
      <w:r w:rsidR="00A1193E">
        <w:t xml:space="preserve">In the eighth chapter Axel explains to David that the quality that human beings possess that distinguishes them from other animals is their possession of </w:t>
      </w:r>
      <w:r w:rsidR="00692599">
        <w:t xml:space="preserve">a </w:t>
      </w:r>
      <w:r w:rsidR="00A1193E">
        <w:t>mind. I understand this not as saying that other animals do not have minds, but as saying that there is something unique</w:t>
      </w:r>
      <w:r w:rsidR="002B1701">
        <w:t xml:space="preserve"> about </w:t>
      </w:r>
      <w:r w:rsidR="00E24EF4">
        <w:t>human minds</w:t>
      </w:r>
      <w:r w:rsidR="002B1701">
        <w:t xml:space="preserve"> </w:t>
      </w:r>
      <w:r w:rsidR="00692599">
        <w:t xml:space="preserve">that distinguishes </w:t>
      </w:r>
      <w:r w:rsidR="00E24EF4">
        <w:t>them</w:t>
      </w:r>
      <w:r w:rsidR="00692599">
        <w:t xml:space="preserve"> from </w:t>
      </w:r>
      <w:r w:rsidR="00E24EF4">
        <w:t>the minds of animals</w:t>
      </w:r>
      <w:r w:rsidR="00A1193E">
        <w:t xml:space="preserve">. What do you think </w:t>
      </w:r>
      <w:r w:rsidR="002B1701">
        <w:t>the unique qualities of the human mind are</w:t>
      </w:r>
      <w:r w:rsidR="00A1193E">
        <w:t xml:space="preserve">? </w:t>
      </w:r>
      <w:r w:rsidR="00692599">
        <w:t xml:space="preserve">Would you agree </w:t>
      </w:r>
      <w:r w:rsidR="002B1701">
        <w:t xml:space="preserve">with Axel </w:t>
      </w:r>
      <w:r w:rsidR="00692599">
        <w:t>that what gives humans their humanity is their possession of</w:t>
      </w:r>
      <w:r w:rsidR="002B1701">
        <w:t xml:space="preserve"> this kind of</w:t>
      </w:r>
      <w:r w:rsidR="00692599">
        <w:t xml:space="preserve"> mind?</w:t>
      </w:r>
    </w:p>
    <w:p w:rsidR="0053194B" w:rsidRDefault="0053194B" w:rsidP="0053194B"/>
    <w:p w:rsidR="0053194B" w:rsidRDefault="0053194B" w:rsidP="0053194B">
      <w:pPr>
        <w:rPr>
          <w:sz w:val="32"/>
        </w:rPr>
      </w:pPr>
      <w:r>
        <w:rPr>
          <w:sz w:val="32"/>
        </w:rPr>
        <w:t>Marking Breakdown:</w:t>
      </w:r>
    </w:p>
    <w:p w:rsidR="0053194B" w:rsidRDefault="0053194B" w:rsidP="0053194B"/>
    <w:p w:rsidR="0053194B" w:rsidRDefault="0053194B" w:rsidP="0053194B">
      <w:r>
        <w:t>Full marks will be awarded to the student who writes grammatically, clearly, with highly descriptive language all while backing their points with detailed examples from the text.</w:t>
      </w:r>
    </w:p>
    <w:p w:rsidR="0053194B" w:rsidRDefault="0053194B" w:rsidP="0053194B"/>
    <w:p w:rsidR="0053194B" w:rsidRDefault="0053194B" w:rsidP="0053194B"/>
    <w:tbl>
      <w:tblPr>
        <w:tblW w:w="99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286"/>
        <w:gridCol w:w="2592"/>
        <w:gridCol w:w="2700"/>
      </w:tblGrid>
      <w:tr w:rsidR="0053194B" w:rsidTr="0053194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94B" w:rsidRDefault="0053194B">
            <w:pPr>
              <w:rPr>
                <w:rFonts w:eastAsia="Batang"/>
                <w:b/>
                <w:sz w:val="21"/>
                <w:szCs w:val="21"/>
              </w:rPr>
            </w:pPr>
            <w:r>
              <w:rPr>
                <w:rFonts w:eastAsia="Batang"/>
                <w:b/>
                <w:sz w:val="21"/>
                <w:szCs w:val="21"/>
              </w:rPr>
              <w:t>Level 1 (0-10)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94B" w:rsidRDefault="0053194B">
            <w:pPr>
              <w:rPr>
                <w:rFonts w:eastAsia="Batang"/>
                <w:b/>
                <w:sz w:val="21"/>
                <w:szCs w:val="21"/>
              </w:rPr>
            </w:pPr>
            <w:r>
              <w:rPr>
                <w:rFonts w:eastAsia="Batang"/>
                <w:b/>
                <w:sz w:val="21"/>
                <w:szCs w:val="21"/>
              </w:rPr>
              <w:t>Level 2 (11,12,13)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94B" w:rsidRDefault="0053194B">
            <w:pPr>
              <w:rPr>
                <w:rFonts w:eastAsia="Batang"/>
                <w:b/>
                <w:sz w:val="21"/>
                <w:szCs w:val="21"/>
              </w:rPr>
            </w:pPr>
            <w:r>
              <w:rPr>
                <w:rFonts w:eastAsia="Batang"/>
                <w:b/>
                <w:sz w:val="21"/>
                <w:szCs w:val="21"/>
              </w:rPr>
              <w:t xml:space="preserve">Level 3 (14,15)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94B" w:rsidRDefault="0053194B">
            <w:pPr>
              <w:rPr>
                <w:rFonts w:eastAsia="Batang"/>
                <w:b/>
                <w:sz w:val="21"/>
                <w:szCs w:val="21"/>
              </w:rPr>
            </w:pPr>
            <w:r>
              <w:rPr>
                <w:rFonts w:eastAsia="Batang"/>
                <w:b/>
                <w:sz w:val="21"/>
                <w:szCs w:val="21"/>
              </w:rPr>
              <w:t>Level 4 (16-20)</w:t>
            </w:r>
          </w:p>
        </w:tc>
      </w:tr>
      <w:tr w:rsidR="0053194B" w:rsidTr="0053194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4B" w:rsidRDefault="0053194B" w:rsidP="00905EA0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1"/>
                <w:szCs w:val="21"/>
              </w:rPr>
            </w:pPr>
            <w:r>
              <w:rPr>
                <w:rFonts w:eastAsia="Batang"/>
                <w:sz w:val="21"/>
                <w:szCs w:val="21"/>
              </w:rPr>
              <w:t xml:space="preserve">Incomplete work </w:t>
            </w:r>
          </w:p>
          <w:p w:rsidR="0053194B" w:rsidRDefault="0053194B" w:rsidP="00905EA0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1"/>
                <w:szCs w:val="21"/>
              </w:rPr>
            </w:pPr>
            <w:r>
              <w:rPr>
                <w:rFonts w:eastAsia="Batang"/>
                <w:sz w:val="21"/>
                <w:szCs w:val="21"/>
              </w:rPr>
              <w:t>Responses are somewhat thoughtful, or sometimes or always lacking in original thought.</w:t>
            </w:r>
          </w:p>
          <w:p w:rsidR="0053194B" w:rsidRDefault="0053194B">
            <w:pPr>
              <w:ind w:left="360"/>
              <w:rPr>
                <w:rFonts w:eastAsia="Batang"/>
                <w:sz w:val="21"/>
                <w:szCs w:val="21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94B" w:rsidRDefault="0053194B" w:rsidP="00905EA0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1"/>
                <w:szCs w:val="21"/>
              </w:rPr>
            </w:pPr>
            <w:r>
              <w:rPr>
                <w:rFonts w:eastAsia="Batang"/>
                <w:sz w:val="21"/>
                <w:szCs w:val="21"/>
              </w:rPr>
              <w:t>Responses less than 300 words</w:t>
            </w:r>
          </w:p>
          <w:p w:rsidR="0053194B" w:rsidRDefault="0053194B" w:rsidP="00905EA0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1"/>
                <w:szCs w:val="21"/>
              </w:rPr>
            </w:pPr>
            <w:r>
              <w:rPr>
                <w:rFonts w:eastAsia="Batang"/>
                <w:sz w:val="21"/>
                <w:szCs w:val="21"/>
              </w:rPr>
              <w:t>Responses are mostly on topic and are understandable</w:t>
            </w:r>
          </w:p>
          <w:p w:rsidR="0053194B" w:rsidRDefault="0053194B" w:rsidP="00905EA0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1"/>
                <w:szCs w:val="21"/>
              </w:rPr>
            </w:pPr>
            <w:r>
              <w:rPr>
                <w:rFonts w:eastAsia="Batang"/>
                <w:sz w:val="21"/>
                <w:szCs w:val="21"/>
              </w:rPr>
              <w:t xml:space="preserve">Responses include the minimum (or close to it) amount of information to handle the topic thoughtfully.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94B" w:rsidRDefault="0053194B" w:rsidP="00905EA0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1"/>
                <w:szCs w:val="21"/>
              </w:rPr>
            </w:pPr>
            <w:r>
              <w:rPr>
                <w:rFonts w:eastAsia="Batang"/>
                <w:sz w:val="21"/>
                <w:szCs w:val="21"/>
              </w:rPr>
              <w:t>Responses between 300 and 450 words in length</w:t>
            </w:r>
          </w:p>
          <w:p w:rsidR="0053194B" w:rsidRDefault="0053194B" w:rsidP="00905EA0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1"/>
                <w:szCs w:val="21"/>
              </w:rPr>
            </w:pPr>
            <w:r>
              <w:rPr>
                <w:rFonts w:eastAsia="Batang"/>
                <w:sz w:val="21"/>
                <w:szCs w:val="21"/>
              </w:rPr>
              <w:t>Responses are thoughtful and include evidence from the lesson or other sources to prove points made</w:t>
            </w:r>
          </w:p>
          <w:p w:rsidR="0053194B" w:rsidRDefault="0053194B" w:rsidP="00905EA0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1"/>
                <w:szCs w:val="21"/>
              </w:rPr>
            </w:pPr>
            <w:r>
              <w:rPr>
                <w:rFonts w:eastAsia="Batang"/>
                <w:sz w:val="21"/>
                <w:szCs w:val="21"/>
              </w:rPr>
              <w:t>Writing is very clear.</w:t>
            </w:r>
          </w:p>
          <w:p w:rsidR="0053194B" w:rsidRDefault="0053194B">
            <w:pPr>
              <w:ind w:left="360"/>
              <w:rPr>
                <w:rFonts w:eastAsia="Batang"/>
                <w:sz w:val="21"/>
                <w:szCs w:val="21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94B" w:rsidRDefault="0053194B" w:rsidP="00905EA0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1"/>
                <w:szCs w:val="21"/>
              </w:rPr>
            </w:pPr>
            <w:r>
              <w:rPr>
                <w:rFonts w:eastAsia="Batang"/>
                <w:sz w:val="21"/>
                <w:szCs w:val="21"/>
              </w:rPr>
              <w:t>Responses over 300 words in length</w:t>
            </w:r>
          </w:p>
          <w:p w:rsidR="0053194B" w:rsidRDefault="0053194B" w:rsidP="00905EA0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1"/>
                <w:szCs w:val="21"/>
              </w:rPr>
            </w:pPr>
            <w:r>
              <w:rPr>
                <w:rFonts w:eastAsia="Batang"/>
                <w:sz w:val="21"/>
                <w:szCs w:val="21"/>
              </w:rPr>
              <w:t>Responses are thoughtful and include a great deal of knowledge from the chapter to prove the points made</w:t>
            </w:r>
          </w:p>
          <w:p w:rsidR="0053194B" w:rsidRDefault="0053194B" w:rsidP="00905EA0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1"/>
                <w:szCs w:val="21"/>
              </w:rPr>
            </w:pPr>
            <w:r>
              <w:rPr>
                <w:rFonts w:eastAsia="Batang"/>
                <w:sz w:val="21"/>
                <w:szCs w:val="21"/>
              </w:rPr>
              <w:t>Responses demonstrate curiosity and inquisitiveness about the material in the chapters.</w:t>
            </w:r>
          </w:p>
          <w:p w:rsidR="0053194B" w:rsidRDefault="0053194B" w:rsidP="00905EA0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1"/>
                <w:szCs w:val="21"/>
              </w:rPr>
            </w:pPr>
            <w:r>
              <w:rPr>
                <w:rFonts w:eastAsia="Batang"/>
                <w:sz w:val="21"/>
                <w:szCs w:val="21"/>
              </w:rPr>
              <w:t>Responses are very persuasive.</w:t>
            </w:r>
          </w:p>
          <w:p w:rsidR="0053194B" w:rsidRDefault="0053194B" w:rsidP="00905EA0">
            <w:pPr>
              <w:numPr>
                <w:ilvl w:val="0"/>
                <w:numId w:val="1"/>
              </w:numPr>
              <w:jc w:val="left"/>
              <w:rPr>
                <w:rFonts w:eastAsia="Batang"/>
                <w:sz w:val="21"/>
                <w:szCs w:val="21"/>
              </w:rPr>
            </w:pPr>
            <w:r>
              <w:rPr>
                <w:rFonts w:eastAsia="Batang"/>
                <w:sz w:val="21"/>
                <w:szCs w:val="21"/>
              </w:rPr>
              <w:t>Writing is eloquent.</w:t>
            </w:r>
          </w:p>
        </w:tc>
      </w:tr>
    </w:tbl>
    <w:p w:rsidR="006B28FF" w:rsidRDefault="006B28FF"/>
    <w:sectPr w:rsidR="006B28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F5B8D"/>
    <w:multiLevelType w:val="hybridMultilevel"/>
    <w:tmpl w:val="F7D8DC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94B"/>
    <w:rsid w:val="001223A5"/>
    <w:rsid w:val="0019450F"/>
    <w:rsid w:val="002B1701"/>
    <w:rsid w:val="0053194B"/>
    <w:rsid w:val="005F430B"/>
    <w:rsid w:val="006032F6"/>
    <w:rsid w:val="00692599"/>
    <w:rsid w:val="006B28FF"/>
    <w:rsid w:val="00A1193E"/>
    <w:rsid w:val="00BB68A7"/>
    <w:rsid w:val="00DD5BAA"/>
    <w:rsid w:val="00E24EF4"/>
    <w:rsid w:val="00F2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EE29B7-EAB1-4935-A127-6E2AE8B7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C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9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Chris Miller [Staff]</cp:lastModifiedBy>
  <cp:revision>3</cp:revision>
  <dcterms:created xsi:type="dcterms:W3CDTF">2015-05-08T15:05:00Z</dcterms:created>
  <dcterms:modified xsi:type="dcterms:W3CDTF">2015-11-16T15:52:00Z</dcterms:modified>
</cp:coreProperties>
</file>