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7ED0" w:rsidRPr="00B450A7" w:rsidRDefault="00FB1C27">
      <w:pPr>
        <w:rPr>
          <w:rFonts w:ascii="Charlemagne Std" w:hAnsi="Charlemagne Std"/>
          <w:sz w:val="96"/>
          <w:szCs w:val="96"/>
        </w:rPr>
      </w:pPr>
      <w:r w:rsidRPr="00B450A7">
        <w:rPr>
          <w:rFonts w:ascii="Charlemagne Std" w:hAnsi="Charlemagne Std"/>
          <w:sz w:val="96"/>
          <w:szCs w:val="96"/>
        </w:rPr>
        <w:t>Beowulf Assignment</w:t>
      </w:r>
    </w:p>
    <w:p w:rsidR="00FB1C27" w:rsidRDefault="00FB1C27">
      <w:r>
        <w:t>Choose one of the following projects to do:</w:t>
      </w:r>
    </w:p>
    <w:p w:rsidR="00FB1C27" w:rsidRDefault="00FB1C27" w:rsidP="00FB1C27">
      <w:pPr>
        <w:pStyle w:val="ListParagraph"/>
        <w:numPr>
          <w:ilvl w:val="0"/>
          <w:numId w:val="1"/>
        </w:numPr>
      </w:pPr>
      <w:r>
        <w:t>Epic tales are often used as guides to life and conduct. The actions of the heroes in the stories, their words, deeds, and wisdom are often used as models and patterns for behaviour, thought, sentiment and action. The writers and performers know this is expect</w:t>
      </w:r>
      <w:r w:rsidR="00872805">
        <w:t>ed</w:t>
      </w:r>
      <w:r>
        <w:t xml:space="preserve"> of them and the audience wants to draw inspiration from them. What in Beowulf do you yourself find worthy of emulation or of learning from, why and how? Alternately, what in Beowulf might have been seen as instructive to people in his time period? If you choose to answer this alternate question, you will need to study about life at the time and place that Beowulf was performed.</w:t>
      </w:r>
    </w:p>
    <w:p w:rsidR="003D7938" w:rsidRDefault="003D7938" w:rsidP="00FB1C27">
      <w:pPr>
        <w:pStyle w:val="ListParagraph"/>
        <w:numPr>
          <w:ilvl w:val="0"/>
          <w:numId w:val="1"/>
        </w:numPr>
      </w:pPr>
      <w:r>
        <w:t>Write a 100 LINE</w:t>
      </w:r>
      <w:r w:rsidR="00BB660A">
        <w:t xml:space="preserve"> or more</w:t>
      </w:r>
      <w:r>
        <w:t xml:space="preserve"> alliterative poem, in the same style that Beowulf was written in summing up the entire story, the way we see other epics summarized in shortened form within the text of Beowulf. Alternatively, you may write an extended narrative poem (mini “epic” if you will) about anything, but again it must be in this same alliterative, four beat per line style.</w:t>
      </w:r>
    </w:p>
    <w:p w:rsidR="003D7938" w:rsidRDefault="00A61F30" w:rsidP="00FB1C27">
      <w:pPr>
        <w:pStyle w:val="ListParagraph"/>
        <w:numPr>
          <w:ilvl w:val="0"/>
          <w:numId w:val="1"/>
        </w:numPr>
      </w:pPr>
      <w:r>
        <w:t xml:space="preserve">Beowulf makes explicit reference to other works of literature, both written and oral. It is clear that the writer is drawing inspiration from both the Bible and the Saga of the </w:t>
      </w:r>
      <w:proofErr w:type="spellStart"/>
      <w:r>
        <w:t>Volsungs</w:t>
      </w:r>
      <w:proofErr w:type="spellEnd"/>
      <w:r>
        <w:t xml:space="preserve">. The Bible is the Christian “national epic” and the Saga of the </w:t>
      </w:r>
      <w:proofErr w:type="spellStart"/>
      <w:r>
        <w:t>Volsungs</w:t>
      </w:r>
      <w:proofErr w:type="spellEnd"/>
      <w:r>
        <w:t xml:space="preserve"> is the “national epic” for Germanic peoples like the Anglo-Saxons. Besides of course the explicit references to these epics, what about Beowulf that is not explicitly linked to these epics apparently derives from them</w:t>
      </w:r>
      <w:r w:rsidR="003D168E">
        <w:t>?</w:t>
      </w:r>
      <w:r>
        <w:t xml:space="preserve"> – think </w:t>
      </w:r>
      <w:r w:rsidR="00BB660A">
        <w:t xml:space="preserve">in terms of plot in particular. At a more advanced level, you may even like to make links with the Homeric and </w:t>
      </w:r>
      <w:proofErr w:type="spellStart"/>
      <w:r w:rsidR="00BB660A">
        <w:t>Vergilian</w:t>
      </w:r>
      <w:proofErr w:type="spellEnd"/>
      <w:r w:rsidR="00BB660A">
        <w:t xml:space="preserve"> tradition. (By the way, you can find shortened retellings of the Saga of the </w:t>
      </w:r>
      <w:proofErr w:type="spellStart"/>
      <w:r w:rsidR="00BB660A">
        <w:t>Volsungs</w:t>
      </w:r>
      <w:proofErr w:type="spellEnd"/>
      <w:r w:rsidR="00BB660A">
        <w:t xml:space="preserve"> that will not take you long to read.)</w:t>
      </w:r>
    </w:p>
    <w:p w:rsidR="00BB660A" w:rsidRDefault="00BB660A" w:rsidP="00FB1C27">
      <w:pPr>
        <w:pStyle w:val="ListParagraph"/>
        <w:numPr>
          <w:ilvl w:val="0"/>
          <w:numId w:val="1"/>
        </w:numPr>
      </w:pPr>
      <w:r>
        <w:t>This question relates to life philosophy. What philosophy or philosophies about life, ethics, leadership, followership, and so forth can you discern in Beowulf? What do you think of the philosophies you discover?</w:t>
      </w:r>
    </w:p>
    <w:p w:rsidR="00302577" w:rsidRDefault="00302577" w:rsidP="00FB1C27">
      <w:pPr>
        <w:pStyle w:val="ListParagraph"/>
        <w:numPr>
          <w:ilvl w:val="0"/>
          <w:numId w:val="1"/>
        </w:numPr>
      </w:pPr>
      <w:r>
        <w:t>(</w:t>
      </w:r>
      <w:proofErr w:type="spellStart"/>
      <w:r>
        <w:t>i</w:t>
      </w:r>
      <w:proofErr w:type="spellEnd"/>
      <w:r>
        <w:t xml:space="preserve">) What is the new-world outlook of Medieval Christianity and how does it contrast with the Pre-Christian worldview and value system of the Germanic tribes depicted in Beowulf? </w:t>
      </w:r>
      <w:r>
        <w:br/>
        <w:t>(ii) What role does the dragon play in producing the new system of value? How does the gold the dragon sits on differ from the gold mentioned in the poem thus far? And what does this say about the ending of the poem which depicts the political and economic collapse of Beowulf's tribe after his death?</w:t>
      </w:r>
    </w:p>
    <w:p w:rsidR="00BB660A" w:rsidRDefault="00A138C9" w:rsidP="00BB660A">
      <w:r>
        <w:t>Prose answers should be of substantial depth and length – likely well over 4 pages long.</w:t>
      </w:r>
      <w:r w:rsidR="00BB660A">
        <w:t xml:space="preserve"> </w:t>
      </w:r>
      <w:r w:rsidR="00FB7747">
        <w:t>Make MANY direct, specific, references to Beowulf throughout! HAVE FUN! BEOWULF IS AWESOME!!!</w:t>
      </w:r>
    </w:p>
    <w:p w:rsidR="00A138C9" w:rsidRDefault="00A138C9" w:rsidP="00BB660A"/>
    <w:p w:rsidR="001433AF" w:rsidRPr="007F2B9D" w:rsidRDefault="001433AF" w:rsidP="001433AF">
      <w:pPr>
        <w:jc w:val="center"/>
        <w:rPr>
          <w:rFonts w:ascii="Perpetua Titling MT" w:hAnsi="Perpetua Titling MT"/>
          <w:b/>
          <w:sz w:val="32"/>
          <w:szCs w:val="32"/>
        </w:rPr>
      </w:pPr>
      <w:bookmarkStart w:id="0" w:name="_GoBack"/>
      <w:bookmarkEnd w:id="0"/>
      <w:r>
        <w:rPr>
          <w:rFonts w:ascii="Perpetua Titling MT" w:hAnsi="Perpetua Titling MT"/>
          <w:b/>
          <w:sz w:val="32"/>
          <w:szCs w:val="32"/>
        </w:rPr>
        <w:lastRenderedPageBreak/>
        <w:t>BEOWULF</w:t>
      </w:r>
      <w:r w:rsidRPr="007F2B9D">
        <w:rPr>
          <w:rFonts w:ascii="Perpetua Titling MT" w:hAnsi="Perpetua Titling MT"/>
          <w:b/>
          <w:sz w:val="32"/>
          <w:szCs w:val="32"/>
        </w:rPr>
        <w:t xml:space="preserve"> Rubric</w:t>
      </w:r>
    </w:p>
    <w:p w:rsidR="001433AF" w:rsidRPr="007F2B9D" w:rsidRDefault="001433AF" w:rsidP="001433AF">
      <w:pPr>
        <w:rPr>
          <w:b/>
          <w:sz w:val="20"/>
          <w:szCs w:val="20"/>
        </w:rPr>
      </w:pPr>
      <w:r w:rsidRPr="007F2B9D">
        <w:rPr>
          <w:b/>
          <w:sz w:val="20"/>
          <w:szCs w:val="20"/>
        </w:rPr>
        <w:t>NAME:</w:t>
      </w:r>
    </w:p>
    <w:tbl>
      <w:tblPr>
        <w:tblStyle w:val="TableGrid"/>
        <w:tblW w:w="0" w:type="auto"/>
        <w:tblLook w:val="01E0" w:firstRow="1" w:lastRow="1" w:firstColumn="1" w:lastColumn="1" w:noHBand="0" w:noVBand="0"/>
      </w:tblPr>
      <w:tblGrid>
        <w:gridCol w:w="2268"/>
        <w:gridCol w:w="2700"/>
        <w:gridCol w:w="2700"/>
        <w:gridCol w:w="2520"/>
        <w:gridCol w:w="2880"/>
      </w:tblGrid>
      <w:tr w:rsidR="001433AF" w:rsidRPr="007F2B9D" w:rsidTr="00331C58">
        <w:tc>
          <w:tcPr>
            <w:tcW w:w="2268" w:type="dxa"/>
            <w:tcBorders>
              <w:top w:val="single" w:sz="4" w:space="0" w:color="auto"/>
              <w:left w:val="single" w:sz="4" w:space="0" w:color="auto"/>
              <w:bottom w:val="single" w:sz="4" w:space="0" w:color="auto"/>
              <w:right w:val="single" w:sz="4" w:space="0" w:color="auto"/>
            </w:tcBorders>
          </w:tcPr>
          <w:p w:rsidR="001433AF" w:rsidRPr="007F2B9D" w:rsidRDefault="001433AF" w:rsidP="00331C58"/>
        </w:tc>
        <w:tc>
          <w:tcPr>
            <w:tcW w:w="2700" w:type="dxa"/>
            <w:tcBorders>
              <w:top w:val="single" w:sz="4" w:space="0" w:color="auto"/>
              <w:left w:val="single" w:sz="4" w:space="0" w:color="auto"/>
              <w:bottom w:val="single" w:sz="4" w:space="0" w:color="auto"/>
              <w:right w:val="single" w:sz="4" w:space="0" w:color="auto"/>
            </w:tcBorders>
          </w:tcPr>
          <w:p w:rsidR="001433AF" w:rsidRPr="007F2B9D" w:rsidRDefault="001433AF" w:rsidP="00331C58">
            <w:r w:rsidRPr="007F2B9D">
              <w:t>0-11</w:t>
            </w:r>
          </w:p>
        </w:tc>
        <w:tc>
          <w:tcPr>
            <w:tcW w:w="2700" w:type="dxa"/>
            <w:tcBorders>
              <w:top w:val="single" w:sz="4" w:space="0" w:color="auto"/>
              <w:left w:val="single" w:sz="4" w:space="0" w:color="auto"/>
              <w:bottom w:val="single" w:sz="4" w:space="0" w:color="auto"/>
              <w:right w:val="single" w:sz="4" w:space="0" w:color="auto"/>
            </w:tcBorders>
          </w:tcPr>
          <w:p w:rsidR="001433AF" w:rsidRPr="007F2B9D" w:rsidRDefault="001433AF" w:rsidP="00331C58">
            <w:r w:rsidRPr="007F2B9D">
              <w:t>12-13</w:t>
            </w:r>
          </w:p>
        </w:tc>
        <w:tc>
          <w:tcPr>
            <w:tcW w:w="2520" w:type="dxa"/>
            <w:tcBorders>
              <w:top w:val="single" w:sz="4" w:space="0" w:color="auto"/>
              <w:left w:val="single" w:sz="4" w:space="0" w:color="auto"/>
              <w:bottom w:val="single" w:sz="4" w:space="0" w:color="auto"/>
              <w:right w:val="single" w:sz="4" w:space="0" w:color="auto"/>
            </w:tcBorders>
          </w:tcPr>
          <w:p w:rsidR="001433AF" w:rsidRPr="007F2B9D" w:rsidRDefault="001433AF" w:rsidP="00331C58">
            <w:r w:rsidRPr="007F2B9D">
              <w:t>14-15</w:t>
            </w:r>
          </w:p>
        </w:tc>
        <w:tc>
          <w:tcPr>
            <w:tcW w:w="2880" w:type="dxa"/>
            <w:tcBorders>
              <w:top w:val="single" w:sz="4" w:space="0" w:color="auto"/>
              <w:left w:val="single" w:sz="4" w:space="0" w:color="auto"/>
              <w:bottom w:val="single" w:sz="4" w:space="0" w:color="auto"/>
              <w:right w:val="single" w:sz="4" w:space="0" w:color="auto"/>
            </w:tcBorders>
          </w:tcPr>
          <w:p w:rsidR="001433AF" w:rsidRPr="007F2B9D" w:rsidRDefault="001433AF" w:rsidP="00331C58">
            <w:r w:rsidRPr="007F2B9D">
              <w:t>16-20</w:t>
            </w:r>
          </w:p>
        </w:tc>
      </w:tr>
      <w:tr w:rsidR="001433AF" w:rsidRPr="007F2B9D" w:rsidTr="00331C58">
        <w:tc>
          <w:tcPr>
            <w:tcW w:w="2268" w:type="dxa"/>
            <w:tcBorders>
              <w:top w:val="single" w:sz="4" w:space="0" w:color="auto"/>
              <w:left w:val="single" w:sz="4" w:space="0" w:color="auto"/>
              <w:bottom w:val="single" w:sz="4" w:space="0" w:color="auto"/>
              <w:right w:val="single" w:sz="4" w:space="0" w:color="auto"/>
            </w:tcBorders>
          </w:tcPr>
          <w:p w:rsidR="001433AF" w:rsidRPr="007F2B9D" w:rsidRDefault="001433AF" w:rsidP="00331C58">
            <w:pPr>
              <w:rPr>
                <w:b/>
              </w:rPr>
            </w:pPr>
            <w:r w:rsidRPr="007F2B9D">
              <w:rPr>
                <w:b/>
              </w:rPr>
              <w:t>Knowledge and Understanding</w:t>
            </w:r>
          </w:p>
        </w:tc>
        <w:tc>
          <w:tcPr>
            <w:tcW w:w="2700" w:type="dxa"/>
            <w:tcBorders>
              <w:top w:val="single" w:sz="4" w:space="0" w:color="auto"/>
              <w:left w:val="single" w:sz="4" w:space="0" w:color="auto"/>
              <w:bottom w:val="single" w:sz="4" w:space="0" w:color="auto"/>
              <w:right w:val="single" w:sz="4" w:space="0" w:color="auto"/>
            </w:tcBorders>
          </w:tcPr>
          <w:p w:rsidR="001433AF" w:rsidRPr="007F2B9D" w:rsidRDefault="001433AF" w:rsidP="001433AF">
            <w:pPr>
              <w:numPr>
                <w:ilvl w:val="0"/>
                <w:numId w:val="2"/>
              </w:numPr>
            </w:pPr>
            <w:r w:rsidRPr="007F2B9D">
              <w:t>Content is not extensive and covers some of the issues at hand.</w:t>
            </w:r>
          </w:p>
          <w:p w:rsidR="001433AF" w:rsidRPr="007F2B9D" w:rsidRDefault="001433AF" w:rsidP="001433AF">
            <w:pPr>
              <w:numPr>
                <w:ilvl w:val="0"/>
                <w:numId w:val="2"/>
              </w:numPr>
            </w:pPr>
            <w:r w:rsidRPr="007F2B9D">
              <w:t>Research and/or detailed planning somewhat evident.</w:t>
            </w:r>
          </w:p>
        </w:tc>
        <w:tc>
          <w:tcPr>
            <w:tcW w:w="2700" w:type="dxa"/>
            <w:tcBorders>
              <w:top w:val="single" w:sz="4" w:space="0" w:color="auto"/>
              <w:left w:val="single" w:sz="4" w:space="0" w:color="auto"/>
              <w:bottom w:val="single" w:sz="4" w:space="0" w:color="auto"/>
              <w:right w:val="single" w:sz="4" w:space="0" w:color="auto"/>
            </w:tcBorders>
          </w:tcPr>
          <w:p w:rsidR="001433AF" w:rsidRPr="007F2B9D" w:rsidRDefault="001433AF" w:rsidP="001433AF">
            <w:pPr>
              <w:numPr>
                <w:ilvl w:val="0"/>
                <w:numId w:val="2"/>
              </w:numPr>
            </w:pPr>
            <w:r w:rsidRPr="007F2B9D">
              <w:t>Content is satisfactory and covers the issues at hand.</w:t>
            </w:r>
          </w:p>
          <w:p w:rsidR="001433AF" w:rsidRPr="007F2B9D" w:rsidRDefault="001433AF" w:rsidP="001433AF">
            <w:pPr>
              <w:numPr>
                <w:ilvl w:val="0"/>
                <w:numId w:val="2"/>
              </w:numPr>
            </w:pPr>
            <w:r w:rsidRPr="007F2B9D">
              <w:t>Satisfactory research and/or planning evident.</w:t>
            </w:r>
          </w:p>
        </w:tc>
        <w:tc>
          <w:tcPr>
            <w:tcW w:w="2520" w:type="dxa"/>
            <w:tcBorders>
              <w:top w:val="single" w:sz="4" w:space="0" w:color="auto"/>
              <w:left w:val="single" w:sz="4" w:space="0" w:color="auto"/>
              <w:bottom w:val="single" w:sz="4" w:space="0" w:color="auto"/>
              <w:right w:val="single" w:sz="4" w:space="0" w:color="auto"/>
            </w:tcBorders>
          </w:tcPr>
          <w:p w:rsidR="001433AF" w:rsidRPr="007F2B9D" w:rsidRDefault="001433AF" w:rsidP="001433AF">
            <w:pPr>
              <w:numPr>
                <w:ilvl w:val="0"/>
                <w:numId w:val="2"/>
              </w:numPr>
            </w:pPr>
            <w:r w:rsidRPr="007F2B9D">
              <w:t>Content is extensive and thoroughly covers the issues at hand.</w:t>
            </w:r>
          </w:p>
          <w:p w:rsidR="001433AF" w:rsidRPr="007F2B9D" w:rsidRDefault="001433AF" w:rsidP="001433AF">
            <w:pPr>
              <w:numPr>
                <w:ilvl w:val="0"/>
                <w:numId w:val="2"/>
              </w:numPr>
            </w:pPr>
            <w:r w:rsidRPr="007F2B9D">
              <w:t>Strong research and/or detailed planning evident.</w:t>
            </w:r>
          </w:p>
        </w:tc>
        <w:tc>
          <w:tcPr>
            <w:tcW w:w="2880" w:type="dxa"/>
            <w:tcBorders>
              <w:top w:val="single" w:sz="4" w:space="0" w:color="auto"/>
              <w:left w:val="single" w:sz="4" w:space="0" w:color="auto"/>
              <w:bottom w:val="single" w:sz="4" w:space="0" w:color="auto"/>
              <w:right w:val="single" w:sz="4" w:space="0" w:color="auto"/>
            </w:tcBorders>
          </w:tcPr>
          <w:p w:rsidR="001433AF" w:rsidRPr="007F2B9D" w:rsidRDefault="001433AF" w:rsidP="001433AF">
            <w:pPr>
              <w:numPr>
                <w:ilvl w:val="0"/>
                <w:numId w:val="2"/>
              </w:numPr>
            </w:pPr>
            <w:r w:rsidRPr="007F2B9D">
              <w:t>Content is very extensive and very thoroughly covers the issues at hand.</w:t>
            </w:r>
          </w:p>
          <w:p w:rsidR="001433AF" w:rsidRPr="007F2B9D" w:rsidRDefault="001433AF" w:rsidP="001433AF">
            <w:pPr>
              <w:numPr>
                <w:ilvl w:val="0"/>
                <w:numId w:val="2"/>
              </w:numPr>
            </w:pPr>
            <w:r w:rsidRPr="007F2B9D">
              <w:t>Very strong research and/or exceptionally detailed planning evident.</w:t>
            </w:r>
          </w:p>
        </w:tc>
      </w:tr>
      <w:tr w:rsidR="001433AF" w:rsidRPr="007F2B9D" w:rsidTr="00331C58">
        <w:tc>
          <w:tcPr>
            <w:tcW w:w="2268" w:type="dxa"/>
            <w:tcBorders>
              <w:top w:val="single" w:sz="4" w:space="0" w:color="auto"/>
              <w:left w:val="single" w:sz="4" w:space="0" w:color="auto"/>
              <w:bottom w:val="single" w:sz="4" w:space="0" w:color="auto"/>
              <w:right w:val="single" w:sz="4" w:space="0" w:color="auto"/>
            </w:tcBorders>
          </w:tcPr>
          <w:p w:rsidR="001433AF" w:rsidRPr="007F2B9D" w:rsidRDefault="001433AF" w:rsidP="00331C58">
            <w:pPr>
              <w:rPr>
                <w:b/>
              </w:rPr>
            </w:pPr>
            <w:r w:rsidRPr="007F2B9D">
              <w:rPr>
                <w:b/>
              </w:rPr>
              <w:t>Thinking and Inquiry</w:t>
            </w:r>
          </w:p>
        </w:tc>
        <w:tc>
          <w:tcPr>
            <w:tcW w:w="2700" w:type="dxa"/>
            <w:tcBorders>
              <w:top w:val="single" w:sz="4" w:space="0" w:color="auto"/>
              <w:left w:val="single" w:sz="4" w:space="0" w:color="auto"/>
              <w:bottom w:val="single" w:sz="4" w:space="0" w:color="auto"/>
              <w:right w:val="single" w:sz="4" w:space="0" w:color="auto"/>
            </w:tcBorders>
          </w:tcPr>
          <w:p w:rsidR="001433AF" w:rsidRPr="007F2B9D" w:rsidRDefault="001433AF" w:rsidP="001433AF">
            <w:pPr>
              <w:numPr>
                <w:ilvl w:val="0"/>
                <w:numId w:val="2"/>
              </w:numPr>
            </w:pPr>
            <w:r w:rsidRPr="007F2B9D">
              <w:t>The written work is sometimes complex and varied.</w:t>
            </w:r>
          </w:p>
          <w:p w:rsidR="001433AF" w:rsidRPr="007F2B9D" w:rsidRDefault="001433AF" w:rsidP="001433AF">
            <w:pPr>
              <w:numPr>
                <w:ilvl w:val="0"/>
                <w:numId w:val="2"/>
              </w:numPr>
            </w:pPr>
            <w:r w:rsidRPr="007F2B9D">
              <w:t>It covers some ideas and themes.</w:t>
            </w:r>
          </w:p>
        </w:tc>
        <w:tc>
          <w:tcPr>
            <w:tcW w:w="2700" w:type="dxa"/>
            <w:tcBorders>
              <w:top w:val="single" w:sz="4" w:space="0" w:color="auto"/>
              <w:left w:val="single" w:sz="4" w:space="0" w:color="auto"/>
              <w:bottom w:val="single" w:sz="4" w:space="0" w:color="auto"/>
              <w:right w:val="single" w:sz="4" w:space="0" w:color="auto"/>
            </w:tcBorders>
          </w:tcPr>
          <w:p w:rsidR="001433AF" w:rsidRPr="007F2B9D" w:rsidRDefault="001433AF" w:rsidP="001433AF">
            <w:pPr>
              <w:numPr>
                <w:ilvl w:val="0"/>
                <w:numId w:val="2"/>
              </w:numPr>
            </w:pPr>
            <w:r w:rsidRPr="007F2B9D">
              <w:t>The written work is somewhat complex and varied.</w:t>
            </w:r>
          </w:p>
          <w:p w:rsidR="001433AF" w:rsidRPr="007F2B9D" w:rsidRDefault="001433AF" w:rsidP="001433AF">
            <w:pPr>
              <w:numPr>
                <w:ilvl w:val="0"/>
                <w:numId w:val="2"/>
              </w:numPr>
            </w:pPr>
            <w:r w:rsidRPr="007F2B9D">
              <w:t>It covers some ideas and themes, and links them together logically and/or artistically.</w:t>
            </w:r>
          </w:p>
        </w:tc>
        <w:tc>
          <w:tcPr>
            <w:tcW w:w="2520" w:type="dxa"/>
            <w:tcBorders>
              <w:top w:val="single" w:sz="4" w:space="0" w:color="auto"/>
              <w:left w:val="single" w:sz="4" w:space="0" w:color="auto"/>
              <w:bottom w:val="single" w:sz="4" w:space="0" w:color="auto"/>
              <w:right w:val="single" w:sz="4" w:space="0" w:color="auto"/>
            </w:tcBorders>
          </w:tcPr>
          <w:p w:rsidR="001433AF" w:rsidRPr="007F2B9D" w:rsidRDefault="001433AF" w:rsidP="001433AF">
            <w:pPr>
              <w:numPr>
                <w:ilvl w:val="0"/>
                <w:numId w:val="2"/>
              </w:numPr>
            </w:pPr>
            <w:r w:rsidRPr="007F2B9D">
              <w:t>The written work is complex and varied.</w:t>
            </w:r>
          </w:p>
          <w:p w:rsidR="001433AF" w:rsidRPr="007F2B9D" w:rsidRDefault="001433AF" w:rsidP="001433AF">
            <w:pPr>
              <w:numPr>
                <w:ilvl w:val="0"/>
                <w:numId w:val="2"/>
              </w:numPr>
            </w:pPr>
            <w:r w:rsidRPr="007F2B9D">
              <w:t>It covers a variety of ideas and themes, and links them together logically and/or artistically.</w:t>
            </w:r>
          </w:p>
        </w:tc>
        <w:tc>
          <w:tcPr>
            <w:tcW w:w="2880" w:type="dxa"/>
            <w:tcBorders>
              <w:top w:val="single" w:sz="4" w:space="0" w:color="auto"/>
              <w:left w:val="single" w:sz="4" w:space="0" w:color="auto"/>
              <w:bottom w:val="single" w:sz="4" w:space="0" w:color="auto"/>
              <w:right w:val="single" w:sz="4" w:space="0" w:color="auto"/>
            </w:tcBorders>
          </w:tcPr>
          <w:p w:rsidR="001433AF" w:rsidRPr="007F2B9D" w:rsidRDefault="001433AF" w:rsidP="001433AF">
            <w:pPr>
              <w:numPr>
                <w:ilvl w:val="0"/>
                <w:numId w:val="2"/>
              </w:numPr>
            </w:pPr>
            <w:r w:rsidRPr="007F2B9D">
              <w:t>The written work is very complex and highly varied.</w:t>
            </w:r>
          </w:p>
          <w:p w:rsidR="001433AF" w:rsidRPr="007F2B9D" w:rsidRDefault="001433AF" w:rsidP="001433AF">
            <w:pPr>
              <w:numPr>
                <w:ilvl w:val="0"/>
                <w:numId w:val="2"/>
              </w:numPr>
            </w:pPr>
            <w:r w:rsidRPr="007F2B9D">
              <w:t>It covers a wide variety of ideas and themes, and links them together logically and/or artistically in a highly effective way.</w:t>
            </w:r>
          </w:p>
        </w:tc>
      </w:tr>
      <w:tr w:rsidR="001433AF" w:rsidRPr="007F2B9D" w:rsidTr="00331C58">
        <w:tc>
          <w:tcPr>
            <w:tcW w:w="2268" w:type="dxa"/>
            <w:tcBorders>
              <w:top w:val="single" w:sz="4" w:space="0" w:color="auto"/>
              <w:left w:val="single" w:sz="4" w:space="0" w:color="auto"/>
              <w:bottom w:val="single" w:sz="4" w:space="0" w:color="auto"/>
              <w:right w:val="single" w:sz="4" w:space="0" w:color="auto"/>
            </w:tcBorders>
          </w:tcPr>
          <w:p w:rsidR="001433AF" w:rsidRPr="007F2B9D" w:rsidRDefault="001433AF" w:rsidP="00331C58">
            <w:pPr>
              <w:rPr>
                <w:b/>
              </w:rPr>
            </w:pPr>
            <w:r w:rsidRPr="007F2B9D">
              <w:rPr>
                <w:b/>
              </w:rPr>
              <w:t>Application</w:t>
            </w:r>
          </w:p>
        </w:tc>
        <w:tc>
          <w:tcPr>
            <w:tcW w:w="2700" w:type="dxa"/>
            <w:tcBorders>
              <w:top w:val="single" w:sz="4" w:space="0" w:color="auto"/>
              <w:left w:val="single" w:sz="4" w:space="0" w:color="auto"/>
              <w:bottom w:val="single" w:sz="4" w:space="0" w:color="auto"/>
              <w:right w:val="single" w:sz="4" w:space="0" w:color="auto"/>
            </w:tcBorders>
          </w:tcPr>
          <w:p w:rsidR="001433AF" w:rsidRPr="007F2B9D" w:rsidRDefault="001433AF" w:rsidP="001433AF">
            <w:pPr>
              <w:numPr>
                <w:ilvl w:val="0"/>
                <w:numId w:val="2"/>
              </w:numPr>
            </w:pPr>
            <w:r w:rsidRPr="007F2B9D">
              <w:t>Grammar and vocabulary are sometimes correct, varied and appropriate to the form of written work at hand.</w:t>
            </w:r>
          </w:p>
        </w:tc>
        <w:tc>
          <w:tcPr>
            <w:tcW w:w="2700" w:type="dxa"/>
            <w:tcBorders>
              <w:top w:val="single" w:sz="4" w:space="0" w:color="auto"/>
              <w:left w:val="single" w:sz="4" w:space="0" w:color="auto"/>
              <w:bottom w:val="single" w:sz="4" w:space="0" w:color="auto"/>
              <w:right w:val="single" w:sz="4" w:space="0" w:color="auto"/>
            </w:tcBorders>
          </w:tcPr>
          <w:p w:rsidR="001433AF" w:rsidRPr="007F2B9D" w:rsidRDefault="001433AF" w:rsidP="001433AF">
            <w:pPr>
              <w:numPr>
                <w:ilvl w:val="0"/>
                <w:numId w:val="2"/>
              </w:numPr>
            </w:pPr>
            <w:r w:rsidRPr="007F2B9D">
              <w:t>Grammar and vocabulary are mostly correct, somewhat varied and mostly appropriate to the form of written work at hand.</w:t>
            </w:r>
          </w:p>
        </w:tc>
        <w:tc>
          <w:tcPr>
            <w:tcW w:w="2520" w:type="dxa"/>
            <w:tcBorders>
              <w:top w:val="single" w:sz="4" w:space="0" w:color="auto"/>
              <w:left w:val="single" w:sz="4" w:space="0" w:color="auto"/>
              <w:bottom w:val="single" w:sz="4" w:space="0" w:color="auto"/>
              <w:right w:val="single" w:sz="4" w:space="0" w:color="auto"/>
            </w:tcBorders>
          </w:tcPr>
          <w:p w:rsidR="001433AF" w:rsidRPr="007F2B9D" w:rsidRDefault="001433AF" w:rsidP="001433AF">
            <w:pPr>
              <w:numPr>
                <w:ilvl w:val="0"/>
                <w:numId w:val="2"/>
              </w:numPr>
            </w:pPr>
            <w:r w:rsidRPr="007F2B9D">
              <w:t>Grammar and vocabulary are correct, varied and appropriate to the form of written work at hand.</w:t>
            </w:r>
          </w:p>
        </w:tc>
        <w:tc>
          <w:tcPr>
            <w:tcW w:w="2880" w:type="dxa"/>
            <w:tcBorders>
              <w:top w:val="single" w:sz="4" w:space="0" w:color="auto"/>
              <w:left w:val="single" w:sz="4" w:space="0" w:color="auto"/>
              <w:bottom w:val="single" w:sz="4" w:space="0" w:color="auto"/>
              <w:right w:val="single" w:sz="4" w:space="0" w:color="auto"/>
            </w:tcBorders>
          </w:tcPr>
          <w:p w:rsidR="001433AF" w:rsidRPr="007F2B9D" w:rsidRDefault="001433AF" w:rsidP="001433AF">
            <w:pPr>
              <w:numPr>
                <w:ilvl w:val="0"/>
                <w:numId w:val="2"/>
              </w:numPr>
            </w:pPr>
            <w:r w:rsidRPr="007F2B9D">
              <w:t>Grammar and vocabulary are correct, highly varied and appropriate to the form of written work at hand. Strong mastery of these skills is highly evident.</w:t>
            </w:r>
          </w:p>
        </w:tc>
      </w:tr>
      <w:tr w:rsidR="001433AF" w:rsidRPr="007F2B9D" w:rsidTr="00331C58">
        <w:tc>
          <w:tcPr>
            <w:tcW w:w="2268" w:type="dxa"/>
            <w:tcBorders>
              <w:top w:val="single" w:sz="4" w:space="0" w:color="auto"/>
              <w:left w:val="single" w:sz="4" w:space="0" w:color="auto"/>
              <w:bottom w:val="single" w:sz="4" w:space="0" w:color="auto"/>
              <w:right w:val="single" w:sz="4" w:space="0" w:color="auto"/>
            </w:tcBorders>
          </w:tcPr>
          <w:p w:rsidR="001433AF" w:rsidRPr="007F2B9D" w:rsidRDefault="001433AF" w:rsidP="00331C58">
            <w:pPr>
              <w:rPr>
                <w:b/>
              </w:rPr>
            </w:pPr>
            <w:r w:rsidRPr="007F2B9D">
              <w:rPr>
                <w:b/>
              </w:rPr>
              <w:t>Communication</w:t>
            </w:r>
          </w:p>
        </w:tc>
        <w:tc>
          <w:tcPr>
            <w:tcW w:w="2700" w:type="dxa"/>
            <w:tcBorders>
              <w:top w:val="single" w:sz="4" w:space="0" w:color="auto"/>
              <w:left w:val="single" w:sz="4" w:space="0" w:color="auto"/>
              <w:bottom w:val="single" w:sz="4" w:space="0" w:color="auto"/>
              <w:right w:val="single" w:sz="4" w:space="0" w:color="auto"/>
            </w:tcBorders>
          </w:tcPr>
          <w:p w:rsidR="001433AF" w:rsidRPr="007F2B9D" w:rsidRDefault="001433AF" w:rsidP="001433AF">
            <w:pPr>
              <w:numPr>
                <w:ilvl w:val="0"/>
                <w:numId w:val="2"/>
              </w:numPr>
            </w:pPr>
            <w:r w:rsidRPr="007F2B9D">
              <w:t>The written work sometimes makes sense and sometimes conveys the desired message.</w:t>
            </w:r>
          </w:p>
        </w:tc>
        <w:tc>
          <w:tcPr>
            <w:tcW w:w="2700" w:type="dxa"/>
            <w:tcBorders>
              <w:top w:val="single" w:sz="4" w:space="0" w:color="auto"/>
              <w:left w:val="single" w:sz="4" w:space="0" w:color="auto"/>
              <w:bottom w:val="single" w:sz="4" w:space="0" w:color="auto"/>
              <w:right w:val="single" w:sz="4" w:space="0" w:color="auto"/>
            </w:tcBorders>
          </w:tcPr>
          <w:p w:rsidR="001433AF" w:rsidRPr="007F2B9D" w:rsidRDefault="001433AF" w:rsidP="001433AF">
            <w:pPr>
              <w:numPr>
                <w:ilvl w:val="0"/>
                <w:numId w:val="2"/>
              </w:numPr>
            </w:pPr>
            <w:r w:rsidRPr="007F2B9D">
              <w:t>The written work mostly makes sense and conveys the desired message.</w:t>
            </w:r>
          </w:p>
        </w:tc>
        <w:tc>
          <w:tcPr>
            <w:tcW w:w="2520" w:type="dxa"/>
            <w:tcBorders>
              <w:top w:val="single" w:sz="4" w:space="0" w:color="auto"/>
              <w:left w:val="single" w:sz="4" w:space="0" w:color="auto"/>
              <w:bottom w:val="single" w:sz="4" w:space="0" w:color="auto"/>
              <w:right w:val="single" w:sz="4" w:space="0" w:color="auto"/>
            </w:tcBorders>
          </w:tcPr>
          <w:p w:rsidR="001433AF" w:rsidRPr="007F2B9D" w:rsidRDefault="001433AF" w:rsidP="001433AF">
            <w:pPr>
              <w:numPr>
                <w:ilvl w:val="0"/>
                <w:numId w:val="2"/>
              </w:numPr>
            </w:pPr>
            <w:r w:rsidRPr="007F2B9D">
              <w:t>The written work makes sense and clearly conveys the desired message.</w:t>
            </w:r>
          </w:p>
        </w:tc>
        <w:tc>
          <w:tcPr>
            <w:tcW w:w="2880" w:type="dxa"/>
            <w:tcBorders>
              <w:top w:val="single" w:sz="4" w:space="0" w:color="auto"/>
              <w:left w:val="single" w:sz="4" w:space="0" w:color="auto"/>
              <w:bottom w:val="single" w:sz="4" w:space="0" w:color="auto"/>
              <w:right w:val="single" w:sz="4" w:space="0" w:color="auto"/>
            </w:tcBorders>
          </w:tcPr>
          <w:p w:rsidR="001433AF" w:rsidRPr="007F2B9D" w:rsidRDefault="001433AF" w:rsidP="001433AF">
            <w:pPr>
              <w:numPr>
                <w:ilvl w:val="0"/>
                <w:numId w:val="2"/>
              </w:numPr>
            </w:pPr>
            <w:r w:rsidRPr="007F2B9D">
              <w:t>The written work makes sense and clearly conveys the desired message in a highly attractive and interesting way.</w:t>
            </w:r>
          </w:p>
        </w:tc>
      </w:tr>
    </w:tbl>
    <w:p w:rsidR="00A138C9" w:rsidRDefault="00A138C9" w:rsidP="00BB660A"/>
    <w:sectPr w:rsidR="00A138C9" w:rsidSect="00FB1C27">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harlemagne Std">
    <w:panose1 w:val="00000000000000000000"/>
    <w:charset w:val="00"/>
    <w:family w:val="decorative"/>
    <w:notTrueType/>
    <w:pitch w:val="variable"/>
    <w:sig w:usb0="00000003" w:usb1="00000000" w:usb2="00000000" w:usb3="00000000" w:csb0="00000001" w:csb1="00000000"/>
  </w:font>
  <w:font w:name="Perpetua Titling MT">
    <w:panose1 w:val="020205020605050208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45B78"/>
    <w:multiLevelType w:val="hybridMultilevel"/>
    <w:tmpl w:val="996E848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41FE7900"/>
    <w:multiLevelType w:val="hybridMultilevel"/>
    <w:tmpl w:val="77C2E47C"/>
    <w:lvl w:ilvl="0" w:tplc="1009000B">
      <w:start w:val="1"/>
      <w:numFmt w:val="bullet"/>
      <w:lvlText w:val=""/>
      <w:lvlJc w:val="left"/>
      <w:pPr>
        <w:tabs>
          <w:tab w:val="num" w:pos="720"/>
        </w:tabs>
        <w:ind w:left="720" w:hanging="360"/>
      </w:pPr>
      <w:rPr>
        <w:rFonts w:ascii="Wingdings" w:hAnsi="Wingdings"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107"/>
    <w:rsid w:val="001433AF"/>
    <w:rsid w:val="00302577"/>
    <w:rsid w:val="00382E61"/>
    <w:rsid w:val="003D168E"/>
    <w:rsid w:val="003D7938"/>
    <w:rsid w:val="00525107"/>
    <w:rsid w:val="00717ED0"/>
    <w:rsid w:val="00872805"/>
    <w:rsid w:val="00A138C9"/>
    <w:rsid w:val="00A61F30"/>
    <w:rsid w:val="00B450A7"/>
    <w:rsid w:val="00BB660A"/>
    <w:rsid w:val="00E91836"/>
    <w:rsid w:val="00FB1C27"/>
    <w:rsid w:val="00FB774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4A7E38-A213-4F7B-8537-244EDED6D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1C27"/>
    <w:pPr>
      <w:ind w:left="720"/>
      <w:contextualSpacing/>
    </w:pPr>
  </w:style>
  <w:style w:type="table" w:styleId="TableGrid">
    <w:name w:val="Table Grid"/>
    <w:basedOn w:val="TableNormal"/>
    <w:rsid w:val="001433AF"/>
    <w:pPr>
      <w:spacing w:after="0" w:line="240" w:lineRule="auto"/>
    </w:pPr>
    <w:rPr>
      <w:rFonts w:ascii="Times New Roman" w:eastAsia="Batang" w:hAnsi="Times New Roman"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691</Words>
  <Characters>3942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HWDSB</Company>
  <LinksUpToDate>false</LinksUpToDate>
  <CharactersWithSpaces>4624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Miller [Staff]</dc:creator>
  <cp:keywords/>
  <dc:description/>
  <cp:lastModifiedBy>Chris Miller [Staff]</cp:lastModifiedBy>
  <cp:revision>28</cp:revision>
  <dcterms:created xsi:type="dcterms:W3CDTF">2015-11-25T16:24:00Z</dcterms:created>
  <dcterms:modified xsi:type="dcterms:W3CDTF">2015-11-26T15:56:00Z</dcterms:modified>
</cp:coreProperties>
</file>