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D4D" w:rsidRPr="00442D20" w:rsidRDefault="00D64309">
      <w:pPr>
        <w:rPr>
          <w:sz w:val="36"/>
          <w:szCs w:val="36"/>
        </w:rPr>
      </w:pPr>
      <w:r w:rsidRPr="00442D20">
        <w:rPr>
          <w:sz w:val="36"/>
          <w:szCs w:val="36"/>
        </w:rPr>
        <w:t>Poem Mastery Assignment</w:t>
      </w:r>
    </w:p>
    <w:p w:rsidR="00D64309" w:rsidRPr="00442D20" w:rsidRDefault="00D64309">
      <w:pPr>
        <w:rPr>
          <w:sz w:val="36"/>
          <w:szCs w:val="36"/>
        </w:rPr>
      </w:pPr>
      <w:r w:rsidRPr="00442D20">
        <w:rPr>
          <w:sz w:val="36"/>
          <w:szCs w:val="36"/>
        </w:rPr>
        <w:t>Name:__________________________________</w:t>
      </w:r>
    </w:p>
    <w:p w:rsidR="00D64309" w:rsidRDefault="00D64309">
      <w:pPr>
        <w:rPr>
          <w:sz w:val="36"/>
          <w:szCs w:val="36"/>
        </w:rPr>
      </w:pPr>
      <w:r w:rsidRPr="00442D20">
        <w:rPr>
          <w:sz w:val="36"/>
          <w:szCs w:val="36"/>
        </w:rPr>
        <w:t>For this assignment you will choose a poem or part of a poem of over 100 words in length</w:t>
      </w:r>
      <w:r w:rsidR="00B3205F">
        <w:rPr>
          <w:sz w:val="36"/>
          <w:szCs w:val="36"/>
        </w:rPr>
        <w:t xml:space="preserve"> (150-enriched)</w:t>
      </w:r>
      <w:r w:rsidRPr="00442D20">
        <w:rPr>
          <w:sz w:val="36"/>
          <w:szCs w:val="36"/>
        </w:rPr>
        <w:t xml:space="preserve">, study it, figure out every technique used and every deep meaning in it, and then perform it for your teacher with feeling and </w:t>
      </w:r>
      <w:r w:rsidR="00611FE0">
        <w:rPr>
          <w:sz w:val="36"/>
          <w:szCs w:val="36"/>
        </w:rPr>
        <w:t xml:space="preserve">with </w:t>
      </w:r>
      <w:r w:rsidRPr="00442D20">
        <w:rPr>
          <w:sz w:val="36"/>
          <w:szCs w:val="36"/>
        </w:rPr>
        <w:t>the correct rhythms and emphases</w:t>
      </w:r>
      <w:r w:rsidR="00A70FBE">
        <w:rPr>
          <w:sz w:val="36"/>
          <w:szCs w:val="36"/>
        </w:rPr>
        <w:t xml:space="preserve"> (it is easier to perform well if memorized)</w:t>
      </w:r>
      <w:r w:rsidRPr="00442D20">
        <w:rPr>
          <w:sz w:val="36"/>
          <w:szCs w:val="36"/>
        </w:rPr>
        <w:t xml:space="preserve">, afterwards explaining what techniques the poet uses and the meanings intended. This is all about true mastery of a poem of your choice. You may choose to master any poem you like. Yes, Hip Hop and Pop music lyrics are poems. You MUST have a paper copy of the poem on hand for your teacher to refer to as you perform the poem and for both of you to refer to as you answer questions about it and explain its techniques and meanings. When explaining the poem and its techniques to your teacher be sure to make especial reference to rhythmic patterns such as IAMBS, and to other aspects of prosody such as ASSONANCE, ALLITERATION, and RHYME. You are responsible for discovering what the larger patterns underlying the poem’s construction are, such as IAMBIC PENTAMETER, and even if it is free verse it may have larger patterns of organization that you can discover. If you are </w:t>
      </w:r>
      <w:r w:rsidRPr="00442D20">
        <w:rPr>
          <w:sz w:val="36"/>
          <w:szCs w:val="36"/>
        </w:rPr>
        <w:lastRenderedPageBreak/>
        <w:t>doing a part of a longer poem or work, please be sure to explain where your segment fits into the whole.</w:t>
      </w:r>
    </w:p>
    <w:p w:rsidR="00ED5778" w:rsidRDefault="00ED5778" w:rsidP="00ED5778">
      <w:pPr>
        <w:spacing w:after="0" w:line="240" w:lineRule="auto"/>
        <w:jc w:val="center"/>
        <w:rPr>
          <w:rFonts w:ascii="Times New Roman" w:eastAsia="Batang" w:hAnsi="Times New Roman"/>
          <w:b/>
          <w:sz w:val="16"/>
          <w:szCs w:val="16"/>
        </w:rPr>
      </w:pPr>
      <w:r>
        <w:rPr>
          <w:rFonts w:ascii="Times New Roman" w:eastAsia="Batang" w:hAnsi="Times New Roman"/>
          <w:b/>
          <w:sz w:val="16"/>
          <w:szCs w:val="16"/>
        </w:rPr>
        <w:t>Course Presentation Rubric</w:t>
      </w:r>
    </w:p>
    <w:p w:rsidR="00ED5778" w:rsidRDefault="00ED5778" w:rsidP="00ED5778">
      <w:pPr>
        <w:spacing w:after="0" w:line="240" w:lineRule="auto"/>
        <w:rPr>
          <w:rFonts w:ascii="Times New Roman" w:eastAsia="Batang" w:hAnsi="Times New Roman"/>
          <w:b/>
          <w:sz w:val="16"/>
          <w:szCs w:val="16"/>
        </w:rPr>
      </w:pPr>
      <w:r>
        <w:rPr>
          <w:rFonts w:ascii="Times New Roman" w:eastAsia="Batang" w:hAnsi="Times New Roman"/>
          <w:b/>
          <w:sz w:val="16"/>
          <w:szCs w:val="16"/>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2700"/>
        <w:gridCol w:w="2520"/>
        <w:gridCol w:w="2880"/>
      </w:tblGrid>
      <w:tr w:rsidR="00ED5778" w:rsidTr="008F6736">
        <w:tc>
          <w:tcPr>
            <w:tcW w:w="2268" w:type="dxa"/>
            <w:tcBorders>
              <w:top w:val="single" w:sz="4" w:space="0" w:color="auto"/>
              <w:left w:val="single" w:sz="4" w:space="0" w:color="auto"/>
              <w:bottom w:val="single" w:sz="4" w:space="0" w:color="auto"/>
              <w:right w:val="single" w:sz="4" w:space="0" w:color="auto"/>
            </w:tcBorders>
          </w:tcPr>
          <w:p w:rsidR="00ED5778" w:rsidRDefault="00ED5778" w:rsidP="008F6736">
            <w:pPr>
              <w:spacing w:after="0" w:line="240" w:lineRule="auto"/>
              <w:rPr>
                <w:rFonts w:ascii="Times New Roman" w:eastAsia="Batang" w:hAnsi="Times New Roman"/>
                <w:sz w:val="16"/>
                <w:szCs w:val="16"/>
              </w:rPr>
            </w:pP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sz w:val="16"/>
                <w:szCs w:val="16"/>
              </w:rPr>
            </w:pPr>
            <w:r>
              <w:rPr>
                <w:rFonts w:ascii="Times New Roman" w:eastAsia="Batang" w:hAnsi="Times New Roman"/>
                <w:sz w:val="16"/>
                <w:szCs w:val="16"/>
              </w:rPr>
              <w:t>0-11</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sz w:val="16"/>
                <w:szCs w:val="16"/>
              </w:rPr>
            </w:pPr>
            <w:r>
              <w:rPr>
                <w:rFonts w:ascii="Times New Roman" w:eastAsia="Batang" w:hAnsi="Times New Roman"/>
                <w:sz w:val="16"/>
                <w:szCs w:val="16"/>
              </w:rPr>
              <w:t>12-13</w:t>
            </w:r>
          </w:p>
        </w:tc>
        <w:tc>
          <w:tcPr>
            <w:tcW w:w="2520"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sz w:val="16"/>
                <w:szCs w:val="16"/>
              </w:rPr>
            </w:pPr>
            <w:r>
              <w:rPr>
                <w:rFonts w:ascii="Times New Roman" w:eastAsia="Batang" w:hAnsi="Times New Roman"/>
                <w:sz w:val="16"/>
                <w:szCs w:val="16"/>
              </w:rPr>
              <w:t>14-15</w:t>
            </w:r>
          </w:p>
        </w:tc>
        <w:tc>
          <w:tcPr>
            <w:tcW w:w="2880"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sz w:val="16"/>
                <w:szCs w:val="16"/>
              </w:rPr>
            </w:pPr>
            <w:r>
              <w:rPr>
                <w:rFonts w:ascii="Times New Roman" w:eastAsia="Batang" w:hAnsi="Times New Roman"/>
                <w:sz w:val="16"/>
                <w:szCs w:val="16"/>
              </w:rPr>
              <w:t>16-20</w:t>
            </w:r>
          </w:p>
        </w:tc>
      </w:tr>
      <w:tr w:rsidR="00ED5778" w:rsidTr="008F6736">
        <w:tc>
          <w:tcPr>
            <w:tcW w:w="2268"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b/>
                <w:sz w:val="16"/>
                <w:szCs w:val="16"/>
              </w:rPr>
            </w:pPr>
            <w:r>
              <w:rPr>
                <w:rFonts w:ascii="Times New Roman" w:eastAsia="Batang" w:hAnsi="Times New Roman"/>
                <w:b/>
                <w:sz w:val="16"/>
                <w:szCs w:val="16"/>
              </w:rPr>
              <w:t>Knowledge and Understanding</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Content is not extensive and covers some of the issues at hand.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Research and/or detailed planning somewhat evident.</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Content is satisfactory and covers the issues at hand.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Satisfactory research and/or planning evident.</w:t>
            </w:r>
          </w:p>
        </w:tc>
        <w:tc>
          <w:tcPr>
            <w:tcW w:w="252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Content is extensive and thoroughly covers the issues at hand.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Strong research and/or detailed planning evident.</w:t>
            </w:r>
          </w:p>
        </w:tc>
        <w:tc>
          <w:tcPr>
            <w:tcW w:w="288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Content is very extensive and very thoroughly covers the issues at hand.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Very strong research and/or exceptionally detailed planning evident.</w:t>
            </w:r>
          </w:p>
        </w:tc>
      </w:tr>
      <w:tr w:rsidR="00ED5778" w:rsidTr="008F6736">
        <w:tc>
          <w:tcPr>
            <w:tcW w:w="2268"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b/>
                <w:sz w:val="16"/>
                <w:szCs w:val="16"/>
              </w:rPr>
            </w:pPr>
            <w:r>
              <w:rPr>
                <w:rFonts w:ascii="Times New Roman" w:eastAsia="Batang" w:hAnsi="Times New Roman"/>
                <w:b/>
                <w:sz w:val="16"/>
                <w:szCs w:val="16"/>
              </w:rPr>
              <w:t>Thinking and Inquiry</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is sometimes complex and varied.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It covers some ideas and themes.</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is somewhat complex and varied.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It covers some ideas and themes, and links them together logically and/or artistically.</w:t>
            </w:r>
          </w:p>
        </w:tc>
        <w:tc>
          <w:tcPr>
            <w:tcW w:w="252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is complex and varied.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It covers a variety of ideas and themes, and links them together logically and/or artistically.</w:t>
            </w:r>
          </w:p>
        </w:tc>
        <w:tc>
          <w:tcPr>
            <w:tcW w:w="288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is very complex and highly varied.</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It covers a wide variety of ideas and themes, and links them together logically and/or artistically in a highly effective way.</w:t>
            </w:r>
          </w:p>
        </w:tc>
      </w:tr>
      <w:tr w:rsidR="00ED5778" w:rsidTr="008F6736">
        <w:tc>
          <w:tcPr>
            <w:tcW w:w="2268"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b/>
                <w:sz w:val="16"/>
                <w:szCs w:val="16"/>
              </w:rPr>
            </w:pPr>
            <w:r>
              <w:rPr>
                <w:rFonts w:ascii="Times New Roman" w:eastAsia="Batang" w:hAnsi="Times New Roman"/>
                <w:b/>
                <w:sz w:val="16"/>
                <w:szCs w:val="16"/>
              </w:rPr>
              <w:t>Application</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Grammar and vocabulary are sometimes correct, varied and appropriate to the form of presentation at hand.</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Grammar and vocabulary are mostly correct, somewhat varied and mostly appropriate to the form of presentation at hand.</w:t>
            </w:r>
          </w:p>
        </w:tc>
        <w:tc>
          <w:tcPr>
            <w:tcW w:w="252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Grammar and vocabulary are correct, varied and appropriate to the form of presentation at hand.</w:t>
            </w:r>
          </w:p>
        </w:tc>
        <w:tc>
          <w:tcPr>
            <w:tcW w:w="288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Grammar and vocabulary are correct, highly varied and appropriate to the form of presentation at hand. Strong mastery of these skills is highly evident.</w:t>
            </w:r>
          </w:p>
        </w:tc>
      </w:tr>
      <w:tr w:rsidR="00ED5778" w:rsidTr="008F6736">
        <w:tc>
          <w:tcPr>
            <w:tcW w:w="2268" w:type="dxa"/>
            <w:tcBorders>
              <w:top w:val="single" w:sz="4" w:space="0" w:color="auto"/>
              <w:left w:val="single" w:sz="4" w:space="0" w:color="auto"/>
              <w:bottom w:val="single" w:sz="4" w:space="0" w:color="auto"/>
              <w:right w:val="single" w:sz="4" w:space="0" w:color="auto"/>
            </w:tcBorders>
            <w:hideMark/>
          </w:tcPr>
          <w:p w:rsidR="00ED5778" w:rsidRDefault="00ED5778" w:rsidP="008F6736">
            <w:pPr>
              <w:spacing w:after="0" w:line="240" w:lineRule="auto"/>
              <w:rPr>
                <w:rFonts w:ascii="Times New Roman" w:eastAsia="Batang" w:hAnsi="Times New Roman"/>
                <w:b/>
                <w:sz w:val="16"/>
                <w:szCs w:val="16"/>
              </w:rPr>
            </w:pPr>
            <w:r>
              <w:rPr>
                <w:rFonts w:ascii="Times New Roman" w:eastAsia="Batang" w:hAnsi="Times New Roman"/>
                <w:b/>
                <w:sz w:val="16"/>
                <w:szCs w:val="16"/>
              </w:rPr>
              <w:t xml:space="preserve">Communication </w:t>
            </w:r>
            <w:r>
              <w:rPr>
                <w:rFonts w:ascii="Times New Roman" w:eastAsia="Batang" w:hAnsi="Times New Roman"/>
                <w:sz w:val="16"/>
                <w:szCs w:val="16"/>
              </w:rPr>
              <w:t>(as presenter)</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sometimes makes sense and sometimes conveys the desired message.</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Aids are not used effectively to convey meaning to the audience: e.g. images, costumes, dramatic voices, dramatic body language, sound effects, music, video clips, objects, props etc…</w:t>
            </w:r>
          </w:p>
        </w:tc>
        <w:tc>
          <w:tcPr>
            <w:tcW w:w="270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mostly makes sense and conveys the desired message.</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Aids are used somewhat effectively to convey meaning to the audience: e.g. images, costumes, dramatic voices, dramatic body language, sound effects, music, video clips, objects, props etc…</w:t>
            </w:r>
          </w:p>
        </w:tc>
        <w:tc>
          <w:tcPr>
            <w:tcW w:w="252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makes sense and clearly conveys the desired message.</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Aids are used effectively to convey meaning to the audience: e.g. images, costumes, dramatic voices, dramatic body language, sound effects, music, video clips, objects, props etc…</w:t>
            </w:r>
          </w:p>
        </w:tc>
        <w:tc>
          <w:tcPr>
            <w:tcW w:w="2880" w:type="dxa"/>
            <w:tcBorders>
              <w:top w:val="single" w:sz="4" w:space="0" w:color="auto"/>
              <w:left w:val="single" w:sz="4" w:space="0" w:color="auto"/>
              <w:bottom w:val="single" w:sz="4" w:space="0" w:color="auto"/>
              <w:right w:val="single" w:sz="4" w:space="0" w:color="auto"/>
            </w:tcBorders>
            <w:hideMark/>
          </w:tcPr>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The presentation makes sense and clearly conveys the desired message in a highly attractive and interesting way.</w:t>
            </w:r>
          </w:p>
          <w:p w:rsidR="00ED5778" w:rsidRDefault="00ED5778" w:rsidP="008F6736">
            <w:pPr>
              <w:numPr>
                <w:ilvl w:val="0"/>
                <w:numId w:val="1"/>
              </w:numPr>
              <w:spacing w:after="0" w:line="240" w:lineRule="auto"/>
              <w:rPr>
                <w:rFonts w:ascii="Times New Roman" w:eastAsia="Batang" w:hAnsi="Times New Roman"/>
                <w:sz w:val="16"/>
                <w:szCs w:val="16"/>
              </w:rPr>
            </w:pPr>
            <w:r>
              <w:rPr>
                <w:rFonts w:ascii="Times New Roman" w:eastAsia="Batang" w:hAnsi="Times New Roman"/>
                <w:sz w:val="16"/>
                <w:szCs w:val="16"/>
              </w:rPr>
              <w:t>Aids are used very effectively to convey meaning to the audience: e.g. images, costumes, dramatic voices, dramatic body language, sound effects, music, video clips, objects, props etc…</w:t>
            </w:r>
          </w:p>
        </w:tc>
      </w:tr>
    </w:tbl>
    <w:p w:rsidR="00ED5778" w:rsidRDefault="00ED5778">
      <w:pPr>
        <w:rPr>
          <w:sz w:val="36"/>
          <w:szCs w:val="36"/>
        </w:rPr>
      </w:pPr>
    </w:p>
    <w:p w:rsidR="00ED5778" w:rsidRPr="00442D20" w:rsidRDefault="00ED5778">
      <w:pPr>
        <w:rPr>
          <w:sz w:val="36"/>
          <w:szCs w:val="36"/>
        </w:rPr>
      </w:pPr>
      <w:r>
        <w:rPr>
          <w:sz w:val="36"/>
          <w:szCs w:val="36"/>
        </w:rPr>
        <w:t>Remember tha</w:t>
      </w:r>
      <w:r w:rsidR="00CE1092">
        <w:rPr>
          <w:sz w:val="36"/>
          <w:szCs w:val="36"/>
        </w:rPr>
        <w:t>t the poem must be</w:t>
      </w:r>
      <w:r>
        <w:rPr>
          <w:sz w:val="36"/>
          <w:szCs w:val="36"/>
        </w:rPr>
        <w:t xml:space="preserve"> performed with zest</w:t>
      </w:r>
      <w:r w:rsidR="00CE1092">
        <w:rPr>
          <w:sz w:val="36"/>
          <w:szCs w:val="36"/>
        </w:rPr>
        <w:t>, feeling,</w:t>
      </w:r>
      <w:bookmarkStart w:id="0" w:name="_GoBack"/>
      <w:bookmarkEnd w:id="0"/>
      <w:r>
        <w:rPr>
          <w:sz w:val="36"/>
          <w:szCs w:val="36"/>
        </w:rPr>
        <w:t xml:space="preserve"> and vim!</w:t>
      </w:r>
    </w:p>
    <w:sectPr w:rsidR="00ED5778" w:rsidRPr="00442D20" w:rsidSect="00D6430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35898"/>
    <w:multiLevelType w:val="hybridMultilevel"/>
    <w:tmpl w:val="EF36AF7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DC"/>
    <w:rsid w:val="00442D20"/>
    <w:rsid w:val="00611FE0"/>
    <w:rsid w:val="007F0ADC"/>
    <w:rsid w:val="00A70FBE"/>
    <w:rsid w:val="00B3205F"/>
    <w:rsid w:val="00CE1092"/>
    <w:rsid w:val="00D64309"/>
    <w:rsid w:val="00E01D4D"/>
    <w:rsid w:val="00ED577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481F1-AAD3-4811-BD80-6A373496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616</Words>
  <Characters>3517</Characters>
  <Application>Microsoft Office Word</Application>
  <DocSecurity>0</DocSecurity>
  <Lines>29</Lines>
  <Paragraphs>8</Paragraphs>
  <ScaleCrop>false</ScaleCrop>
  <Company>HWDSB</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 [Staff]</dc:creator>
  <cp:keywords/>
  <dc:description/>
  <cp:lastModifiedBy>Chris Miller [Staff]</cp:lastModifiedBy>
  <cp:revision>12</cp:revision>
  <dcterms:created xsi:type="dcterms:W3CDTF">2015-04-22T17:13:00Z</dcterms:created>
  <dcterms:modified xsi:type="dcterms:W3CDTF">2016-02-08T19:30:00Z</dcterms:modified>
</cp:coreProperties>
</file>