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07D" w:rsidRDefault="00A4007D" w:rsidP="00BA245D">
      <w:pPr>
        <w:jc w:val="center"/>
        <w:rPr>
          <w:b/>
          <w:sz w:val="28"/>
        </w:rPr>
      </w:pPr>
      <w:bookmarkStart w:id="0" w:name="_GoBack"/>
      <w:bookmarkEnd w:id="0"/>
      <w:r w:rsidRPr="006D18F2">
        <w:rPr>
          <w:b/>
          <w:sz w:val="28"/>
        </w:rPr>
        <w:t>M</w:t>
      </w:r>
      <w:r>
        <w:rPr>
          <w:b/>
          <w:sz w:val="28"/>
        </w:rPr>
        <w:t>eaningful Use 2014:</w:t>
      </w:r>
      <w:r w:rsidR="00BA245D" w:rsidRPr="006D18F2">
        <w:rPr>
          <w:b/>
          <w:sz w:val="28"/>
        </w:rPr>
        <w:t xml:space="preserve"> </w:t>
      </w:r>
    </w:p>
    <w:p w:rsidR="00BA245D" w:rsidRPr="006D18F2" w:rsidRDefault="00BA245D" w:rsidP="00BA245D">
      <w:pPr>
        <w:jc w:val="center"/>
        <w:rPr>
          <w:b/>
        </w:rPr>
      </w:pPr>
      <w:r w:rsidRPr="006D18F2">
        <w:rPr>
          <w:b/>
          <w:sz w:val="28"/>
        </w:rPr>
        <w:t xml:space="preserve">Stage </w:t>
      </w:r>
      <w:r>
        <w:rPr>
          <w:b/>
          <w:sz w:val="28"/>
        </w:rPr>
        <w:t>2</w:t>
      </w:r>
      <w:r w:rsidRPr="006D18F2">
        <w:rPr>
          <w:b/>
          <w:sz w:val="28"/>
        </w:rPr>
        <w:t xml:space="preserve"> Menu/Core Measures</w:t>
      </w:r>
    </w:p>
    <w:p w:rsidR="00BA245D" w:rsidRDefault="00BA245D" w:rsidP="00BA245D"/>
    <w:sdt>
      <w:sdtPr>
        <w:rPr>
          <w:rFonts w:asciiTheme="minorHAnsi" w:eastAsiaTheme="minorHAnsi" w:hAnsiTheme="minorHAnsi" w:cstheme="minorBidi"/>
          <w:b w:val="0"/>
          <w:bCs w:val="0"/>
          <w:color w:val="auto"/>
          <w:sz w:val="22"/>
          <w:szCs w:val="22"/>
          <w:lang w:eastAsia="en-US"/>
        </w:rPr>
        <w:id w:val="-1608421989"/>
        <w:docPartObj>
          <w:docPartGallery w:val="Table of Contents"/>
          <w:docPartUnique/>
        </w:docPartObj>
      </w:sdtPr>
      <w:sdtEndPr>
        <w:rPr>
          <w:noProof/>
        </w:rPr>
      </w:sdtEndPr>
      <w:sdtContent>
        <w:p w:rsidR="00B85C07" w:rsidRDefault="00B85C07" w:rsidP="00B85C07">
          <w:pPr>
            <w:pStyle w:val="TOCHeading"/>
            <w:spacing w:before="120"/>
          </w:pPr>
          <w:r>
            <w:t>Table of Contents</w:t>
          </w:r>
        </w:p>
        <w:p w:rsidR="007C4B61" w:rsidRDefault="00B85C07">
          <w:pPr>
            <w:pStyle w:val="TOC1"/>
            <w:tabs>
              <w:tab w:val="right" w:leader="dot" w:pos="10790"/>
            </w:tabs>
            <w:rPr>
              <w:noProof/>
              <w:lang w:eastAsia="en-US"/>
            </w:rPr>
          </w:pPr>
          <w:r>
            <w:fldChar w:fldCharType="begin"/>
          </w:r>
          <w:r>
            <w:instrText xml:space="preserve"> TOC \o "1-4" \h \z \u </w:instrText>
          </w:r>
          <w:r>
            <w:fldChar w:fldCharType="separate"/>
          </w:r>
          <w:hyperlink w:anchor="_Toc390171127" w:history="1">
            <w:r w:rsidR="007C4B61" w:rsidRPr="00133E52">
              <w:rPr>
                <w:rStyle w:val="Hyperlink"/>
                <w:noProof/>
              </w:rPr>
              <w:t>Introduction to Stage 2 in 2014 CEHRT</w:t>
            </w:r>
            <w:r w:rsidR="007C4B61">
              <w:rPr>
                <w:noProof/>
                <w:webHidden/>
              </w:rPr>
              <w:tab/>
            </w:r>
            <w:r w:rsidR="007C4B61">
              <w:rPr>
                <w:noProof/>
                <w:webHidden/>
              </w:rPr>
              <w:fldChar w:fldCharType="begin"/>
            </w:r>
            <w:r w:rsidR="007C4B61">
              <w:rPr>
                <w:noProof/>
                <w:webHidden/>
              </w:rPr>
              <w:instrText xml:space="preserve"> PAGEREF _Toc390171127 \h </w:instrText>
            </w:r>
            <w:r w:rsidR="007C4B61">
              <w:rPr>
                <w:noProof/>
                <w:webHidden/>
              </w:rPr>
            </w:r>
            <w:r w:rsidR="007C4B61">
              <w:rPr>
                <w:noProof/>
                <w:webHidden/>
              </w:rPr>
              <w:fldChar w:fldCharType="separate"/>
            </w:r>
            <w:r w:rsidR="007C4B61">
              <w:rPr>
                <w:noProof/>
                <w:webHidden/>
              </w:rPr>
              <w:t>5</w:t>
            </w:r>
            <w:r w:rsidR="007C4B61">
              <w:rPr>
                <w:noProof/>
                <w:webHidden/>
              </w:rPr>
              <w:fldChar w:fldCharType="end"/>
            </w:r>
          </w:hyperlink>
        </w:p>
        <w:p w:rsidR="007C4B61" w:rsidRDefault="00410313">
          <w:pPr>
            <w:pStyle w:val="TOC1"/>
            <w:tabs>
              <w:tab w:val="right" w:leader="dot" w:pos="10790"/>
            </w:tabs>
            <w:rPr>
              <w:noProof/>
              <w:lang w:eastAsia="en-US"/>
            </w:rPr>
          </w:pPr>
          <w:hyperlink w:anchor="_Toc390171128" w:history="1">
            <w:r w:rsidR="007C4B61" w:rsidRPr="00133E52">
              <w:rPr>
                <w:rStyle w:val="Hyperlink"/>
                <w:noProof/>
              </w:rPr>
              <w:t>Stage 2 Core Measures</w:t>
            </w:r>
            <w:r w:rsidR="007C4B61">
              <w:rPr>
                <w:noProof/>
                <w:webHidden/>
              </w:rPr>
              <w:tab/>
            </w:r>
            <w:r w:rsidR="007C4B61">
              <w:rPr>
                <w:noProof/>
                <w:webHidden/>
              </w:rPr>
              <w:fldChar w:fldCharType="begin"/>
            </w:r>
            <w:r w:rsidR="007C4B61">
              <w:rPr>
                <w:noProof/>
                <w:webHidden/>
              </w:rPr>
              <w:instrText xml:space="preserve"> PAGEREF _Toc390171128 \h </w:instrText>
            </w:r>
            <w:r w:rsidR="007C4B61">
              <w:rPr>
                <w:noProof/>
                <w:webHidden/>
              </w:rPr>
            </w:r>
            <w:r w:rsidR="007C4B61">
              <w:rPr>
                <w:noProof/>
                <w:webHidden/>
              </w:rPr>
              <w:fldChar w:fldCharType="separate"/>
            </w:r>
            <w:r w:rsidR="007C4B61">
              <w:rPr>
                <w:noProof/>
                <w:webHidden/>
              </w:rPr>
              <w:t>5</w:t>
            </w:r>
            <w:r w:rsidR="007C4B61">
              <w:rPr>
                <w:noProof/>
                <w:webHidden/>
              </w:rPr>
              <w:fldChar w:fldCharType="end"/>
            </w:r>
          </w:hyperlink>
        </w:p>
        <w:p w:rsidR="007C4B61" w:rsidRDefault="00410313">
          <w:pPr>
            <w:pStyle w:val="TOC2"/>
            <w:rPr>
              <w:rFonts w:eastAsiaTheme="minorEastAsia"/>
              <w:b w:val="0"/>
              <w:lang w:eastAsia="en-US"/>
            </w:rPr>
          </w:pPr>
          <w:hyperlink w:anchor="_Toc390171129" w:history="1">
            <w:r w:rsidR="007C4B61" w:rsidRPr="00133E52">
              <w:rPr>
                <w:rStyle w:val="Hyperlink"/>
              </w:rPr>
              <w:t>Stage 2 - Core #1: CPOE for Medication, Laboratory and Radiology Orders</w:t>
            </w:r>
            <w:r w:rsidR="007C4B61">
              <w:rPr>
                <w:webHidden/>
              </w:rPr>
              <w:tab/>
            </w:r>
            <w:r w:rsidR="007C4B61">
              <w:rPr>
                <w:webHidden/>
              </w:rPr>
              <w:fldChar w:fldCharType="begin"/>
            </w:r>
            <w:r w:rsidR="007C4B61">
              <w:rPr>
                <w:webHidden/>
              </w:rPr>
              <w:instrText xml:space="preserve"> PAGEREF _Toc390171129 \h </w:instrText>
            </w:r>
            <w:r w:rsidR="007C4B61">
              <w:rPr>
                <w:webHidden/>
              </w:rPr>
            </w:r>
            <w:r w:rsidR="007C4B61">
              <w:rPr>
                <w:webHidden/>
              </w:rPr>
              <w:fldChar w:fldCharType="separate"/>
            </w:r>
            <w:r w:rsidR="007C4B61">
              <w:rPr>
                <w:webHidden/>
              </w:rPr>
              <w:t>6</w:t>
            </w:r>
            <w:r w:rsidR="007C4B61">
              <w:rPr>
                <w:webHidden/>
              </w:rPr>
              <w:fldChar w:fldCharType="end"/>
            </w:r>
          </w:hyperlink>
        </w:p>
        <w:p w:rsidR="007C4B61" w:rsidRDefault="00410313">
          <w:pPr>
            <w:pStyle w:val="TOC3"/>
            <w:tabs>
              <w:tab w:val="right" w:leader="dot" w:pos="10790"/>
            </w:tabs>
            <w:rPr>
              <w:noProof/>
              <w:lang w:eastAsia="en-US"/>
            </w:rPr>
          </w:pPr>
          <w:hyperlink w:anchor="_Toc390171130" w:history="1">
            <w:r w:rsidR="007C4B61" w:rsidRPr="00133E52">
              <w:rPr>
                <w:rStyle w:val="Hyperlink"/>
                <w:noProof/>
              </w:rPr>
              <w:t>CPOE: Explanation of Measure</w:t>
            </w:r>
            <w:r w:rsidR="007C4B61">
              <w:rPr>
                <w:noProof/>
                <w:webHidden/>
              </w:rPr>
              <w:tab/>
            </w:r>
            <w:r w:rsidR="007C4B61">
              <w:rPr>
                <w:noProof/>
                <w:webHidden/>
              </w:rPr>
              <w:fldChar w:fldCharType="begin"/>
            </w:r>
            <w:r w:rsidR="007C4B61">
              <w:rPr>
                <w:noProof/>
                <w:webHidden/>
              </w:rPr>
              <w:instrText xml:space="preserve"> PAGEREF _Toc390171130 \h </w:instrText>
            </w:r>
            <w:r w:rsidR="007C4B61">
              <w:rPr>
                <w:noProof/>
                <w:webHidden/>
              </w:rPr>
            </w:r>
            <w:r w:rsidR="007C4B61">
              <w:rPr>
                <w:noProof/>
                <w:webHidden/>
              </w:rPr>
              <w:fldChar w:fldCharType="separate"/>
            </w:r>
            <w:r w:rsidR="007C4B61">
              <w:rPr>
                <w:noProof/>
                <w:webHidden/>
              </w:rPr>
              <w:t>6</w:t>
            </w:r>
            <w:r w:rsidR="007C4B61">
              <w:rPr>
                <w:noProof/>
                <w:webHidden/>
              </w:rPr>
              <w:fldChar w:fldCharType="end"/>
            </w:r>
          </w:hyperlink>
        </w:p>
        <w:p w:rsidR="007C4B61" w:rsidRDefault="00410313">
          <w:pPr>
            <w:pStyle w:val="TOC3"/>
            <w:tabs>
              <w:tab w:val="right" w:leader="dot" w:pos="10790"/>
            </w:tabs>
            <w:rPr>
              <w:noProof/>
              <w:lang w:eastAsia="en-US"/>
            </w:rPr>
          </w:pPr>
          <w:hyperlink w:anchor="_Toc390171131" w:history="1">
            <w:r w:rsidR="007C4B61" w:rsidRPr="00133E52">
              <w:rPr>
                <w:rStyle w:val="Hyperlink"/>
                <w:noProof/>
              </w:rPr>
              <w:t>CPOE: Meaningful Use Measures</w:t>
            </w:r>
            <w:r w:rsidR="007C4B61">
              <w:rPr>
                <w:noProof/>
                <w:webHidden/>
              </w:rPr>
              <w:tab/>
            </w:r>
            <w:r w:rsidR="007C4B61">
              <w:rPr>
                <w:noProof/>
                <w:webHidden/>
              </w:rPr>
              <w:fldChar w:fldCharType="begin"/>
            </w:r>
            <w:r w:rsidR="007C4B61">
              <w:rPr>
                <w:noProof/>
                <w:webHidden/>
              </w:rPr>
              <w:instrText xml:space="preserve"> PAGEREF _Toc390171131 \h </w:instrText>
            </w:r>
            <w:r w:rsidR="007C4B61">
              <w:rPr>
                <w:noProof/>
                <w:webHidden/>
              </w:rPr>
            </w:r>
            <w:r w:rsidR="007C4B61">
              <w:rPr>
                <w:noProof/>
                <w:webHidden/>
              </w:rPr>
              <w:fldChar w:fldCharType="separate"/>
            </w:r>
            <w:r w:rsidR="007C4B61">
              <w:rPr>
                <w:noProof/>
                <w:webHidden/>
              </w:rPr>
              <w:t>7</w:t>
            </w:r>
            <w:r w:rsidR="007C4B61">
              <w:rPr>
                <w:noProof/>
                <w:webHidden/>
              </w:rPr>
              <w:fldChar w:fldCharType="end"/>
            </w:r>
          </w:hyperlink>
        </w:p>
        <w:p w:rsidR="007C4B61" w:rsidRDefault="00410313">
          <w:pPr>
            <w:pStyle w:val="TOC3"/>
            <w:tabs>
              <w:tab w:val="right" w:leader="dot" w:pos="10790"/>
            </w:tabs>
            <w:rPr>
              <w:noProof/>
              <w:lang w:eastAsia="en-US"/>
            </w:rPr>
          </w:pPr>
          <w:hyperlink w:anchor="_Toc390171132" w:history="1">
            <w:r w:rsidR="007C4B61" w:rsidRPr="00133E52">
              <w:rPr>
                <w:rStyle w:val="Hyperlink"/>
                <w:noProof/>
              </w:rPr>
              <w:t>CPOE: Recording of Numerator in Valant</w:t>
            </w:r>
            <w:r w:rsidR="007C4B61">
              <w:rPr>
                <w:noProof/>
                <w:webHidden/>
              </w:rPr>
              <w:tab/>
            </w:r>
            <w:r w:rsidR="007C4B61">
              <w:rPr>
                <w:noProof/>
                <w:webHidden/>
              </w:rPr>
              <w:fldChar w:fldCharType="begin"/>
            </w:r>
            <w:r w:rsidR="007C4B61">
              <w:rPr>
                <w:noProof/>
                <w:webHidden/>
              </w:rPr>
              <w:instrText xml:space="preserve"> PAGEREF _Toc390171132 \h </w:instrText>
            </w:r>
            <w:r w:rsidR="007C4B61">
              <w:rPr>
                <w:noProof/>
                <w:webHidden/>
              </w:rPr>
            </w:r>
            <w:r w:rsidR="007C4B61">
              <w:rPr>
                <w:noProof/>
                <w:webHidden/>
              </w:rPr>
              <w:fldChar w:fldCharType="separate"/>
            </w:r>
            <w:r w:rsidR="007C4B61">
              <w:rPr>
                <w:noProof/>
                <w:webHidden/>
              </w:rPr>
              <w:t>8</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33" w:history="1">
            <w:r w:rsidR="007C4B61" w:rsidRPr="00133E52">
              <w:rPr>
                <w:rStyle w:val="Hyperlink"/>
                <w:noProof/>
              </w:rPr>
              <w:t>CPOE: Medication Orders</w:t>
            </w:r>
            <w:r w:rsidR="007C4B61">
              <w:rPr>
                <w:noProof/>
                <w:webHidden/>
              </w:rPr>
              <w:tab/>
            </w:r>
            <w:r w:rsidR="007C4B61">
              <w:rPr>
                <w:noProof/>
                <w:webHidden/>
              </w:rPr>
              <w:fldChar w:fldCharType="begin"/>
            </w:r>
            <w:r w:rsidR="007C4B61">
              <w:rPr>
                <w:noProof/>
                <w:webHidden/>
              </w:rPr>
              <w:instrText xml:space="preserve"> PAGEREF _Toc390171133 \h </w:instrText>
            </w:r>
            <w:r w:rsidR="007C4B61">
              <w:rPr>
                <w:noProof/>
                <w:webHidden/>
              </w:rPr>
            </w:r>
            <w:r w:rsidR="007C4B61">
              <w:rPr>
                <w:noProof/>
                <w:webHidden/>
              </w:rPr>
              <w:fldChar w:fldCharType="separate"/>
            </w:r>
            <w:r w:rsidR="007C4B61">
              <w:rPr>
                <w:noProof/>
                <w:webHidden/>
              </w:rPr>
              <w:t>8</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34" w:history="1">
            <w:r w:rsidR="007C4B61" w:rsidRPr="00133E52">
              <w:rPr>
                <w:rStyle w:val="Hyperlink"/>
                <w:noProof/>
              </w:rPr>
              <w:t>CPOE: Laboratory Orders</w:t>
            </w:r>
            <w:r w:rsidR="007C4B61">
              <w:rPr>
                <w:noProof/>
                <w:webHidden/>
              </w:rPr>
              <w:tab/>
            </w:r>
            <w:r w:rsidR="007C4B61">
              <w:rPr>
                <w:noProof/>
                <w:webHidden/>
              </w:rPr>
              <w:fldChar w:fldCharType="begin"/>
            </w:r>
            <w:r w:rsidR="007C4B61">
              <w:rPr>
                <w:noProof/>
                <w:webHidden/>
              </w:rPr>
              <w:instrText xml:space="preserve"> PAGEREF _Toc390171134 \h </w:instrText>
            </w:r>
            <w:r w:rsidR="007C4B61">
              <w:rPr>
                <w:noProof/>
                <w:webHidden/>
              </w:rPr>
            </w:r>
            <w:r w:rsidR="007C4B61">
              <w:rPr>
                <w:noProof/>
                <w:webHidden/>
              </w:rPr>
              <w:fldChar w:fldCharType="separate"/>
            </w:r>
            <w:r w:rsidR="007C4B61">
              <w:rPr>
                <w:noProof/>
                <w:webHidden/>
              </w:rPr>
              <w:t>10</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35" w:history="1">
            <w:r w:rsidR="007C4B61" w:rsidRPr="00133E52">
              <w:rPr>
                <w:rStyle w:val="Hyperlink"/>
                <w:noProof/>
              </w:rPr>
              <w:t>CPOE: Radiology Orders</w:t>
            </w:r>
            <w:r w:rsidR="007C4B61">
              <w:rPr>
                <w:noProof/>
                <w:webHidden/>
              </w:rPr>
              <w:tab/>
            </w:r>
            <w:r w:rsidR="007C4B61">
              <w:rPr>
                <w:noProof/>
                <w:webHidden/>
              </w:rPr>
              <w:fldChar w:fldCharType="begin"/>
            </w:r>
            <w:r w:rsidR="007C4B61">
              <w:rPr>
                <w:noProof/>
                <w:webHidden/>
              </w:rPr>
              <w:instrText xml:space="preserve"> PAGEREF _Toc390171135 \h </w:instrText>
            </w:r>
            <w:r w:rsidR="007C4B61">
              <w:rPr>
                <w:noProof/>
                <w:webHidden/>
              </w:rPr>
            </w:r>
            <w:r w:rsidR="007C4B61">
              <w:rPr>
                <w:noProof/>
                <w:webHidden/>
              </w:rPr>
              <w:fldChar w:fldCharType="separate"/>
            </w:r>
            <w:r w:rsidR="007C4B61">
              <w:rPr>
                <w:noProof/>
                <w:webHidden/>
              </w:rPr>
              <w:t>11</w:t>
            </w:r>
            <w:r w:rsidR="007C4B61">
              <w:rPr>
                <w:noProof/>
                <w:webHidden/>
              </w:rPr>
              <w:fldChar w:fldCharType="end"/>
            </w:r>
          </w:hyperlink>
        </w:p>
        <w:p w:rsidR="007C4B61" w:rsidRDefault="00410313">
          <w:pPr>
            <w:pStyle w:val="TOC2"/>
            <w:rPr>
              <w:rFonts w:eastAsiaTheme="minorEastAsia"/>
              <w:b w:val="0"/>
              <w:lang w:eastAsia="en-US"/>
            </w:rPr>
          </w:pPr>
          <w:hyperlink w:anchor="_Toc390171136" w:history="1">
            <w:r w:rsidR="007C4B61" w:rsidRPr="00133E52">
              <w:rPr>
                <w:rStyle w:val="Hyperlink"/>
              </w:rPr>
              <w:t>Stage 2 - Core #2: e-Prescribing (eRx)</w:t>
            </w:r>
            <w:r w:rsidR="007C4B61">
              <w:rPr>
                <w:webHidden/>
              </w:rPr>
              <w:tab/>
            </w:r>
            <w:r w:rsidR="007C4B61">
              <w:rPr>
                <w:webHidden/>
              </w:rPr>
              <w:fldChar w:fldCharType="begin"/>
            </w:r>
            <w:r w:rsidR="007C4B61">
              <w:rPr>
                <w:webHidden/>
              </w:rPr>
              <w:instrText xml:space="preserve"> PAGEREF _Toc390171136 \h </w:instrText>
            </w:r>
            <w:r w:rsidR="007C4B61">
              <w:rPr>
                <w:webHidden/>
              </w:rPr>
            </w:r>
            <w:r w:rsidR="007C4B61">
              <w:rPr>
                <w:webHidden/>
              </w:rPr>
              <w:fldChar w:fldCharType="separate"/>
            </w:r>
            <w:r w:rsidR="007C4B61">
              <w:rPr>
                <w:webHidden/>
              </w:rPr>
              <w:t>12</w:t>
            </w:r>
            <w:r w:rsidR="007C4B61">
              <w:rPr>
                <w:webHidden/>
              </w:rPr>
              <w:fldChar w:fldCharType="end"/>
            </w:r>
          </w:hyperlink>
        </w:p>
        <w:p w:rsidR="007C4B61" w:rsidRDefault="00410313">
          <w:pPr>
            <w:pStyle w:val="TOC3"/>
            <w:tabs>
              <w:tab w:val="right" w:leader="dot" w:pos="10790"/>
            </w:tabs>
            <w:rPr>
              <w:noProof/>
              <w:lang w:eastAsia="en-US"/>
            </w:rPr>
          </w:pPr>
          <w:hyperlink w:anchor="_Toc390171137" w:history="1">
            <w:r w:rsidR="007C4B61" w:rsidRPr="00133E52">
              <w:rPr>
                <w:rStyle w:val="Hyperlink"/>
                <w:noProof/>
              </w:rPr>
              <w:t>eRx: Explanation of Measure</w:t>
            </w:r>
            <w:r w:rsidR="007C4B61">
              <w:rPr>
                <w:noProof/>
                <w:webHidden/>
              </w:rPr>
              <w:tab/>
            </w:r>
            <w:r w:rsidR="007C4B61">
              <w:rPr>
                <w:noProof/>
                <w:webHidden/>
              </w:rPr>
              <w:fldChar w:fldCharType="begin"/>
            </w:r>
            <w:r w:rsidR="007C4B61">
              <w:rPr>
                <w:noProof/>
                <w:webHidden/>
              </w:rPr>
              <w:instrText xml:space="preserve"> PAGEREF _Toc390171137 \h </w:instrText>
            </w:r>
            <w:r w:rsidR="007C4B61">
              <w:rPr>
                <w:noProof/>
                <w:webHidden/>
              </w:rPr>
            </w:r>
            <w:r w:rsidR="007C4B61">
              <w:rPr>
                <w:noProof/>
                <w:webHidden/>
              </w:rPr>
              <w:fldChar w:fldCharType="separate"/>
            </w:r>
            <w:r w:rsidR="007C4B61">
              <w:rPr>
                <w:noProof/>
                <w:webHidden/>
              </w:rPr>
              <w:t>12</w:t>
            </w:r>
            <w:r w:rsidR="007C4B61">
              <w:rPr>
                <w:noProof/>
                <w:webHidden/>
              </w:rPr>
              <w:fldChar w:fldCharType="end"/>
            </w:r>
          </w:hyperlink>
        </w:p>
        <w:p w:rsidR="007C4B61" w:rsidRDefault="00410313">
          <w:pPr>
            <w:pStyle w:val="TOC3"/>
            <w:tabs>
              <w:tab w:val="right" w:leader="dot" w:pos="10790"/>
            </w:tabs>
            <w:rPr>
              <w:noProof/>
              <w:lang w:eastAsia="en-US"/>
            </w:rPr>
          </w:pPr>
          <w:hyperlink w:anchor="_Toc390171138" w:history="1">
            <w:r w:rsidR="007C4B61" w:rsidRPr="00133E52">
              <w:rPr>
                <w:rStyle w:val="Hyperlink"/>
                <w:noProof/>
              </w:rPr>
              <w:t>eRx: Meaningful Use Measures</w:t>
            </w:r>
            <w:r w:rsidR="007C4B61">
              <w:rPr>
                <w:noProof/>
                <w:webHidden/>
              </w:rPr>
              <w:tab/>
            </w:r>
            <w:r w:rsidR="007C4B61">
              <w:rPr>
                <w:noProof/>
                <w:webHidden/>
              </w:rPr>
              <w:fldChar w:fldCharType="begin"/>
            </w:r>
            <w:r w:rsidR="007C4B61">
              <w:rPr>
                <w:noProof/>
                <w:webHidden/>
              </w:rPr>
              <w:instrText xml:space="preserve"> PAGEREF _Toc390171138 \h </w:instrText>
            </w:r>
            <w:r w:rsidR="007C4B61">
              <w:rPr>
                <w:noProof/>
                <w:webHidden/>
              </w:rPr>
            </w:r>
            <w:r w:rsidR="007C4B61">
              <w:rPr>
                <w:noProof/>
                <w:webHidden/>
              </w:rPr>
              <w:fldChar w:fldCharType="separate"/>
            </w:r>
            <w:r w:rsidR="007C4B61">
              <w:rPr>
                <w:noProof/>
                <w:webHidden/>
              </w:rPr>
              <w:t>13</w:t>
            </w:r>
            <w:r w:rsidR="007C4B61">
              <w:rPr>
                <w:noProof/>
                <w:webHidden/>
              </w:rPr>
              <w:fldChar w:fldCharType="end"/>
            </w:r>
          </w:hyperlink>
        </w:p>
        <w:p w:rsidR="007C4B61" w:rsidRDefault="00410313">
          <w:pPr>
            <w:pStyle w:val="TOC3"/>
            <w:tabs>
              <w:tab w:val="right" w:leader="dot" w:pos="10790"/>
            </w:tabs>
            <w:rPr>
              <w:noProof/>
              <w:lang w:eastAsia="en-US"/>
            </w:rPr>
          </w:pPr>
          <w:hyperlink w:anchor="_Toc390171139" w:history="1">
            <w:r w:rsidR="007C4B61" w:rsidRPr="00133E52">
              <w:rPr>
                <w:rStyle w:val="Hyperlink"/>
                <w:noProof/>
              </w:rPr>
              <w:t>eRx: Recording of Numerator in Valant</w:t>
            </w:r>
            <w:r w:rsidR="007C4B61">
              <w:rPr>
                <w:noProof/>
                <w:webHidden/>
              </w:rPr>
              <w:tab/>
            </w:r>
            <w:r w:rsidR="007C4B61">
              <w:rPr>
                <w:noProof/>
                <w:webHidden/>
              </w:rPr>
              <w:fldChar w:fldCharType="begin"/>
            </w:r>
            <w:r w:rsidR="007C4B61">
              <w:rPr>
                <w:noProof/>
                <w:webHidden/>
              </w:rPr>
              <w:instrText xml:space="preserve"> PAGEREF _Toc390171139 \h </w:instrText>
            </w:r>
            <w:r w:rsidR="007C4B61">
              <w:rPr>
                <w:noProof/>
                <w:webHidden/>
              </w:rPr>
            </w:r>
            <w:r w:rsidR="007C4B61">
              <w:rPr>
                <w:noProof/>
                <w:webHidden/>
              </w:rPr>
              <w:fldChar w:fldCharType="separate"/>
            </w:r>
            <w:r w:rsidR="007C4B61">
              <w:rPr>
                <w:noProof/>
                <w:webHidden/>
              </w:rPr>
              <w:t>14</w:t>
            </w:r>
            <w:r w:rsidR="007C4B61">
              <w:rPr>
                <w:noProof/>
                <w:webHidden/>
              </w:rPr>
              <w:fldChar w:fldCharType="end"/>
            </w:r>
          </w:hyperlink>
        </w:p>
        <w:p w:rsidR="007C4B61" w:rsidRDefault="00410313">
          <w:pPr>
            <w:pStyle w:val="TOC2"/>
            <w:rPr>
              <w:rFonts w:eastAsiaTheme="minorEastAsia"/>
              <w:b w:val="0"/>
              <w:lang w:eastAsia="en-US"/>
            </w:rPr>
          </w:pPr>
          <w:hyperlink w:anchor="_Toc390171140" w:history="1">
            <w:r w:rsidR="007C4B61" w:rsidRPr="00133E52">
              <w:rPr>
                <w:rStyle w:val="Hyperlink"/>
              </w:rPr>
              <w:t>Stage 2 - Core #3: Demographics</w:t>
            </w:r>
            <w:r w:rsidR="007C4B61">
              <w:rPr>
                <w:webHidden/>
              </w:rPr>
              <w:tab/>
            </w:r>
            <w:r w:rsidR="007C4B61">
              <w:rPr>
                <w:webHidden/>
              </w:rPr>
              <w:fldChar w:fldCharType="begin"/>
            </w:r>
            <w:r w:rsidR="007C4B61">
              <w:rPr>
                <w:webHidden/>
              </w:rPr>
              <w:instrText xml:space="preserve"> PAGEREF _Toc390171140 \h </w:instrText>
            </w:r>
            <w:r w:rsidR="007C4B61">
              <w:rPr>
                <w:webHidden/>
              </w:rPr>
            </w:r>
            <w:r w:rsidR="007C4B61">
              <w:rPr>
                <w:webHidden/>
              </w:rPr>
              <w:fldChar w:fldCharType="separate"/>
            </w:r>
            <w:r w:rsidR="007C4B61">
              <w:rPr>
                <w:webHidden/>
              </w:rPr>
              <w:t>15</w:t>
            </w:r>
            <w:r w:rsidR="007C4B61">
              <w:rPr>
                <w:webHidden/>
              </w:rPr>
              <w:fldChar w:fldCharType="end"/>
            </w:r>
          </w:hyperlink>
        </w:p>
        <w:p w:rsidR="007C4B61" w:rsidRDefault="00410313">
          <w:pPr>
            <w:pStyle w:val="TOC3"/>
            <w:tabs>
              <w:tab w:val="right" w:leader="dot" w:pos="10790"/>
            </w:tabs>
            <w:rPr>
              <w:noProof/>
              <w:lang w:eastAsia="en-US"/>
            </w:rPr>
          </w:pPr>
          <w:hyperlink w:anchor="_Toc390171141" w:history="1">
            <w:r w:rsidR="007C4B61" w:rsidRPr="00133E52">
              <w:rPr>
                <w:rStyle w:val="Hyperlink"/>
                <w:noProof/>
              </w:rPr>
              <w:t>Demographics: Explanation of Measure</w:t>
            </w:r>
            <w:r w:rsidR="007C4B61">
              <w:rPr>
                <w:noProof/>
                <w:webHidden/>
              </w:rPr>
              <w:tab/>
            </w:r>
            <w:r w:rsidR="007C4B61">
              <w:rPr>
                <w:noProof/>
                <w:webHidden/>
              </w:rPr>
              <w:fldChar w:fldCharType="begin"/>
            </w:r>
            <w:r w:rsidR="007C4B61">
              <w:rPr>
                <w:noProof/>
                <w:webHidden/>
              </w:rPr>
              <w:instrText xml:space="preserve"> PAGEREF _Toc390171141 \h </w:instrText>
            </w:r>
            <w:r w:rsidR="007C4B61">
              <w:rPr>
                <w:noProof/>
                <w:webHidden/>
              </w:rPr>
            </w:r>
            <w:r w:rsidR="007C4B61">
              <w:rPr>
                <w:noProof/>
                <w:webHidden/>
              </w:rPr>
              <w:fldChar w:fldCharType="separate"/>
            </w:r>
            <w:r w:rsidR="007C4B61">
              <w:rPr>
                <w:noProof/>
                <w:webHidden/>
              </w:rPr>
              <w:t>15</w:t>
            </w:r>
            <w:r w:rsidR="007C4B61">
              <w:rPr>
                <w:noProof/>
                <w:webHidden/>
              </w:rPr>
              <w:fldChar w:fldCharType="end"/>
            </w:r>
          </w:hyperlink>
        </w:p>
        <w:p w:rsidR="007C4B61" w:rsidRDefault="00410313">
          <w:pPr>
            <w:pStyle w:val="TOC3"/>
            <w:tabs>
              <w:tab w:val="right" w:leader="dot" w:pos="10790"/>
            </w:tabs>
            <w:rPr>
              <w:noProof/>
              <w:lang w:eastAsia="en-US"/>
            </w:rPr>
          </w:pPr>
          <w:hyperlink w:anchor="_Toc390171142" w:history="1">
            <w:r w:rsidR="007C4B61" w:rsidRPr="00133E52">
              <w:rPr>
                <w:rStyle w:val="Hyperlink"/>
                <w:noProof/>
              </w:rPr>
              <w:t>Demographics: Meaningful Use Measures</w:t>
            </w:r>
            <w:r w:rsidR="007C4B61">
              <w:rPr>
                <w:noProof/>
                <w:webHidden/>
              </w:rPr>
              <w:tab/>
            </w:r>
            <w:r w:rsidR="007C4B61">
              <w:rPr>
                <w:noProof/>
                <w:webHidden/>
              </w:rPr>
              <w:fldChar w:fldCharType="begin"/>
            </w:r>
            <w:r w:rsidR="007C4B61">
              <w:rPr>
                <w:noProof/>
                <w:webHidden/>
              </w:rPr>
              <w:instrText xml:space="preserve"> PAGEREF _Toc390171142 \h </w:instrText>
            </w:r>
            <w:r w:rsidR="007C4B61">
              <w:rPr>
                <w:noProof/>
                <w:webHidden/>
              </w:rPr>
            </w:r>
            <w:r w:rsidR="007C4B61">
              <w:rPr>
                <w:noProof/>
                <w:webHidden/>
              </w:rPr>
              <w:fldChar w:fldCharType="separate"/>
            </w:r>
            <w:r w:rsidR="007C4B61">
              <w:rPr>
                <w:noProof/>
                <w:webHidden/>
              </w:rPr>
              <w:t>16</w:t>
            </w:r>
            <w:r w:rsidR="007C4B61">
              <w:rPr>
                <w:noProof/>
                <w:webHidden/>
              </w:rPr>
              <w:fldChar w:fldCharType="end"/>
            </w:r>
          </w:hyperlink>
        </w:p>
        <w:p w:rsidR="007C4B61" w:rsidRDefault="00410313">
          <w:pPr>
            <w:pStyle w:val="TOC3"/>
            <w:tabs>
              <w:tab w:val="right" w:leader="dot" w:pos="10790"/>
            </w:tabs>
            <w:rPr>
              <w:noProof/>
              <w:lang w:eastAsia="en-US"/>
            </w:rPr>
          </w:pPr>
          <w:hyperlink w:anchor="_Toc390171143" w:history="1">
            <w:r w:rsidR="007C4B61" w:rsidRPr="00133E52">
              <w:rPr>
                <w:rStyle w:val="Hyperlink"/>
                <w:noProof/>
              </w:rPr>
              <w:t>Demographics: Recording of Numerator in Valant</w:t>
            </w:r>
            <w:r w:rsidR="007C4B61">
              <w:rPr>
                <w:noProof/>
                <w:webHidden/>
              </w:rPr>
              <w:tab/>
            </w:r>
            <w:r w:rsidR="007C4B61">
              <w:rPr>
                <w:noProof/>
                <w:webHidden/>
              </w:rPr>
              <w:fldChar w:fldCharType="begin"/>
            </w:r>
            <w:r w:rsidR="007C4B61">
              <w:rPr>
                <w:noProof/>
                <w:webHidden/>
              </w:rPr>
              <w:instrText xml:space="preserve"> PAGEREF _Toc390171143 \h </w:instrText>
            </w:r>
            <w:r w:rsidR="007C4B61">
              <w:rPr>
                <w:noProof/>
                <w:webHidden/>
              </w:rPr>
            </w:r>
            <w:r w:rsidR="007C4B61">
              <w:rPr>
                <w:noProof/>
                <w:webHidden/>
              </w:rPr>
              <w:fldChar w:fldCharType="separate"/>
            </w:r>
            <w:r w:rsidR="007C4B61">
              <w:rPr>
                <w:noProof/>
                <w:webHidden/>
              </w:rPr>
              <w:t>17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44" w:history="1">
            <w:r w:rsidR="007C4B61" w:rsidRPr="00133E52">
              <w:rPr>
                <w:rStyle w:val="Hyperlink"/>
                <w:noProof/>
              </w:rPr>
              <w:t>Date of Birth</w:t>
            </w:r>
            <w:r w:rsidR="007C4B61">
              <w:rPr>
                <w:noProof/>
                <w:webHidden/>
              </w:rPr>
              <w:tab/>
            </w:r>
            <w:r w:rsidR="007C4B61">
              <w:rPr>
                <w:noProof/>
                <w:webHidden/>
              </w:rPr>
              <w:fldChar w:fldCharType="begin"/>
            </w:r>
            <w:r w:rsidR="007C4B61">
              <w:rPr>
                <w:noProof/>
                <w:webHidden/>
              </w:rPr>
              <w:instrText xml:space="preserve"> PAGEREF _Toc390171144 \h </w:instrText>
            </w:r>
            <w:r w:rsidR="007C4B61">
              <w:rPr>
                <w:noProof/>
                <w:webHidden/>
              </w:rPr>
            </w:r>
            <w:r w:rsidR="007C4B61">
              <w:rPr>
                <w:noProof/>
                <w:webHidden/>
              </w:rPr>
              <w:fldChar w:fldCharType="separate"/>
            </w:r>
            <w:r w:rsidR="007C4B61">
              <w:rPr>
                <w:noProof/>
                <w:webHidden/>
              </w:rPr>
              <w:t>17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45" w:history="1">
            <w:r w:rsidR="007C4B61" w:rsidRPr="00133E52">
              <w:rPr>
                <w:rStyle w:val="Hyperlink"/>
                <w:noProof/>
              </w:rPr>
              <w:t>Sex</w:t>
            </w:r>
            <w:r w:rsidR="007C4B61">
              <w:rPr>
                <w:noProof/>
                <w:webHidden/>
              </w:rPr>
              <w:tab/>
            </w:r>
            <w:r w:rsidR="007C4B61">
              <w:rPr>
                <w:noProof/>
                <w:webHidden/>
              </w:rPr>
              <w:fldChar w:fldCharType="begin"/>
            </w:r>
            <w:r w:rsidR="007C4B61">
              <w:rPr>
                <w:noProof/>
                <w:webHidden/>
              </w:rPr>
              <w:instrText xml:space="preserve"> PAGEREF _Toc390171145 \h </w:instrText>
            </w:r>
            <w:r w:rsidR="007C4B61">
              <w:rPr>
                <w:noProof/>
                <w:webHidden/>
              </w:rPr>
            </w:r>
            <w:r w:rsidR="007C4B61">
              <w:rPr>
                <w:noProof/>
                <w:webHidden/>
              </w:rPr>
              <w:fldChar w:fldCharType="separate"/>
            </w:r>
            <w:r w:rsidR="007C4B61">
              <w:rPr>
                <w:noProof/>
                <w:webHidden/>
              </w:rPr>
              <w:t>18</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46" w:history="1">
            <w:r w:rsidR="007C4B61" w:rsidRPr="00133E52">
              <w:rPr>
                <w:rStyle w:val="Hyperlink"/>
                <w:noProof/>
              </w:rPr>
              <w:t>Preferred Language</w:t>
            </w:r>
            <w:r w:rsidR="007C4B61">
              <w:rPr>
                <w:noProof/>
                <w:webHidden/>
              </w:rPr>
              <w:tab/>
            </w:r>
            <w:r w:rsidR="007C4B61">
              <w:rPr>
                <w:noProof/>
                <w:webHidden/>
              </w:rPr>
              <w:fldChar w:fldCharType="begin"/>
            </w:r>
            <w:r w:rsidR="007C4B61">
              <w:rPr>
                <w:noProof/>
                <w:webHidden/>
              </w:rPr>
              <w:instrText xml:space="preserve"> PAGEREF _Toc390171146 \h </w:instrText>
            </w:r>
            <w:r w:rsidR="007C4B61">
              <w:rPr>
                <w:noProof/>
                <w:webHidden/>
              </w:rPr>
            </w:r>
            <w:r w:rsidR="007C4B61">
              <w:rPr>
                <w:noProof/>
                <w:webHidden/>
              </w:rPr>
              <w:fldChar w:fldCharType="separate"/>
            </w:r>
            <w:r w:rsidR="007C4B61">
              <w:rPr>
                <w:noProof/>
                <w:webHidden/>
              </w:rPr>
              <w:t>18</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47" w:history="1">
            <w:r w:rsidR="007C4B61" w:rsidRPr="00133E52">
              <w:rPr>
                <w:rStyle w:val="Hyperlink"/>
                <w:noProof/>
              </w:rPr>
              <w:t>Race</w:t>
            </w:r>
            <w:r w:rsidR="007C4B61">
              <w:rPr>
                <w:noProof/>
                <w:webHidden/>
              </w:rPr>
              <w:tab/>
            </w:r>
            <w:r w:rsidR="007C4B61">
              <w:rPr>
                <w:noProof/>
                <w:webHidden/>
              </w:rPr>
              <w:fldChar w:fldCharType="begin"/>
            </w:r>
            <w:r w:rsidR="007C4B61">
              <w:rPr>
                <w:noProof/>
                <w:webHidden/>
              </w:rPr>
              <w:instrText xml:space="preserve"> PAGEREF _Toc390171147 \h </w:instrText>
            </w:r>
            <w:r w:rsidR="007C4B61">
              <w:rPr>
                <w:noProof/>
                <w:webHidden/>
              </w:rPr>
            </w:r>
            <w:r w:rsidR="007C4B61">
              <w:rPr>
                <w:noProof/>
                <w:webHidden/>
              </w:rPr>
              <w:fldChar w:fldCharType="separate"/>
            </w:r>
            <w:r w:rsidR="007C4B61">
              <w:rPr>
                <w:noProof/>
                <w:webHidden/>
              </w:rPr>
              <w:t>19</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48" w:history="1">
            <w:r w:rsidR="007C4B61" w:rsidRPr="00133E52">
              <w:rPr>
                <w:rStyle w:val="Hyperlink"/>
                <w:noProof/>
              </w:rPr>
              <w:t>Ethnicity</w:t>
            </w:r>
            <w:r w:rsidR="007C4B61">
              <w:rPr>
                <w:noProof/>
                <w:webHidden/>
              </w:rPr>
              <w:tab/>
            </w:r>
            <w:r w:rsidR="007C4B61">
              <w:rPr>
                <w:noProof/>
                <w:webHidden/>
              </w:rPr>
              <w:fldChar w:fldCharType="begin"/>
            </w:r>
            <w:r w:rsidR="007C4B61">
              <w:rPr>
                <w:noProof/>
                <w:webHidden/>
              </w:rPr>
              <w:instrText xml:space="preserve"> PAGEREF _Toc390171148 \h </w:instrText>
            </w:r>
            <w:r w:rsidR="007C4B61">
              <w:rPr>
                <w:noProof/>
                <w:webHidden/>
              </w:rPr>
            </w:r>
            <w:r w:rsidR="007C4B61">
              <w:rPr>
                <w:noProof/>
                <w:webHidden/>
              </w:rPr>
              <w:fldChar w:fldCharType="separate"/>
            </w:r>
            <w:r w:rsidR="007C4B61">
              <w:rPr>
                <w:noProof/>
                <w:webHidden/>
              </w:rPr>
              <w:t>20</w:t>
            </w:r>
            <w:r w:rsidR="007C4B61">
              <w:rPr>
                <w:noProof/>
                <w:webHidden/>
              </w:rPr>
              <w:fldChar w:fldCharType="end"/>
            </w:r>
          </w:hyperlink>
        </w:p>
        <w:p w:rsidR="007C4B61" w:rsidRDefault="00410313">
          <w:pPr>
            <w:pStyle w:val="TOC2"/>
            <w:rPr>
              <w:rFonts w:eastAsiaTheme="minorEastAsia"/>
              <w:b w:val="0"/>
              <w:lang w:eastAsia="en-US"/>
            </w:rPr>
          </w:pPr>
          <w:hyperlink w:anchor="_Toc390171149" w:history="1">
            <w:r w:rsidR="007C4B61" w:rsidRPr="00133E52">
              <w:rPr>
                <w:rStyle w:val="Hyperlink"/>
              </w:rPr>
              <w:t>Stage 2 - Core #4: Vital Signs</w:t>
            </w:r>
            <w:r w:rsidR="007C4B61">
              <w:rPr>
                <w:webHidden/>
              </w:rPr>
              <w:tab/>
            </w:r>
            <w:r w:rsidR="007C4B61">
              <w:rPr>
                <w:webHidden/>
              </w:rPr>
              <w:fldChar w:fldCharType="begin"/>
            </w:r>
            <w:r w:rsidR="007C4B61">
              <w:rPr>
                <w:webHidden/>
              </w:rPr>
              <w:instrText xml:space="preserve"> PAGEREF _Toc390171149 \h </w:instrText>
            </w:r>
            <w:r w:rsidR="007C4B61">
              <w:rPr>
                <w:webHidden/>
              </w:rPr>
            </w:r>
            <w:r w:rsidR="007C4B61">
              <w:rPr>
                <w:webHidden/>
              </w:rPr>
              <w:fldChar w:fldCharType="separate"/>
            </w:r>
            <w:r w:rsidR="007C4B61">
              <w:rPr>
                <w:webHidden/>
              </w:rPr>
              <w:t>21</w:t>
            </w:r>
            <w:r w:rsidR="007C4B61">
              <w:rPr>
                <w:webHidden/>
              </w:rPr>
              <w:fldChar w:fldCharType="end"/>
            </w:r>
          </w:hyperlink>
        </w:p>
        <w:p w:rsidR="007C4B61" w:rsidRDefault="00410313">
          <w:pPr>
            <w:pStyle w:val="TOC3"/>
            <w:tabs>
              <w:tab w:val="right" w:leader="dot" w:pos="10790"/>
            </w:tabs>
            <w:rPr>
              <w:noProof/>
              <w:lang w:eastAsia="en-US"/>
            </w:rPr>
          </w:pPr>
          <w:hyperlink w:anchor="_Toc390171150" w:history="1">
            <w:r w:rsidR="007C4B61" w:rsidRPr="00133E52">
              <w:rPr>
                <w:rStyle w:val="Hyperlink"/>
                <w:noProof/>
              </w:rPr>
              <w:t>Vital Signs: Explanation of Measure</w:t>
            </w:r>
            <w:r w:rsidR="007C4B61">
              <w:rPr>
                <w:noProof/>
                <w:webHidden/>
              </w:rPr>
              <w:tab/>
            </w:r>
            <w:r w:rsidR="007C4B61">
              <w:rPr>
                <w:noProof/>
                <w:webHidden/>
              </w:rPr>
              <w:fldChar w:fldCharType="begin"/>
            </w:r>
            <w:r w:rsidR="007C4B61">
              <w:rPr>
                <w:noProof/>
                <w:webHidden/>
              </w:rPr>
              <w:instrText xml:space="preserve"> PAGEREF _Toc390171150 \h </w:instrText>
            </w:r>
            <w:r w:rsidR="007C4B61">
              <w:rPr>
                <w:noProof/>
                <w:webHidden/>
              </w:rPr>
            </w:r>
            <w:r w:rsidR="007C4B61">
              <w:rPr>
                <w:noProof/>
                <w:webHidden/>
              </w:rPr>
              <w:fldChar w:fldCharType="separate"/>
            </w:r>
            <w:r w:rsidR="007C4B61">
              <w:rPr>
                <w:noProof/>
                <w:webHidden/>
              </w:rPr>
              <w:t>22</w:t>
            </w:r>
            <w:r w:rsidR="007C4B61">
              <w:rPr>
                <w:noProof/>
                <w:webHidden/>
              </w:rPr>
              <w:fldChar w:fldCharType="end"/>
            </w:r>
          </w:hyperlink>
        </w:p>
        <w:p w:rsidR="007C4B61" w:rsidRDefault="00410313">
          <w:pPr>
            <w:pStyle w:val="TOC3"/>
            <w:tabs>
              <w:tab w:val="right" w:leader="dot" w:pos="10790"/>
            </w:tabs>
            <w:rPr>
              <w:noProof/>
              <w:lang w:eastAsia="en-US"/>
            </w:rPr>
          </w:pPr>
          <w:hyperlink w:anchor="_Toc390171151" w:history="1">
            <w:r w:rsidR="007C4B61" w:rsidRPr="00133E52">
              <w:rPr>
                <w:rStyle w:val="Hyperlink"/>
                <w:noProof/>
              </w:rPr>
              <w:t>Vital Signs: Meaningful Use Measures</w:t>
            </w:r>
            <w:r w:rsidR="007C4B61">
              <w:rPr>
                <w:noProof/>
                <w:webHidden/>
              </w:rPr>
              <w:tab/>
            </w:r>
            <w:r w:rsidR="007C4B61">
              <w:rPr>
                <w:noProof/>
                <w:webHidden/>
              </w:rPr>
              <w:fldChar w:fldCharType="begin"/>
            </w:r>
            <w:r w:rsidR="007C4B61">
              <w:rPr>
                <w:noProof/>
                <w:webHidden/>
              </w:rPr>
              <w:instrText xml:space="preserve"> PAGEREF _Toc390171151 \h </w:instrText>
            </w:r>
            <w:r w:rsidR="007C4B61">
              <w:rPr>
                <w:noProof/>
                <w:webHidden/>
              </w:rPr>
            </w:r>
            <w:r w:rsidR="007C4B61">
              <w:rPr>
                <w:noProof/>
                <w:webHidden/>
              </w:rPr>
              <w:fldChar w:fldCharType="separate"/>
            </w:r>
            <w:r w:rsidR="007C4B61">
              <w:rPr>
                <w:noProof/>
                <w:webHidden/>
              </w:rPr>
              <w:t>23</w:t>
            </w:r>
            <w:r w:rsidR="007C4B61">
              <w:rPr>
                <w:noProof/>
                <w:webHidden/>
              </w:rPr>
              <w:fldChar w:fldCharType="end"/>
            </w:r>
          </w:hyperlink>
        </w:p>
        <w:p w:rsidR="007C4B61" w:rsidRDefault="00410313">
          <w:pPr>
            <w:pStyle w:val="TOC3"/>
            <w:tabs>
              <w:tab w:val="right" w:leader="dot" w:pos="10790"/>
            </w:tabs>
            <w:rPr>
              <w:noProof/>
              <w:lang w:eastAsia="en-US"/>
            </w:rPr>
          </w:pPr>
          <w:hyperlink w:anchor="_Toc390171152" w:history="1">
            <w:r w:rsidR="007C4B61" w:rsidRPr="00133E52">
              <w:rPr>
                <w:rStyle w:val="Hyperlink"/>
                <w:noProof/>
              </w:rPr>
              <w:t>Vital Signs: Recording of Numerator in Valant</w:t>
            </w:r>
            <w:r w:rsidR="007C4B61">
              <w:rPr>
                <w:noProof/>
                <w:webHidden/>
              </w:rPr>
              <w:tab/>
            </w:r>
            <w:r w:rsidR="007C4B61">
              <w:rPr>
                <w:noProof/>
                <w:webHidden/>
              </w:rPr>
              <w:fldChar w:fldCharType="begin"/>
            </w:r>
            <w:r w:rsidR="007C4B61">
              <w:rPr>
                <w:noProof/>
                <w:webHidden/>
              </w:rPr>
              <w:instrText xml:space="preserve"> PAGEREF _Toc390171152 \h </w:instrText>
            </w:r>
            <w:r w:rsidR="007C4B61">
              <w:rPr>
                <w:noProof/>
                <w:webHidden/>
              </w:rPr>
            </w:r>
            <w:r w:rsidR="007C4B61">
              <w:rPr>
                <w:noProof/>
                <w:webHidden/>
              </w:rPr>
              <w:fldChar w:fldCharType="separate"/>
            </w:r>
            <w:r w:rsidR="007C4B61">
              <w:rPr>
                <w:noProof/>
                <w:webHidden/>
              </w:rPr>
              <w:t>24</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53" w:history="1">
            <w:r w:rsidR="007C4B61" w:rsidRPr="00133E52">
              <w:rPr>
                <w:rStyle w:val="Hyperlink"/>
                <w:noProof/>
              </w:rPr>
              <w:t>Vital Signs: Patient Chart &gt; Measurements</w:t>
            </w:r>
            <w:r w:rsidR="007C4B61">
              <w:rPr>
                <w:noProof/>
                <w:webHidden/>
              </w:rPr>
              <w:tab/>
            </w:r>
            <w:r w:rsidR="007C4B61">
              <w:rPr>
                <w:noProof/>
                <w:webHidden/>
              </w:rPr>
              <w:fldChar w:fldCharType="begin"/>
            </w:r>
            <w:r w:rsidR="007C4B61">
              <w:rPr>
                <w:noProof/>
                <w:webHidden/>
              </w:rPr>
              <w:instrText xml:space="preserve"> PAGEREF _Toc390171153 \h </w:instrText>
            </w:r>
            <w:r w:rsidR="007C4B61">
              <w:rPr>
                <w:noProof/>
                <w:webHidden/>
              </w:rPr>
            </w:r>
            <w:r w:rsidR="007C4B61">
              <w:rPr>
                <w:noProof/>
                <w:webHidden/>
              </w:rPr>
              <w:fldChar w:fldCharType="separate"/>
            </w:r>
            <w:r w:rsidR="007C4B61">
              <w:rPr>
                <w:noProof/>
                <w:webHidden/>
              </w:rPr>
              <w:t>24</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54" w:history="1">
            <w:r w:rsidR="007C4B61" w:rsidRPr="00133E52">
              <w:rPr>
                <w:rStyle w:val="Hyperlink"/>
                <w:noProof/>
              </w:rPr>
              <w:t>Vital Signs: Mobile Notes</w:t>
            </w:r>
            <w:r w:rsidR="007C4B61">
              <w:rPr>
                <w:noProof/>
                <w:webHidden/>
              </w:rPr>
              <w:tab/>
            </w:r>
            <w:r w:rsidR="007C4B61">
              <w:rPr>
                <w:noProof/>
                <w:webHidden/>
              </w:rPr>
              <w:fldChar w:fldCharType="begin"/>
            </w:r>
            <w:r w:rsidR="007C4B61">
              <w:rPr>
                <w:noProof/>
                <w:webHidden/>
              </w:rPr>
              <w:instrText xml:space="preserve"> PAGEREF _Toc390171154 \h </w:instrText>
            </w:r>
            <w:r w:rsidR="007C4B61">
              <w:rPr>
                <w:noProof/>
                <w:webHidden/>
              </w:rPr>
            </w:r>
            <w:r w:rsidR="007C4B61">
              <w:rPr>
                <w:noProof/>
                <w:webHidden/>
              </w:rPr>
              <w:fldChar w:fldCharType="separate"/>
            </w:r>
            <w:r w:rsidR="007C4B61">
              <w:rPr>
                <w:noProof/>
                <w:webHidden/>
              </w:rPr>
              <w:t>25</w:t>
            </w:r>
            <w:r w:rsidR="007C4B61">
              <w:rPr>
                <w:noProof/>
                <w:webHidden/>
              </w:rPr>
              <w:fldChar w:fldCharType="end"/>
            </w:r>
          </w:hyperlink>
        </w:p>
        <w:p w:rsidR="007C4B61" w:rsidRDefault="00410313">
          <w:pPr>
            <w:pStyle w:val="TOC2"/>
            <w:rPr>
              <w:rFonts w:eastAsiaTheme="minorEastAsia"/>
              <w:b w:val="0"/>
              <w:lang w:eastAsia="en-US"/>
            </w:rPr>
          </w:pPr>
          <w:hyperlink w:anchor="_Toc390171155" w:history="1">
            <w:r w:rsidR="007C4B61" w:rsidRPr="00133E52">
              <w:rPr>
                <w:rStyle w:val="Hyperlink"/>
              </w:rPr>
              <w:t>Stage 2 - Core #5: Smoking Status</w:t>
            </w:r>
            <w:r w:rsidR="007C4B61">
              <w:rPr>
                <w:webHidden/>
              </w:rPr>
              <w:tab/>
            </w:r>
            <w:r w:rsidR="007C4B61">
              <w:rPr>
                <w:webHidden/>
              </w:rPr>
              <w:fldChar w:fldCharType="begin"/>
            </w:r>
            <w:r w:rsidR="007C4B61">
              <w:rPr>
                <w:webHidden/>
              </w:rPr>
              <w:instrText xml:space="preserve"> PAGEREF _Toc390171155 \h </w:instrText>
            </w:r>
            <w:r w:rsidR="007C4B61">
              <w:rPr>
                <w:webHidden/>
              </w:rPr>
            </w:r>
            <w:r w:rsidR="007C4B61">
              <w:rPr>
                <w:webHidden/>
              </w:rPr>
              <w:fldChar w:fldCharType="separate"/>
            </w:r>
            <w:r w:rsidR="007C4B61">
              <w:rPr>
                <w:webHidden/>
              </w:rPr>
              <w:t>26</w:t>
            </w:r>
            <w:r w:rsidR="007C4B61">
              <w:rPr>
                <w:webHidden/>
              </w:rPr>
              <w:fldChar w:fldCharType="end"/>
            </w:r>
          </w:hyperlink>
        </w:p>
        <w:p w:rsidR="007C4B61" w:rsidRDefault="00410313">
          <w:pPr>
            <w:pStyle w:val="TOC3"/>
            <w:tabs>
              <w:tab w:val="right" w:leader="dot" w:pos="10790"/>
            </w:tabs>
            <w:rPr>
              <w:noProof/>
              <w:lang w:eastAsia="en-US"/>
            </w:rPr>
          </w:pPr>
          <w:hyperlink w:anchor="_Toc390171156" w:history="1">
            <w:r w:rsidR="007C4B61" w:rsidRPr="00133E52">
              <w:rPr>
                <w:rStyle w:val="Hyperlink"/>
                <w:noProof/>
              </w:rPr>
              <w:t>Smoking Status: Explanation of Measure</w:t>
            </w:r>
            <w:r w:rsidR="007C4B61">
              <w:rPr>
                <w:noProof/>
                <w:webHidden/>
              </w:rPr>
              <w:tab/>
            </w:r>
            <w:r w:rsidR="007C4B61">
              <w:rPr>
                <w:noProof/>
                <w:webHidden/>
              </w:rPr>
              <w:fldChar w:fldCharType="begin"/>
            </w:r>
            <w:r w:rsidR="007C4B61">
              <w:rPr>
                <w:noProof/>
                <w:webHidden/>
              </w:rPr>
              <w:instrText xml:space="preserve"> PAGEREF _Toc390171156 \h </w:instrText>
            </w:r>
            <w:r w:rsidR="007C4B61">
              <w:rPr>
                <w:noProof/>
                <w:webHidden/>
              </w:rPr>
            </w:r>
            <w:r w:rsidR="007C4B61">
              <w:rPr>
                <w:noProof/>
                <w:webHidden/>
              </w:rPr>
              <w:fldChar w:fldCharType="separate"/>
            </w:r>
            <w:r w:rsidR="007C4B61">
              <w:rPr>
                <w:noProof/>
                <w:webHidden/>
              </w:rPr>
              <w:t>26</w:t>
            </w:r>
            <w:r w:rsidR="007C4B61">
              <w:rPr>
                <w:noProof/>
                <w:webHidden/>
              </w:rPr>
              <w:fldChar w:fldCharType="end"/>
            </w:r>
          </w:hyperlink>
        </w:p>
        <w:p w:rsidR="007C4B61" w:rsidRDefault="00410313">
          <w:pPr>
            <w:pStyle w:val="TOC3"/>
            <w:tabs>
              <w:tab w:val="right" w:leader="dot" w:pos="10790"/>
            </w:tabs>
            <w:rPr>
              <w:noProof/>
              <w:lang w:eastAsia="en-US"/>
            </w:rPr>
          </w:pPr>
          <w:hyperlink w:anchor="_Toc390171157" w:history="1">
            <w:r w:rsidR="007C4B61" w:rsidRPr="00133E52">
              <w:rPr>
                <w:rStyle w:val="Hyperlink"/>
                <w:noProof/>
              </w:rPr>
              <w:t>Smoking Status: Meaningful Use Measures</w:t>
            </w:r>
            <w:r w:rsidR="007C4B61">
              <w:rPr>
                <w:noProof/>
                <w:webHidden/>
              </w:rPr>
              <w:tab/>
            </w:r>
            <w:r w:rsidR="007C4B61">
              <w:rPr>
                <w:noProof/>
                <w:webHidden/>
              </w:rPr>
              <w:fldChar w:fldCharType="begin"/>
            </w:r>
            <w:r w:rsidR="007C4B61">
              <w:rPr>
                <w:noProof/>
                <w:webHidden/>
              </w:rPr>
              <w:instrText xml:space="preserve"> PAGEREF _Toc390171157 \h </w:instrText>
            </w:r>
            <w:r w:rsidR="007C4B61">
              <w:rPr>
                <w:noProof/>
                <w:webHidden/>
              </w:rPr>
            </w:r>
            <w:r w:rsidR="007C4B61">
              <w:rPr>
                <w:noProof/>
                <w:webHidden/>
              </w:rPr>
              <w:fldChar w:fldCharType="separate"/>
            </w:r>
            <w:r w:rsidR="007C4B61">
              <w:rPr>
                <w:noProof/>
                <w:webHidden/>
              </w:rPr>
              <w:t>27</w:t>
            </w:r>
            <w:r w:rsidR="007C4B61">
              <w:rPr>
                <w:noProof/>
                <w:webHidden/>
              </w:rPr>
              <w:fldChar w:fldCharType="end"/>
            </w:r>
          </w:hyperlink>
        </w:p>
        <w:p w:rsidR="007C4B61" w:rsidRDefault="00410313">
          <w:pPr>
            <w:pStyle w:val="TOC3"/>
            <w:tabs>
              <w:tab w:val="right" w:leader="dot" w:pos="10790"/>
            </w:tabs>
            <w:rPr>
              <w:noProof/>
              <w:lang w:eastAsia="en-US"/>
            </w:rPr>
          </w:pPr>
          <w:hyperlink w:anchor="_Toc390171158" w:history="1">
            <w:r w:rsidR="007C4B61" w:rsidRPr="00133E52">
              <w:rPr>
                <w:rStyle w:val="Hyperlink"/>
                <w:noProof/>
              </w:rPr>
              <w:t>Smoking Status: Recording of Numerator in Valant</w:t>
            </w:r>
            <w:r w:rsidR="007C4B61">
              <w:rPr>
                <w:noProof/>
                <w:webHidden/>
              </w:rPr>
              <w:tab/>
            </w:r>
            <w:r w:rsidR="007C4B61">
              <w:rPr>
                <w:noProof/>
                <w:webHidden/>
              </w:rPr>
              <w:fldChar w:fldCharType="begin"/>
            </w:r>
            <w:r w:rsidR="007C4B61">
              <w:rPr>
                <w:noProof/>
                <w:webHidden/>
              </w:rPr>
              <w:instrText xml:space="preserve"> PAGEREF _Toc390171158 \h </w:instrText>
            </w:r>
            <w:r w:rsidR="007C4B61">
              <w:rPr>
                <w:noProof/>
                <w:webHidden/>
              </w:rPr>
            </w:r>
            <w:r w:rsidR="007C4B61">
              <w:rPr>
                <w:noProof/>
                <w:webHidden/>
              </w:rPr>
              <w:fldChar w:fldCharType="separate"/>
            </w:r>
            <w:r w:rsidR="007C4B61">
              <w:rPr>
                <w:noProof/>
                <w:webHidden/>
              </w:rPr>
              <w:t>28</w:t>
            </w:r>
            <w:r w:rsidR="007C4B61">
              <w:rPr>
                <w:noProof/>
                <w:webHidden/>
              </w:rPr>
              <w:fldChar w:fldCharType="end"/>
            </w:r>
          </w:hyperlink>
        </w:p>
        <w:p w:rsidR="007C4B61" w:rsidRDefault="00410313">
          <w:pPr>
            <w:pStyle w:val="TOC2"/>
            <w:rPr>
              <w:rFonts w:eastAsiaTheme="minorEastAsia"/>
              <w:b w:val="0"/>
              <w:lang w:eastAsia="en-US"/>
            </w:rPr>
          </w:pPr>
          <w:hyperlink w:anchor="_Toc390171159" w:history="1">
            <w:r w:rsidR="007C4B61" w:rsidRPr="00133E52">
              <w:rPr>
                <w:rStyle w:val="Hyperlink"/>
              </w:rPr>
              <w:t>Stage 2 - Core #6: Clinical Decision Support (CDS)</w:t>
            </w:r>
            <w:r w:rsidR="007C4B61">
              <w:rPr>
                <w:webHidden/>
              </w:rPr>
              <w:tab/>
            </w:r>
            <w:r w:rsidR="007C4B61">
              <w:rPr>
                <w:webHidden/>
              </w:rPr>
              <w:fldChar w:fldCharType="begin"/>
            </w:r>
            <w:r w:rsidR="007C4B61">
              <w:rPr>
                <w:webHidden/>
              </w:rPr>
              <w:instrText xml:space="preserve"> PAGEREF _Toc390171159 \h </w:instrText>
            </w:r>
            <w:r w:rsidR="007C4B61">
              <w:rPr>
                <w:webHidden/>
              </w:rPr>
            </w:r>
            <w:r w:rsidR="007C4B61">
              <w:rPr>
                <w:webHidden/>
              </w:rPr>
              <w:fldChar w:fldCharType="separate"/>
            </w:r>
            <w:r w:rsidR="007C4B61">
              <w:rPr>
                <w:webHidden/>
              </w:rPr>
              <w:t>31</w:t>
            </w:r>
            <w:r w:rsidR="007C4B61">
              <w:rPr>
                <w:webHidden/>
              </w:rPr>
              <w:fldChar w:fldCharType="end"/>
            </w:r>
          </w:hyperlink>
        </w:p>
        <w:p w:rsidR="007C4B61" w:rsidRDefault="00410313">
          <w:pPr>
            <w:pStyle w:val="TOC3"/>
            <w:tabs>
              <w:tab w:val="right" w:leader="dot" w:pos="10790"/>
            </w:tabs>
            <w:rPr>
              <w:noProof/>
              <w:lang w:eastAsia="en-US"/>
            </w:rPr>
          </w:pPr>
          <w:hyperlink w:anchor="_Toc390171160" w:history="1">
            <w:r w:rsidR="007C4B61" w:rsidRPr="00133E52">
              <w:rPr>
                <w:rStyle w:val="Hyperlink"/>
                <w:noProof/>
              </w:rPr>
              <w:t>Clinical Decision Support: Explanation of Measure</w:t>
            </w:r>
            <w:r w:rsidR="007C4B61">
              <w:rPr>
                <w:noProof/>
                <w:webHidden/>
              </w:rPr>
              <w:tab/>
            </w:r>
            <w:r w:rsidR="007C4B61">
              <w:rPr>
                <w:noProof/>
                <w:webHidden/>
              </w:rPr>
              <w:fldChar w:fldCharType="begin"/>
            </w:r>
            <w:r w:rsidR="007C4B61">
              <w:rPr>
                <w:noProof/>
                <w:webHidden/>
              </w:rPr>
              <w:instrText xml:space="preserve"> PAGEREF _Toc390171160 \h </w:instrText>
            </w:r>
            <w:r w:rsidR="007C4B61">
              <w:rPr>
                <w:noProof/>
                <w:webHidden/>
              </w:rPr>
            </w:r>
            <w:r w:rsidR="007C4B61">
              <w:rPr>
                <w:noProof/>
                <w:webHidden/>
              </w:rPr>
              <w:fldChar w:fldCharType="separate"/>
            </w:r>
            <w:r w:rsidR="007C4B61">
              <w:rPr>
                <w:noProof/>
                <w:webHidden/>
              </w:rPr>
              <w:t>31</w:t>
            </w:r>
            <w:r w:rsidR="007C4B61">
              <w:rPr>
                <w:noProof/>
                <w:webHidden/>
              </w:rPr>
              <w:fldChar w:fldCharType="end"/>
            </w:r>
          </w:hyperlink>
        </w:p>
        <w:p w:rsidR="007C4B61" w:rsidRDefault="00410313">
          <w:pPr>
            <w:pStyle w:val="TOC3"/>
            <w:tabs>
              <w:tab w:val="right" w:leader="dot" w:pos="10790"/>
            </w:tabs>
            <w:rPr>
              <w:noProof/>
              <w:lang w:eastAsia="en-US"/>
            </w:rPr>
          </w:pPr>
          <w:hyperlink w:anchor="_Toc390171161" w:history="1">
            <w:r w:rsidR="007C4B61" w:rsidRPr="00133E52">
              <w:rPr>
                <w:rStyle w:val="Hyperlink"/>
                <w:noProof/>
              </w:rPr>
              <w:t>Clinical Decision Support: Recording of Numerator in Valant</w:t>
            </w:r>
            <w:r w:rsidR="007C4B61">
              <w:rPr>
                <w:noProof/>
                <w:webHidden/>
              </w:rPr>
              <w:tab/>
            </w:r>
            <w:r w:rsidR="007C4B61">
              <w:rPr>
                <w:noProof/>
                <w:webHidden/>
              </w:rPr>
              <w:fldChar w:fldCharType="begin"/>
            </w:r>
            <w:r w:rsidR="007C4B61">
              <w:rPr>
                <w:noProof/>
                <w:webHidden/>
              </w:rPr>
              <w:instrText xml:space="preserve"> PAGEREF _Toc390171161 \h </w:instrText>
            </w:r>
            <w:r w:rsidR="007C4B61">
              <w:rPr>
                <w:noProof/>
                <w:webHidden/>
              </w:rPr>
            </w:r>
            <w:r w:rsidR="007C4B61">
              <w:rPr>
                <w:noProof/>
                <w:webHidden/>
              </w:rPr>
              <w:fldChar w:fldCharType="separate"/>
            </w:r>
            <w:r w:rsidR="007C4B61">
              <w:rPr>
                <w:noProof/>
                <w:webHidden/>
              </w:rPr>
              <w:t>32</w:t>
            </w:r>
            <w:r w:rsidR="007C4B61">
              <w:rPr>
                <w:noProof/>
                <w:webHidden/>
              </w:rPr>
              <w:fldChar w:fldCharType="end"/>
            </w:r>
          </w:hyperlink>
        </w:p>
        <w:p w:rsidR="007C4B61" w:rsidRDefault="00410313">
          <w:pPr>
            <w:pStyle w:val="TOC2"/>
            <w:rPr>
              <w:rFonts w:eastAsiaTheme="minorEastAsia"/>
              <w:b w:val="0"/>
              <w:lang w:eastAsia="en-US"/>
            </w:rPr>
          </w:pPr>
          <w:hyperlink w:anchor="_Toc390171162" w:history="1">
            <w:r w:rsidR="007C4B61" w:rsidRPr="00133E52">
              <w:rPr>
                <w:rStyle w:val="Hyperlink"/>
              </w:rPr>
              <w:t>Stage 2 - Core #7: Patient Electronic Access</w:t>
            </w:r>
            <w:r w:rsidR="007C4B61">
              <w:rPr>
                <w:webHidden/>
              </w:rPr>
              <w:tab/>
            </w:r>
            <w:r w:rsidR="007C4B61">
              <w:rPr>
                <w:webHidden/>
              </w:rPr>
              <w:fldChar w:fldCharType="begin"/>
            </w:r>
            <w:r w:rsidR="007C4B61">
              <w:rPr>
                <w:webHidden/>
              </w:rPr>
              <w:instrText xml:space="preserve"> PAGEREF _Toc390171162 \h </w:instrText>
            </w:r>
            <w:r w:rsidR="007C4B61">
              <w:rPr>
                <w:webHidden/>
              </w:rPr>
            </w:r>
            <w:r w:rsidR="007C4B61">
              <w:rPr>
                <w:webHidden/>
              </w:rPr>
              <w:fldChar w:fldCharType="separate"/>
            </w:r>
            <w:r w:rsidR="007C4B61">
              <w:rPr>
                <w:webHidden/>
              </w:rPr>
              <w:t>34</w:t>
            </w:r>
            <w:r w:rsidR="007C4B61">
              <w:rPr>
                <w:webHidden/>
              </w:rPr>
              <w:fldChar w:fldCharType="end"/>
            </w:r>
          </w:hyperlink>
        </w:p>
        <w:p w:rsidR="007C4B61" w:rsidRDefault="00410313">
          <w:pPr>
            <w:pStyle w:val="TOC3"/>
            <w:tabs>
              <w:tab w:val="right" w:leader="dot" w:pos="10790"/>
            </w:tabs>
            <w:rPr>
              <w:noProof/>
              <w:lang w:eastAsia="en-US"/>
            </w:rPr>
          </w:pPr>
          <w:hyperlink w:anchor="_Toc390171163" w:history="1">
            <w:r w:rsidR="007C4B61" w:rsidRPr="00133E52">
              <w:rPr>
                <w:rStyle w:val="Hyperlink"/>
                <w:noProof/>
              </w:rPr>
              <w:t>Patient Electronic Access: Explanation of Measure</w:t>
            </w:r>
            <w:r w:rsidR="007C4B61">
              <w:rPr>
                <w:noProof/>
                <w:webHidden/>
              </w:rPr>
              <w:tab/>
            </w:r>
            <w:r w:rsidR="007C4B61">
              <w:rPr>
                <w:noProof/>
                <w:webHidden/>
              </w:rPr>
              <w:fldChar w:fldCharType="begin"/>
            </w:r>
            <w:r w:rsidR="007C4B61">
              <w:rPr>
                <w:noProof/>
                <w:webHidden/>
              </w:rPr>
              <w:instrText xml:space="preserve"> PAGEREF _Toc390171163 \h </w:instrText>
            </w:r>
            <w:r w:rsidR="007C4B61">
              <w:rPr>
                <w:noProof/>
                <w:webHidden/>
              </w:rPr>
            </w:r>
            <w:r w:rsidR="007C4B61">
              <w:rPr>
                <w:noProof/>
                <w:webHidden/>
              </w:rPr>
              <w:fldChar w:fldCharType="separate"/>
            </w:r>
            <w:r w:rsidR="007C4B61">
              <w:rPr>
                <w:noProof/>
                <w:webHidden/>
              </w:rPr>
              <w:t>35</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64" w:history="1">
            <w:r w:rsidR="007C4B61" w:rsidRPr="00133E52">
              <w:rPr>
                <w:rStyle w:val="Hyperlink"/>
                <w:noProof/>
              </w:rPr>
              <w:t>Measure 1: Timely Access</w:t>
            </w:r>
            <w:r w:rsidR="007C4B61">
              <w:rPr>
                <w:noProof/>
                <w:webHidden/>
              </w:rPr>
              <w:tab/>
            </w:r>
            <w:r w:rsidR="007C4B61">
              <w:rPr>
                <w:noProof/>
                <w:webHidden/>
              </w:rPr>
              <w:fldChar w:fldCharType="begin"/>
            </w:r>
            <w:r w:rsidR="007C4B61">
              <w:rPr>
                <w:noProof/>
                <w:webHidden/>
              </w:rPr>
              <w:instrText xml:space="preserve"> PAGEREF _Toc390171164 \h </w:instrText>
            </w:r>
            <w:r w:rsidR="007C4B61">
              <w:rPr>
                <w:noProof/>
                <w:webHidden/>
              </w:rPr>
            </w:r>
            <w:r w:rsidR="007C4B61">
              <w:rPr>
                <w:noProof/>
                <w:webHidden/>
              </w:rPr>
              <w:fldChar w:fldCharType="separate"/>
            </w:r>
            <w:r w:rsidR="007C4B61">
              <w:rPr>
                <w:noProof/>
                <w:webHidden/>
              </w:rPr>
              <w:t>35</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65" w:history="1">
            <w:r w:rsidR="007C4B61" w:rsidRPr="00133E52">
              <w:rPr>
                <w:rStyle w:val="Hyperlink"/>
                <w:noProof/>
              </w:rPr>
              <w:t>Measure 2: View, Download, or Transmit</w:t>
            </w:r>
            <w:r w:rsidR="007C4B61">
              <w:rPr>
                <w:noProof/>
                <w:webHidden/>
              </w:rPr>
              <w:tab/>
            </w:r>
            <w:r w:rsidR="007C4B61">
              <w:rPr>
                <w:noProof/>
                <w:webHidden/>
              </w:rPr>
              <w:fldChar w:fldCharType="begin"/>
            </w:r>
            <w:r w:rsidR="007C4B61">
              <w:rPr>
                <w:noProof/>
                <w:webHidden/>
              </w:rPr>
              <w:instrText xml:space="preserve"> PAGEREF _Toc390171165 \h </w:instrText>
            </w:r>
            <w:r w:rsidR="007C4B61">
              <w:rPr>
                <w:noProof/>
                <w:webHidden/>
              </w:rPr>
            </w:r>
            <w:r w:rsidR="007C4B61">
              <w:rPr>
                <w:noProof/>
                <w:webHidden/>
              </w:rPr>
              <w:fldChar w:fldCharType="separate"/>
            </w:r>
            <w:r w:rsidR="007C4B61">
              <w:rPr>
                <w:noProof/>
                <w:webHidden/>
              </w:rPr>
              <w:t>35</w:t>
            </w:r>
            <w:r w:rsidR="007C4B61">
              <w:rPr>
                <w:noProof/>
                <w:webHidden/>
              </w:rPr>
              <w:fldChar w:fldCharType="end"/>
            </w:r>
          </w:hyperlink>
        </w:p>
        <w:p w:rsidR="007C4B61" w:rsidRDefault="00410313">
          <w:pPr>
            <w:pStyle w:val="TOC3"/>
            <w:tabs>
              <w:tab w:val="right" w:leader="dot" w:pos="10790"/>
            </w:tabs>
            <w:rPr>
              <w:noProof/>
              <w:lang w:eastAsia="en-US"/>
            </w:rPr>
          </w:pPr>
          <w:hyperlink w:anchor="_Toc390171166" w:history="1">
            <w:r w:rsidR="007C4B61" w:rsidRPr="00133E52">
              <w:rPr>
                <w:rStyle w:val="Hyperlink"/>
                <w:noProof/>
              </w:rPr>
              <w:t>Patient Electronic Access: Meaningful Use Measures</w:t>
            </w:r>
            <w:r w:rsidR="007C4B61">
              <w:rPr>
                <w:noProof/>
                <w:webHidden/>
              </w:rPr>
              <w:tab/>
            </w:r>
            <w:r w:rsidR="007C4B61">
              <w:rPr>
                <w:noProof/>
                <w:webHidden/>
              </w:rPr>
              <w:fldChar w:fldCharType="begin"/>
            </w:r>
            <w:r w:rsidR="007C4B61">
              <w:rPr>
                <w:noProof/>
                <w:webHidden/>
              </w:rPr>
              <w:instrText xml:space="preserve"> PAGEREF _Toc390171166 \h </w:instrText>
            </w:r>
            <w:r w:rsidR="007C4B61">
              <w:rPr>
                <w:noProof/>
                <w:webHidden/>
              </w:rPr>
            </w:r>
            <w:r w:rsidR="007C4B61">
              <w:rPr>
                <w:noProof/>
                <w:webHidden/>
              </w:rPr>
              <w:fldChar w:fldCharType="separate"/>
            </w:r>
            <w:r w:rsidR="007C4B61">
              <w:rPr>
                <w:noProof/>
                <w:webHidden/>
              </w:rPr>
              <w:t>36</w:t>
            </w:r>
            <w:r w:rsidR="007C4B61">
              <w:rPr>
                <w:noProof/>
                <w:webHidden/>
              </w:rPr>
              <w:fldChar w:fldCharType="end"/>
            </w:r>
          </w:hyperlink>
        </w:p>
        <w:p w:rsidR="007C4B61" w:rsidRDefault="00410313">
          <w:pPr>
            <w:pStyle w:val="TOC3"/>
            <w:tabs>
              <w:tab w:val="right" w:leader="dot" w:pos="10790"/>
            </w:tabs>
            <w:rPr>
              <w:noProof/>
              <w:lang w:eastAsia="en-US"/>
            </w:rPr>
          </w:pPr>
          <w:hyperlink w:anchor="_Toc390171167" w:history="1">
            <w:r w:rsidR="007C4B61" w:rsidRPr="00133E52">
              <w:rPr>
                <w:rStyle w:val="Hyperlink"/>
                <w:noProof/>
              </w:rPr>
              <w:t>Patient Electronic Access: Recording of Numerator in Valant</w:t>
            </w:r>
            <w:r w:rsidR="007C4B61">
              <w:rPr>
                <w:noProof/>
                <w:webHidden/>
              </w:rPr>
              <w:tab/>
            </w:r>
            <w:r w:rsidR="007C4B61">
              <w:rPr>
                <w:noProof/>
                <w:webHidden/>
              </w:rPr>
              <w:fldChar w:fldCharType="begin"/>
            </w:r>
            <w:r w:rsidR="007C4B61">
              <w:rPr>
                <w:noProof/>
                <w:webHidden/>
              </w:rPr>
              <w:instrText xml:space="preserve"> PAGEREF _Toc390171167 \h </w:instrText>
            </w:r>
            <w:r w:rsidR="007C4B61">
              <w:rPr>
                <w:noProof/>
                <w:webHidden/>
              </w:rPr>
            </w:r>
            <w:r w:rsidR="007C4B61">
              <w:rPr>
                <w:noProof/>
                <w:webHidden/>
              </w:rPr>
              <w:fldChar w:fldCharType="separate"/>
            </w:r>
            <w:r w:rsidR="007C4B61">
              <w:rPr>
                <w:noProof/>
                <w:webHidden/>
              </w:rPr>
              <w:t>37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68" w:history="1">
            <w:r w:rsidR="007C4B61" w:rsidRPr="00133E52">
              <w:rPr>
                <w:rStyle w:val="Hyperlink"/>
                <w:noProof/>
              </w:rPr>
              <w:t>Measure 1: Timely Access</w:t>
            </w:r>
            <w:r w:rsidR="007C4B61">
              <w:rPr>
                <w:noProof/>
                <w:webHidden/>
              </w:rPr>
              <w:tab/>
            </w:r>
            <w:r w:rsidR="007C4B61">
              <w:rPr>
                <w:noProof/>
                <w:webHidden/>
              </w:rPr>
              <w:fldChar w:fldCharType="begin"/>
            </w:r>
            <w:r w:rsidR="007C4B61">
              <w:rPr>
                <w:noProof/>
                <w:webHidden/>
              </w:rPr>
              <w:instrText xml:space="preserve"> PAGEREF _Toc390171168 \h </w:instrText>
            </w:r>
            <w:r w:rsidR="007C4B61">
              <w:rPr>
                <w:noProof/>
                <w:webHidden/>
              </w:rPr>
            </w:r>
            <w:r w:rsidR="007C4B61">
              <w:rPr>
                <w:noProof/>
                <w:webHidden/>
              </w:rPr>
              <w:fldChar w:fldCharType="separate"/>
            </w:r>
            <w:r w:rsidR="007C4B61">
              <w:rPr>
                <w:noProof/>
                <w:webHidden/>
              </w:rPr>
              <w:t>37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69" w:history="1">
            <w:r w:rsidR="007C4B61" w:rsidRPr="00133E52">
              <w:rPr>
                <w:rStyle w:val="Hyperlink"/>
                <w:noProof/>
              </w:rPr>
              <w:t>Measure 2: View, Download, or Transmit</w:t>
            </w:r>
            <w:r w:rsidR="007C4B61">
              <w:rPr>
                <w:noProof/>
                <w:webHidden/>
              </w:rPr>
              <w:tab/>
            </w:r>
            <w:r w:rsidR="007C4B61">
              <w:rPr>
                <w:noProof/>
                <w:webHidden/>
              </w:rPr>
              <w:fldChar w:fldCharType="begin"/>
            </w:r>
            <w:r w:rsidR="007C4B61">
              <w:rPr>
                <w:noProof/>
                <w:webHidden/>
              </w:rPr>
              <w:instrText xml:space="preserve"> PAGEREF _Toc390171169 \h </w:instrText>
            </w:r>
            <w:r w:rsidR="007C4B61">
              <w:rPr>
                <w:noProof/>
                <w:webHidden/>
              </w:rPr>
            </w:r>
            <w:r w:rsidR="007C4B61">
              <w:rPr>
                <w:noProof/>
                <w:webHidden/>
              </w:rPr>
              <w:fldChar w:fldCharType="separate"/>
            </w:r>
            <w:r w:rsidR="007C4B61">
              <w:rPr>
                <w:noProof/>
                <w:webHidden/>
              </w:rPr>
              <w:t>40</w:t>
            </w:r>
            <w:r w:rsidR="007C4B61">
              <w:rPr>
                <w:noProof/>
                <w:webHidden/>
              </w:rPr>
              <w:fldChar w:fldCharType="end"/>
            </w:r>
          </w:hyperlink>
        </w:p>
        <w:p w:rsidR="007C4B61" w:rsidRDefault="00410313">
          <w:pPr>
            <w:pStyle w:val="TOC2"/>
            <w:rPr>
              <w:rFonts w:eastAsiaTheme="minorEastAsia"/>
              <w:b w:val="0"/>
              <w:lang w:eastAsia="en-US"/>
            </w:rPr>
          </w:pPr>
          <w:hyperlink w:anchor="_Toc390171170" w:history="1">
            <w:r w:rsidR="007C4B61" w:rsidRPr="00133E52">
              <w:rPr>
                <w:rStyle w:val="Hyperlink"/>
              </w:rPr>
              <w:t>Stage 2 - Core #8: Clinical Summaries</w:t>
            </w:r>
            <w:r w:rsidR="007C4B61">
              <w:rPr>
                <w:webHidden/>
              </w:rPr>
              <w:tab/>
            </w:r>
            <w:r w:rsidR="007C4B61">
              <w:rPr>
                <w:webHidden/>
              </w:rPr>
              <w:fldChar w:fldCharType="begin"/>
            </w:r>
            <w:r w:rsidR="007C4B61">
              <w:rPr>
                <w:webHidden/>
              </w:rPr>
              <w:instrText xml:space="preserve"> PAGEREF _Toc390171170 \h </w:instrText>
            </w:r>
            <w:r w:rsidR="007C4B61">
              <w:rPr>
                <w:webHidden/>
              </w:rPr>
            </w:r>
            <w:r w:rsidR="007C4B61">
              <w:rPr>
                <w:webHidden/>
              </w:rPr>
              <w:fldChar w:fldCharType="separate"/>
            </w:r>
            <w:r w:rsidR="007C4B61">
              <w:rPr>
                <w:webHidden/>
              </w:rPr>
              <w:t>41</w:t>
            </w:r>
            <w:r w:rsidR="007C4B61">
              <w:rPr>
                <w:webHidden/>
              </w:rPr>
              <w:fldChar w:fldCharType="end"/>
            </w:r>
          </w:hyperlink>
        </w:p>
        <w:p w:rsidR="007C4B61" w:rsidRDefault="00410313">
          <w:pPr>
            <w:pStyle w:val="TOC3"/>
            <w:tabs>
              <w:tab w:val="right" w:leader="dot" w:pos="10790"/>
            </w:tabs>
            <w:rPr>
              <w:noProof/>
              <w:lang w:eastAsia="en-US"/>
            </w:rPr>
          </w:pPr>
          <w:hyperlink w:anchor="_Toc390171171" w:history="1">
            <w:r w:rsidR="007C4B61" w:rsidRPr="00133E52">
              <w:rPr>
                <w:rStyle w:val="Hyperlink"/>
                <w:noProof/>
              </w:rPr>
              <w:t>Clinical Summaries: Explanation of Measure</w:t>
            </w:r>
            <w:r w:rsidR="007C4B61">
              <w:rPr>
                <w:noProof/>
                <w:webHidden/>
              </w:rPr>
              <w:tab/>
            </w:r>
            <w:r w:rsidR="007C4B61">
              <w:rPr>
                <w:noProof/>
                <w:webHidden/>
              </w:rPr>
              <w:fldChar w:fldCharType="begin"/>
            </w:r>
            <w:r w:rsidR="007C4B61">
              <w:rPr>
                <w:noProof/>
                <w:webHidden/>
              </w:rPr>
              <w:instrText xml:space="preserve"> PAGEREF _Toc390171171 \h </w:instrText>
            </w:r>
            <w:r w:rsidR="007C4B61">
              <w:rPr>
                <w:noProof/>
                <w:webHidden/>
              </w:rPr>
            </w:r>
            <w:r w:rsidR="007C4B61">
              <w:rPr>
                <w:noProof/>
                <w:webHidden/>
              </w:rPr>
              <w:fldChar w:fldCharType="separate"/>
            </w:r>
            <w:r w:rsidR="007C4B61">
              <w:rPr>
                <w:noProof/>
                <w:webHidden/>
              </w:rPr>
              <w:t>41</w:t>
            </w:r>
            <w:r w:rsidR="007C4B61">
              <w:rPr>
                <w:noProof/>
                <w:webHidden/>
              </w:rPr>
              <w:fldChar w:fldCharType="end"/>
            </w:r>
          </w:hyperlink>
        </w:p>
        <w:p w:rsidR="007C4B61" w:rsidRDefault="00410313">
          <w:pPr>
            <w:pStyle w:val="TOC3"/>
            <w:tabs>
              <w:tab w:val="right" w:leader="dot" w:pos="10790"/>
            </w:tabs>
            <w:rPr>
              <w:noProof/>
              <w:lang w:eastAsia="en-US"/>
            </w:rPr>
          </w:pPr>
          <w:hyperlink w:anchor="_Toc390171172" w:history="1">
            <w:r w:rsidR="007C4B61" w:rsidRPr="00133E52">
              <w:rPr>
                <w:rStyle w:val="Hyperlink"/>
                <w:noProof/>
              </w:rPr>
              <w:t>Clinical Summaries: Meaningful Use Measures</w:t>
            </w:r>
            <w:r w:rsidR="007C4B61">
              <w:rPr>
                <w:noProof/>
                <w:webHidden/>
              </w:rPr>
              <w:tab/>
            </w:r>
            <w:r w:rsidR="007C4B61">
              <w:rPr>
                <w:noProof/>
                <w:webHidden/>
              </w:rPr>
              <w:fldChar w:fldCharType="begin"/>
            </w:r>
            <w:r w:rsidR="007C4B61">
              <w:rPr>
                <w:noProof/>
                <w:webHidden/>
              </w:rPr>
              <w:instrText xml:space="preserve"> PAGEREF _Toc390171172 \h </w:instrText>
            </w:r>
            <w:r w:rsidR="007C4B61">
              <w:rPr>
                <w:noProof/>
                <w:webHidden/>
              </w:rPr>
            </w:r>
            <w:r w:rsidR="007C4B61">
              <w:rPr>
                <w:noProof/>
                <w:webHidden/>
              </w:rPr>
              <w:fldChar w:fldCharType="separate"/>
            </w:r>
            <w:r w:rsidR="007C4B61">
              <w:rPr>
                <w:noProof/>
                <w:webHidden/>
              </w:rPr>
              <w:t>42</w:t>
            </w:r>
            <w:r w:rsidR="007C4B61">
              <w:rPr>
                <w:noProof/>
                <w:webHidden/>
              </w:rPr>
              <w:fldChar w:fldCharType="end"/>
            </w:r>
          </w:hyperlink>
        </w:p>
        <w:p w:rsidR="007C4B61" w:rsidRDefault="00410313">
          <w:pPr>
            <w:pStyle w:val="TOC3"/>
            <w:tabs>
              <w:tab w:val="right" w:leader="dot" w:pos="10790"/>
            </w:tabs>
            <w:rPr>
              <w:noProof/>
              <w:lang w:eastAsia="en-US"/>
            </w:rPr>
          </w:pPr>
          <w:hyperlink w:anchor="_Toc390171173" w:history="1">
            <w:r w:rsidR="007C4B61" w:rsidRPr="00133E52">
              <w:rPr>
                <w:rStyle w:val="Hyperlink"/>
                <w:noProof/>
              </w:rPr>
              <w:t>Clinical Summaries: Recording of Numerator in Valant</w:t>
            </w:r>
            <w:r w:rsidR="007C4B61">
              <w:rPr>
                <w:noProof/>
                <w:webHidden/>
              </w:rPr>
              <w:tab/>
            </w:r>
            <w:r w:rsidR="007C4B61">
              <w:rPr>
                <w:noProof/>
                <w:webHidden/>
              </w:rPr>
              <w:fldChar w:fldCharType="begin"/>
            </w:r>
            <w:r w:rsidR="007C4B61">
              <w:rPr>
                <w:noProof/>
                <w:webHidden/>
              </w:rPr>
              <w:instrText xml:space="preserve"> PAGEREF _Toc390171173 \h </w:instrText>
            </w:r>
            <w:r w:rsidR="007C4B61">
              <w:rPr>
                <w:noProof/>
                <w:webHidden/>
              </w:rPr>
            </w:r>
            <w:r w:rsidR="007C4B61">
              <w:rPr>
                <w:noProof/>
                <w:webHidden/>
              </w:rPr>
              <w:fldChar w:fldCharType="separate"/>
            </w:r>
            <w:r w:rsidR="007C4B61">
              <w:rPr>
                <w:noProof/>
                <w:webHidden/>
              </w:rPr>
              <w:t>43</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74" w:history="1">
            <w:r w:rsidR="007C4B61" w:rsidRPr="00133E52">
              <w:rPr>
                <w:rStyle w:val="Hyperlink"/>
                <w:noProof/>
              </w:rPr>
              <w:t>Send C-CDA to Portal: Clinical Summary</w:t>
            </w:r>
            <w:r w:rsidR="007C4B61">
              <w:rPr>
                <w:noProof/>
                <w:webHidden/>
              </w:rPr>
              <w:tab/>
            </w:r>
            <w:r w:rsidR="007C4B61">
              <w:rPr>
                <w:noProof/>
                <w:webHidden/>
              </w:rPr>
              <w:fldChar w:fldCharType="begin"/>
            </w:r>
            <w:r w:rsidR="007C4B61">
              <w:rPr>
                <w:noProof/>
                <w:webHidden/>
              </w:rPr>
              <w:instrText xml:space="preserve"> PAGEREF _Toc390171174 \h </w:instrText>
            </w:r>
            <w:r w:rsidR="007C4B61">
              <w:rPr>
                <w:noProof/>
                <w:webHidden/>
              </w:rPr>
            </w:r>
            <w:r w:rsidR="007C4B61">
              <w:rPr>
                <w:noProof/>
                <w:webHidden/>
              </w:rPr>
              <w:fldChar w:fldCharType="separate"/>
            </w:r>
            <w:r w:rsidR="007C4B61">
              <w:rPr>
                <w:noProof/>
                <w:webHidden/>
              </w:rPr>
              <w:t>45</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75" w:history="1">
            <w:r w:rsidR="007C4B61" w:rsidRPr="00133E52">
              <w:rPr>
                <w:rStyle w:val="Hyperlink"/>
                <w:noProof/>
              </w:rPr>
              <w:t>Send C-CDA to Portal: Clinical Summary &amp; Health Summary</w:t>
            </w:r>
            <w:r w:rsidR="007C4B61">
              <w:rPr>
                <w:noProof/>
                <w:webHidden/>
              </w:rPr>
              <w:tab/>
            </w:r>
            <w:r w:rsidR="007C4B61">
              <w:rPr>
                <w:noProof/>
                <w:webHidden/>
              </w:rPr>
              <w:fldChar w:fldCharType="begin"/>
            </w:r>
            <w:r w:rsidR="007C4B61">
              <w:rPr>
                <w:noProof/>
                <w:webHidden/>
              </w:rPr>
              <w:instrText xml:space="preserve"> PAGEREF _Toc390171175 \h </w:instrText>
            </w:r>
            <w:r w:rsidR="007C4B61">
              <w:rPr>
                <w:noProof/>
                <w:webHidden/>
              </w:rPr>
            </w:r>
            <w:r w:rsidR="007C4B61">
              <w:rPr>
                <w:noProof/>
                <w:webHidden/>
              </w:rPr>
              <w:fldChar w:fldCharType="separate"/>
            </w:r>
            <w:r w:rsidR="007C4B61">
              <w:rPr>
                <w:noProof/>
                <w:webHidden/>
              </w:rPr>
              <w:t>47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76" w:history="1">
            <w:r w:rsidR="007C4B61" w:rsidRPr="00133E52">
              <w:rPr>
                <w:rStyle w:val="Hyperlink"/>
                <w:noProof/>
              </w:rPr>
              <w:t>Send C-CDA to Portal: Clinical Summary Declined</w:t>
            </w:r>
            <w:r w:rsidR="007C4B61">
              <w:rPr>
                <w:noProof/>
                <w:webHidden/>
              </w:rPr>
              <w:tab/>
            </w:r>
            <w:r w:rsidR="007C4B61">
              <w:rPr>
                <w:noProof/>
                <w:webHidden/>
              </w:rPr>
              <w:fldChar w:fldCharType="begin"/>
            </w:r>
            <w:r w:rsidR="007C4B61">
              <w:rPr>
                <w:noProof/>
                <w:webHidden/>
              </w:rPr>
              <w:instrText xml:space="preserve"> PAGEREF _Toc390171176 \h </w:instrText>
            </w:r>
            <w:r w:rsidR="007C4B61">
              <w:rPr>
                <w:noProof/>
                <w:webHidden/>
              </w:rPr>
            </w:r>
            <w:r w:rsidR="007C4B61">
              <w:rPr>
                <w:noProof/>
                <w:webHidden/>
              </w:rPr>
              <w:fldChar w:fldCharType="separate"/>
            </w:r>
            <w:r w:rsidR="007C4B61">
              <w:rPr>
                <w:noProof/>
                <w:webHidden/>
              </w:rPr>
              <w:t>49</w:t>
            </w:r>
            <w:r w:rsidR="007C4B61">
              <w:rPr>
                <w:noProof/>
                <w:webHidden/>
              </w:rPr>
              <w:fldChar w:fldCharType="end"/>
            </w:r>
          </w:hyperlink>
        </w:p>
        <w:p w:rsidR="007C4B61" w:rsidRDefault="00410313">
          <w:pPr>
            <w:pStyle w:val="TOC2"/>
            <w:rPr>
              <w:rFonts w:eastAsiaTheme="minorEastAsia"/>
              <w:b w:val="0"/>
              <w:lang w:eastAsia="en-US"/>
            </w:rPr>
          </w:pPr>
          <w:hyperlink w:anchor="_Toc390171177" w:history="1">
            <w:r w:rsidR="007C4B61" w:rsidRPr="00133E52">
              <w:rPr>
                <w:rStyle w:val="Hyperlink"/>
              </w:rPr>
              <w:t>Stage 2 - Core #9: Protect Electronic Health Information</w:t>
            </w:r>
            <w:r w:rsidR="007C4B61">
              <w:rPr>
                <w:webHidden/>
              </w:rPr>
              <w:tab/>
            </w:r>
            <w:r w:rsidR="007C4B61">
              <w:rPr>
                <w:webHidden/>
              </w:rPr>
              <w:fldChar w:fldCharType="begin"/>
            </w:r>
            <w:r w:rsidR="007C4B61">
              <w:rPr>
                <w:webHidden/>
              </w:rPr>
              <w:instrText xml:space="preserve"> PAGEREF _Toc390171177 \h </w:instrText>
            </w:r>
            <w:r w:rsidR="007C4B61">
              <w:rPr>
                <w:webHidden/>
              </w:rPr>
            </w:r>
            <w:r w:rsidR="007C4B61">
              <w:rPr>
                <w:webHidden/>
              </w:rPr>
              <w:fldChar w:fldCharType="separate"/>
            </w:r>
            <w:r w:rsidR="007C4B61">
              <w:rPr>
                <w:webHidden/>
              </w:rPr>
              <w:t>50</w:t>
            </w:r>
            <w:r w:rsidR="007C4B61">
              <w:rPr>
                <w:webHidden/>
              </w:rPr>
              <w:fldChar w:fldCharType="end"/>
            </w:r>
          </w:hyperlink>
        </w:p>
        <w:p w:rsidR="007C4B61" w:rsidRDefault="00410313">
          <w:pPr>
            <w:pStyle w:val="TOC3"/>
            <w:tabs>
              <w:tab w:val="right" w:leader="dot" w:pos="10790"/>
            </w:tabs>
            <w:rPr>
              <w:noProof/>
              <w:lang w:eastAsia="en-US"/>
            </w:rPr>
          </w:pPr>
          <w:hyperlink w:anchor="_Toc390171178" w:history="1">
            <w:r w:rsidR="007C4B61" w:rsidRPr="00133E52">
              <w:rPr>
                <w:rStyle w:val="Hyperlink"/>
                <w:noProof/>
              </w:rPr>
              <w:t>Protect Electronic Health Information: Explanation of Measure</w:t>
            </w:r>
            <w:r w:rsidR="007C4B61">
              <w:rPr>
                <w:noProof/>
                <w:webHidden/>
              </w:rPr>
              <w:tab/>
            </w:r>
            <w:r w:rsidR="007C4B61">
              <w:rPr>
                <w:noProof/>
                <w:webHidden/>
              </w:rPr>
              <w:fldChar w:fldCharType="begin"/>
            </w:r>
            <w:r w:rsidR="007C4B61">
              <w:rPr>
                <w:noProof/>
                <w:webHidden/>
              </w:rPr>
              <w:instrText xml:space="preserve"> PAGEREF _Toc390171178 \h </w:instrText>
            </w:r>
            <w:r w:rsidR="007C4B61">
              <w:rPr>
                <w:noProof/>
                <w:webHidden/>
              </w:rPr>
            </w:r>
            <w:r w:rsidR="007C4B61">
              <w:rPr>
                <w:noProof/>
                <w:webHidden/>
              </w:rPr>
              <w:fldChar w:fldCharType="separate"/>
            </w:r>
            <w:r w:rsidR="007C4B61">
              <w:rPr>
                <w:noProof/>
                <w:webHidden/>
              </w:rPr>
              <w:t>50</w:t>
            </w:r>
            <w:r w:rsidR="007C4B61">
              <w:rPr>
                <w:noProof/>
                <w:webHidden/>
              </w:rPr>
              <w:fldChar w:fldCharType="end"/>
            </w:r>
          </w:hyperlink>
        </w:p>
        <w:p w:rsidR="007C4B61" w:rsidRDefault="00410313">
          <w:pPr>
            <w:pStyle w:val="TOC2"/>
            <w:rPr>
              <w:rFonts w:eastAsiaTheme="minorEastAsia"/>
              <w:b w:val="0"/>
              <w:lang w:eastAsia="en-US"/>
            </w:rPr>
          </w:pPr>
          <w:hyperlink w:anchor="_Toc390171179" w:history="1">
            <w:r w:rsidR="007C4B61" w:rsidRPr="00133E52">
              <w:rPr>
                <w:rStyle w:val="Hyperlink"/>
              </w:rPr>
              <w:t>Stage 2 - Core #10: Clinical Lab-Test Results</w:t>
            </w:r>
            <w:r w:rsidR="007C4B61">
              <w:rPr>
                <w:webHidden/>
              </w:rPr>
              <w:tab/>
            </w:r>
            <w:r w:rsidR="007C4B61">
              <w:rPr>
                <w:webHidden/>
              </w:rPr>
              <w:fldChar w:fldCharType="begin"/>
            </w:r>
            <w:r w:rsidR="007C4B61">
              <w:rPr>
                <w:webHidden/>
              </w:rPr>
              <w:instrText xml:space="preserve"> PAGEREF _Toc390171179 \h </w:instrText>
            </w:r>
            <w:r w:rsidR="007C4B61">
              <w:rPr>
                <w:webHidden/>
              </w:rPr>
            </w:r>
            <w:r w:rsidR="007C4B61">
              <w:rPr>
                <w:webHidden/>
              </w:rPr>
              <w:fldChar w:fldCharType="separate"/>
            </w:r>
            <w:r w:rsidR="007C4B61">
              <w:rPr>
                <w:webHidden/>
              </w:rPr>
              <w:t>51</w:t>
            </w:r>
            <w:r w:rsidR="007C4B61">
              <w:rPr>
                <w:webHidden/>
              </w:rPr>
              <w:fldChar w:fldCharType="end"/>
            </w:r>
          </w:hyperlink>
        </w:p>
        <w:p w:rsidR="007C4B61" w:rsidRDefault="00410313">
          <w:pPr>
            <w:pStyle w:val="TOC3"/>
            <w:tabs>
              <w:tab w:val="right" w:leader="dot" w:pos="10790"/>
            </w:tabs>
            <w:rPr>
              <w:noProof/>
              <w:lang w:eastAsia="en-US"/>
            </w:rPr>
          </w:pPr>
          <w:hyperlink w:anchor="_Toc390171180" w:history="1">
            <w:r w:rsidR="007C4B61" w:rsidRPr="00133E52">
              <w:rPr>
                <w:rStyle w:val="Hyperlink"/>
                <w:rFonts w:eastAsia="Times New Roman"/>
                <w:noProof/>
              </w:rPr>
              <w:t>Lab-Test Results</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_Toc390171180 \h </w:instrText>
            </w:r>
            <w:r w:rsidR="007C4B61">
              <w:rPr>
                <w:noProof/>
                <w:webHidden/>
              </w:rPr>
            </w:r>
            <w:r w:rsidR="007C4B61">
              <w:rPr>
                <w:noProof/>
                <w:webHidden/>
              </w:rPr>
              <w:fldChar w:fldCharType="separate"/>
            </w:r>
            <w:r w:rsidR="007C4B61">
              <w:rPr>
                <w:noProof/>
                <w:webHidden/>
              </w:rPr>
              <w:t>51</w:t>
            </w:r>
            <w:r w:rsidR="007C4B61">
              <w:rPr>
                <w:noProof/>
                <w:webHidden/>
              </w:rPr>
              <w:fldChar w:fldCharType="end"/>
            </w:r>
          </w:hyperlink>
        </w:p>
        <w:p w:rsidR="007C4B61" w:rsidRDefault="00410313">
          <w:pPr>
            <w:pStyle w:val="TOC3"/>
            <w:tabs>
              <w:tab w:val="right" w:leader="dot" w:pos="10790"/>
            </w:tabs>
            <w:rPr>
              <w:noProof/>
              <w:lang w:eastAsia="en-US"/>
            </w:rPr>
          </w:pPr>
          <w:hyperlink w:anchor="_Toc390171181" w:history="1">
            <w:r w:rsidR="007C4B61" w:rsidRPr="00133E52">
              <w:rPr>
                <w:rStyle w:val="Hyperlink"/>
                <w:rFonts w:eastAsia="Times New Roman"/>
                <w:noProof/>
              </w:rPr>
              <w:t>Lab-Test Results</w:t>
            </w:r>
            <w:r w:rsidR="007C4B61" w:rsidRPr="00133E52">
              <w:rPr>
                <w:rStyle w:val="Hyperlink"/>
                <w:noProof/>
              </w:rPr>
              <w:t>: Recording of Numerator in Valant</w:t>
            </w:r>
            <w:r w:rsidR="007C4B61">
              <w:rPr>
                <w:noProof/>
                <w:webHidden/>
              </w:rPr>
              <w:tab/>
            </w:r>
            <w:r w:rsidR="007C4B61">
              <w:rPr>
                <w:noProof/>
                <w:webHidden/>
              </w:rPr>
              <w:fldChar w:fldCharType="begin"/>
            </w:r>
            <w:r w:rsidR="007C4B61">
              <w:rPr>
                <w:noProof/>
                <w:webHidden/>
              </w:rPr>
              <w:instrText xml:space="preserve"> PAGEREF _Toc390171181 \h </w:instrText>
            </w:r>
            <w:r w:rsidR="007C4B61">
              <w:rPr>
                <w:noProof/>
                <w:webHidden/>
              </w:rPr>
            </w:r>
            <w:r w:rsidR="007C4B61">
              <w:rPr>
                <w:noProof/>
                <w:webHidden/>
              </w:rPr>
              <w:fldChar w:fldCharType="separate"/>
            </w:r>
            <w:r w:rsidR="007C4B61">
              <w:rPr>
                <w:noProof/>
                <w:webHidden/>
              </w:rPr>
              <w:t>52</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82" w:history="1">
            <w:r w:rsidR="007C4B61" w:rsidRPr="00133E52">
              <w:rPr>
                <w:rStyle w:val="Hyperlink"/>
                <w:noProof/>
              </w:rPr>
              <w:t>Lab-Test Results: Lab Panels</w:t>
            </w:r>
            <w:r w:rsidR="007C4B61">
              <w:rPr>
                <w:noProof/>
                <w:webHidden/>
              </w:rPr>
              <w:tab/>
            </w:r>
            <w:r w:rsidR="007C4B61">
              <w:rPr>
                <w:noProof/>
                <w:webHidden/>
              </w:rPr>
              <w:fldChar w:fldCharType="begin"/>
            </w:r>
            <w:r w:rsidR="007C4B61">
              <w:rPr>
                <w:noProof/>
                <w:webHidden/>
              </w:rPr>
              <w:instrText xml:space="preserve"> PAGEREF _Toc390171182 \h </w:instrText>
            </w:r>
            <w:r w:rsidR="007C4B61">
              <w:rPr>
                <w:noProof/>
                <w:webHidden/>
              </w:rPr>
            </w:r>
            <w:r w:rsidR="007C4B61">
              <w:rPr>
                <w:noProof/>
                <w:webHidden/>
              </w:rPr>
              <w:fldChar w:fldCharType="separate"/>
            </w:r>
            <w:r w:rsidR="007C4B61">
              <w:rPr>
                <w:noProof/>
                <w:webHidden/>
              </w:rPr>
              <w:t>52</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83" w:history="1">
            <w:r w:rsidR="007C4B61" w:rsidRPr="00133E52">
              <w:rPr>
                <w:rStyle w:val="Hyperlink"/>
                <w:noProof/>
              </w:rPr>
              <w:t>Lab-Test Results: eLabs</w:t>
            </w:r>
            <w:r w:rsidR="007C4B61">
              <w:rPr>
                <w:noProof/>
                <w:webHidden/>
              </w:rPr>
              <w:tab/>
            </w:r>
            <w:r w:rsidR="007C4B61">
              <w:rPr>
                <w:noProof/>
                <w:webHidden/>
              </w:rPr>
              <w:fldChar w:fldCharType="begin"/>
            </w:r>
            <w:r w:rsidR="007C4B61">
              <w:rPr>
                <w:noProof/>
                <w:webHidden/>
              </w:rPr>
              <w:instrText xml:space="preserve"> PAGEREF _Toc390171183 \h </w:instrText>
            </w:r>
            <w:r w:rsidR="007C4B61">
              <w:rPr>
                <w:noProof/>
                <w:webHidden/>
              </w:rPr>
            </w:r>
            <w:r w:rsidR="007C4B61">
              <w:rPr>
                <w:noProof/>
                <w:webHidden/>
              </w:rPr>
              <w:fldChar w:fldCharType="separate"/>
            </w:r>
            <w:r w:rsidR="007C4B61">
              <w:rPr>
                <w:noProof/>
                <w:webHidden/>
              </w:rPr>
              <w:t>53</w:t>
            </w:r>
            <w:r w:rsidR="007C4B61">
              <w:rPr>
                <w:noProof/>
                <w:webHidden/>
              </w:rPr>
              <w:fldChar w:fldCharType="end"/>
            </w:r>
          </w:hyperlink>
        </w:p>
        <w:p w:rsidR="007C4B61" w:rsidRDefault="00410313">
          <w:pPr>
            <w:pStyle w:val="TOC2"/>
            <w:rPr>
              <w:rFonts w:eastAsiaTheme="minorEastAsia"/>
              <w:b w:val="0"/>
              <w:lang w:eastAsia="en-US"/>
            </w:rPr>
          </w:pPr>
          <w:hyperlink w:anchor="_Toc390171184" w:history="1">
            <w:r w:rsidR="007C4B61" w:rsidRPr="00133E52">
              <w:rPr>
                <w:rStyle w:val="Hyperlink"/>
              </w:rPr>
              <w:t>Stage 2 - Core #11: Patient Lists</w:t>
            </w:r>
            <w:r w:rsidR="007C4B61">
              <w:rPr>
                <w:webHidden/>
              </w:rPr>
              <w:tab/>
            </w:r>
            <w:r w:rsidR="007C4B61">
              <w:rPr>
                <w:webHidden/>
              </w:rPr>
              <w:fldChar w:fldCharType="begin"/>
            </w:r>
            <w:r w:rsidR="007C4B61">
              <w:rPr>
                <w:webHidden/>
              </w:rPr>
              <w:instrText xml:space="preserve"> PAGEREF _Toc390171184 \h </w:instrText>
            </w:r>
            <w:r w:rsidR="007C4B61">
              <w:rPr>
                <w:webHidden/>
              </w:rPr>
            </w:r>
            <w:r w:rsidR="007C4B61">
              <w:rPr>
                <w:webHidden/>
              </w:rPr>
              <w:fldChar w:fldCharType="separate"/>
            </w:r>
            <w:r w:rsidR="007C4B61">
              <w:rPr>
                <w:webHidden/>
              </w:rPr>
              <w:t>54</w:t>
            </w:r>
            <w:r w:rsidR="007C4B61">
              <w:rPr>
                <w:webHidden/>
              </w:rPr>
              <w:fldChar w:fldCharType="end"/>
            </w:r>
          </w:hyperlink>
        </w:p>
        <w:p w:rsidR="007C4B61" w:rsidRDefault="00410313">
          <w:pPr>
            <w:pStyle w:val="TOC3"/>
            <w:tabs>
              <w:tab w:val="right" w:leader="dot" w:pos="10790"/>
            </w:tabs>
            <w:rPr>
              <w:noProof/>
              <w:lang w:eastAsia="en-US"/>
            </w:rPr>
          </w:pPr>
          <w:hyperlink w:anchor="_Toc390171185" w:history="1">
            <w:r w:rsidR="007C4B61" w:rsidRPr="00133E52">
              <w:rPr>
                <w:rStyle w:val="Hyperlink"/>
                <w:noProof/>
              </w:rPr>
              <w:t>Patient Lists: Explanation of Measure</w:t>
            </w:r>
            <w:r w:rsidR="007C4B61">
              <w:rPr>
                <w:noProof/>
                <w:webHidden/>
              </w:rPr>
              <w:tab/>
            </w:r>
            <w:r w:rsidR="007C4B61">
              <w:rPr>
                <w:noProof/>
                <w:webHidden/>
              </w:rPr>
              <w:fldChar w:fldCharType="begin"/>
            </w:r>
            <w:r w:rsidR="007C4B61">
              <w:rPr>
                <w:noProof/>
                <w:webHidden/>
              </w:rPr>
              <w:instrText xml:space="preserve"> PAGEREF _Toc390171185 \h </w:instrText>
            </w:r>
            <w:r w:rsidR="007C4B61">
              <w:rPr>
                <w:noProof/>
                <w:webHidden/>
              </w:rPr>
            </w:r>
            <w:r w:rsidR="007C4B61">
              <w:rPr>
                <w:noProof/>
                <w:webHidden/>
              </w:rPr>
              <w:fldChar w:fldCharType="separate"/>
            </w:r>
            <w:r w:rsidR="007C4B61">
              <w:rPr>
                <w:noProof/>
                <w:webHidden/>
              </w:rPr>
              <w:t>54</w:t>
            </w:r>
            <w:r w:rsidR="007C4B61">
              <w:rPr>
                <w:noProof/>
                <w:webHidden/>
              </w:rPr>
              <w:fldChar w:fldCharType="end"/>
            </w:r>
          </w:hyperlink>
        </w:p>
        <w:p w:rsidR="007C4B61" w:rsidRDefault="00410313">
          <w:pPr>
            <w:pStyle w:val="TOC3"/>
            <w:tabs>
              <w:tab w:val="right" w:leader="dot" w:pos="10790"/>
            </w:tabs>
            <w:rPr>
              <w:noProof/>
              <w:lang w:eastAsia="en-US"/>
            </w:rPr>
          </w:pPr>
          <w:hyperlink w:anchor="_Toc390171186" w:history="1">
            <w:r w:rsidR="007C4B61" w:rsidRPr="00133E52">
              <w:rPr>
                <w:rStyle w:val="Hyperlink"/>
                <w:noProof/>
              </w:rPr>
              <w:t>Patient Lists: Recording of Numerator in Valant</w:t>
            </w:r>
            <w:r w:rsidR="007C4B61">
              <w:rPr>
                <w:noProof/>
                <w:webHidden/>
              </w:rPr>
              <w:tab/>
            </w:r>
            <w:r w:rsidR="007C4B61">
              <w:rPr>
                <w:noProof/>
                <w:webHidden/>
              </w:rPr>
              <w:fldChar w:fldCharType="begin"/>
            </w:r>
            <w:r w:rsidR="007C4B61">
              <w:rPr>
                <w:noProof/>
                <w:webHidden/>
              </w:rPr>
              <w:instrText xml:space="preserve"> PAGEREF _Toc390171186 \h </w:instrText>
            </w:r>
            <w:r w:rsidR="007C4B61">
              <w:rPr>
                <w:noProof/>
                <w:webHidden/>
              </w:rPr>
            </w:r>
            <w:r w:rsidR="007C4B61">
              <w:rPr>
                <w:noProof/>
                <w:webHidden/>
              </w:rPr>
              <w:fldChar w:fldCharType="separate"/>
            </w:r>
            <w:r w:rsidR="007C4B61">
              <w:rPr>
                <w:noProof/>
                <w:webHidden/>
              </w:rPr>
              <w:t>55</w:t>
            </w:r>
            <w:r w:rsidR="007C4B61">
              <w:rPr>
                <w:noProof/>
                <w:webHidden/>
              </w:rPr>
              <w:fldChar w:fldCharType="end"/>
            </w:r>
          </w:hyperlink>
        </w:p>
        <w:p w:rsidR="007C4B61" w:rsidRDefault="00410313">
          <w:pPr>
            <w:pStyle w:val="TOC2"/>
            <w:rPr>
              <w:rFonts w:eastAsiaTheme="minorEastAsia"/>
              <w:b w:val="0"/>
              <w:lang w:eastAsia="en-US"/>
            </w:rPr>
          </w:pPr>
          <w:hyperlink w:anchor="_Toc390171187" w:history="1">
            <w:r w:rsidR="007C4B61" w:rsidRPr="00133E52">
              <w:rPr>
                <w:rStyle w:val="Hyperlink"/>
              </w:rPr>
              <w:t>Stage 2 - Core #12: Preventive Care</w:t>
            </w:r>
            <w:r w:rsidR="007C4B61">
              <w:rPr>
                <w:webHidden/>
              </w:rPr>
              <w:tab/>
            </w:r>
            <w:r w:rsidR="007C4B61">
              <w:rPr>
                <w:webHidden/>
              </w:rPr>
              <w:fldChar w:fldCharType="begin"/>
            </w:r>
            <w:r w:rsidR="007C4B61">
              <w:rPr>
                <w:webHidden/>
              </w:rPr>
              <w:instrText xml:space="preserve"> PAGEREF _Toc390171187 \h </w:instrText>
            </w:r>
            <w:r w:rsidR="007C4B61">
              <w:rPr>
                <w:webHidden/>
              </w:rPr>
            </w:r>
            <w:r w:rsidR="007C4B61">
              <w:rPr>
                <w:webHidden/>
              </w:rPr>
              <w:fldChar w:fldCharType="separate"/>
            </w:r>
            <w:r w:rsidR="007C4B61">
              <w:rPr>
                <w:webHidden/>
              </w:rPr>
              <w:t>56</w:t>
            </w:r>
            <w:r w:rsidR="007C4B61">
              <w:rPr>
                <w:webHidden/>
              </w:rPr>
              <w:fldChar w:fldCharType="end"/>
            </w:r>
          </w:hyperlink>
        </w:p>
        <w:p w:rsidR="007C4B61" w:rsidRDefault="00410313">
          <w:pPr>
            <w:pStyle w:val="TOC3"/>
            <w:tabs>
              <w:tab w:val="right" w:leader="dot" w:pos="10790"/>
            </w:tabs>
            <w:rPr>
              <w:noProof/>
              <w:lang w:eastAsia="en-US"/>
            </w:rPr>
          </w:pPr>
          <w:hyperlink w:anchor="_Toc390171188" w:history="1">
            <w:r w:rsidR="007C4B61" w:rsidRPr="00133E52">
              <w:rPr>
                <w:rStyle w:val="Hyperlink"/>
                <w:noProof/>
              </w:rPr>
              <w:t>Preventative Care/Patient Reminders: Explanation of Measure</w:t>
            </w:r>
            <w:r w:rsidR="007C4B61">
              <w:rPr>
                <w:noProof/>
                <w:webHidden/>
              </w:rPr>
              <w:tab/>
            </w:r>
            <w:r w:rsidR="007C4B61">
              <w:rPr>
                <w:noProof/>
                <w:webHidden/>
              </w:rPr>
              <w:fldChar w:fldCharType="begin"/>
            </w:r>
            <w:r w:rsidR="007C4B61">
              <w:rPr>
                <w:noProof/>
                <w:webHidden/>
              </w:rPr>
              <w:instrText xml:space="preserve"> PAGEREF _Toc390171188 \h </w:instrText>
            </w:r>
            <w:r w:rsidR="007C4B61">
              <w:rPr>
                <w:noProof/>
                <w:webHidden/>
              </w:rPr>
            </w:r>
            <w:r w:rsidR="007C4B61">
              <w:rPr>
                <w:noProof/>
                <w:webHidden/>
              </w:rPr>
              <w:fldChar w:fldCharType="separate"/>
            </w:r>
            <w:r w:rsidR="007C4B61">
              <w:rPr>
                <w:noProof/>
                <w:webHidden/>
              </w:rPr>
              <w:t>57</w:t>
            </w:r>
            <w:r w:rsidR="007C4B61">
              <w:rPr>
                <w:noProof/>
                <w:webHidden/>
              </w:rPr>
              <w:fldChar w:fldCharType="end"/>
            </w:r>
          </w:hyperlink>
        </w:p>
        <w:p w:rsidR="007C4B61" w:rsidRDefault="00410313">
          <w:pPr>
            <w:pStyle w:val="TOC3"/>
            <w:tabs>
              <w:tab w:val="right" w:leader="dot" w:pos="10790"/>
            </w:tabs>
            <w:rPr>
              <w:noProof/>
              <w:lang w:eastAsia="en-US"/>
            </w:rPr>
          </w:pPr>
          <w:hyperlink w:anchor="_Toc390171189" w:history="1">
            <w:r w:rsidR="007C4B61" w:rsidRPr="00133E52">
              <w:rPr>
                <w:rStyle w:val="Hyperlink"/>
                <w:noProof/>
              </w:rPr>
              <w:t>Preventative Care/Patient Reminders: Recording of Numerator in Valant</w:t>
            </w:r>
            <w:r w:rsidR="007C4B61">
              <w:rPr>
                <w:noProof/>
                <w:webHidden/>
              </w:rPr>
              <w:tab/>
            </w:r>
            <w:r w:rsidR="007C4B61">
              <w:rPr>
                <w:noProof/>
                <w:webHidden/>
              </w:rPr>
              <w:fldChar w:fldCharType="begin"/>
            </w:r>
            <w:r w:rsidR="007C4B61">
              <w:rPr>
                <w:noProof/>
                <w:webHidden/>
              </w:rPr>
              <w:instrText xml:space="preserve"> PAGEREF _Toc390171189 \h </w:instrText>
            </w:r>
            <w:r w:rsidR="007C4B61">
              <w:rPr>
                <w:noProof/>
                <w:webHidden/>
              </w:rPr>
            </w:r>
            <w:r w:rsidR="007C4B61">
              <w:rPr>
                <w:noProof/>
                <w:webHidden/>
              </w:rPr>
              <w:fldChar w:fldCharType="separate"/>
            </w:r>
            <w:r w:rsidR="007C4B61">
              <w:rPr>
                <w:noProof/>
                <w:webHidden/>
              </w:rPr>
              <w:t>58</w:t>
            </w:r>
            <w:r w:rsidR="007C4B61">
              <w:rPr>
                <w:noProof/>
                <w:webHidden/>
              </w:rPr>
              <w:fldChar w:fldCharType="end"/>
            </w:r>
          </w:hyperlink>
        </w:p>
        <w:p w:rsidR="007C4B61" w:rsidRDefault="00410313">
          <w:pPr>
            <w:pStyle w:val="TOC2"/>
            <w:rPr>
              <w:rFonts w:eastAsiaTheme="minorEastAsia"/>
              <w:b w:val="0"/>
              <w:lang w:eastAsia="en-US"/>
            </w:rPr>
          </w:pPr>
          <w:hyperlink w:anchor="_Toc390171190" w:history="1">
            <w:r w:rsidR="007C4B61" w:rsidRPr="00133E52">
              <w:rPr>
                <w:rStyle w:val="Hyperlink"/>
              </w:rPr>
              <w:t>Stage 2 - Core #13: Patient-Specific Education Resources</w:t>
            </w:r>
            <w:r w:rsidR="007C4B61">
              <w:rPr>
                <w:webHidden/>
              </w:rPr>
              <w:tab/>
            </w:r>
            <w:r w:rsidR="007C4B61">
              <w:rPr>
                <w:webHidden/>
              </w:rPr>
              <w:fldChar w:fldCharType="begin"/>
            </w:r>
            <w:r w:rsidR="007C4B61">
              <w:rPr>
                <w:webHidden/>
              </w:rPr>
              <w:instrText xml:space="preserve"> PAGEREF _Toc390171190 \h </w:instrText>
            </w:r>
            <w:r w:rsidR="007C4B61">
              <w:rPr>
                <w:webHidden/>
              </w:rPr>
            </w:r>
            <w:r w:rsidR="007C4B61">
              <w:rPr>
                <w:webHidden/>
              </w:rPr>
              <w:fldChar w:fldCharType="separate"/>
            </w:r>
            <w:r w:rsidR="007C4B61">
              <w:rPr>
                <w:webHidden/>
              </w:rPr>
              <w:t>61</w:t>
            </w:r>
            <w:r w:rsidR="007C4B61">
              <w:rPr>
                <w:webHidden/>
              </w:rPr>
              <w:fldChar w:fldCharType="end"/>
            </w:r>
          </w:hyperlink>
        </w:p>
        <w:p w:rsidR="007C4B61" w:rsidRDefault="00410313">
          <w:pPr>
            <w:pStyle w:val="TOC3"/>
            <w:tabs>
              <w:tab w:val="right" w:leader="dot" w:pos="10790"/>
            </w:tabs>
            <w:rPr>
              <w:noProof/>
              <w:lang w:eastAsia="en-US"/>
            </w:rPr>
          </w:pPr>
          <w:hyperlink w:anchor="_Toc390171191" w:history="1">
            <w:r w:rsidR="007C4B61" w:rsidRPr="00133E52">
              <w:rPr>
                <w:rStyle w:val="Hyperlink"/>
                <w:noProof/>
              </w:rPr>
              <w:t>Patient-Specific Education Resources: Explanation of Measure</w:t>
            </w:r>
            <w:r w:rsidR="007C4B61">
              <w:rPr>
                <w:noProof/>
                <w:webHidden/>
              </w:rPr>
              <w:tab/>
            </w:r>
            <w:r w:rsidR="007C4B61">
              <w:rPr>
                <w:noProof/>
                <w:webHidden/>
              </w:rPr>
              <w:fldChar w:fldCharType="begin"/>
            </w:r>
            <w:r w:rsidR="007C4B61">
              <w:rPr>
                <w:noProof/>
                <w:webHidden/>
              </w:rPr>
              <w:instrText xml:space="preserve"> PAGEREF _Toc390171191 \h </w:instrText>
            </w:r>
            <w:r w:rsidR="007C4B61">
              <w:rPr>
                <w:noProof/>
                <w:webHidden/>
              </w:rPr>
            </w:r>
            <w:r w:rsidR="007C4B61">
              <w:rPr>
                <w:noProof/>
                <w:webHidden/>
              </w:rPr>
              <w:fldChar w:fldCharType="separate"/>
            </w:r>
            <w:r w:rsidR="007C4B61">
              <w:rPr>
                <w:noProof/>
                <w:webHidden/>
              </w:rPr>
              <w:t>61</w:t>
            </w:r>
            <w:r w:rsidR="007C4B61">
              <w:rPr>
                <w:noProof/>
                <w:webHidden/>
              </w:rPr>
              <w:fldChar w:fldCharType="end"/>
            </w:r>
          </w:hyperlink>
        </w:p>
        <w:p w:rsidR="007C4B61" w:rsidRDefault="00410313">
          <w:pPr>
            <w:pStyle w:val="TOC3"/>
            <w:tabs>
              <w:tab w:val="right" w:leader="dot" w:pos="10790"/>
            </w:tabs>
            <w:rPr>
              <w:noProof/>
              <w:lang w:eastAsia="en-US"/>
            </w:rPr>
          </w:pPr>
          <w:hyperlink w:anchor="_Toc390171192" w:history="1">
            <w:r w:rsidR="007C4B61" w:rsidRPr="00133E52">
              <w:rPr>
                <w:rStyle w:val="Hyperlink"/>
                <w:noProof/>
              </w:rPr>
              <w:t>Patient-Specific Education Resources: Recording of Numerator in Valant</w:t>
            </w:r>
            <w:r w:rsidR="007C4B61">
              <w:rPr>
                <w:noProof/>
                <w:webHidden/>
              </w:rPr>
              <w:tab/>
            </w:r>
            <w:r w:rsidR="007C4B61">
              <w:rPr>
                <w:noProof/>
                <w:webHidden/>
              </w:rPr>
              <w:fldChar w:fldCharType="begin"/>
            </w:r>
            <w:r w:rsidR="007C4B61">
              <w:rPr>
                <w:noProof/>
                <w:webHidden/>
              </w:rPr>
              <w:instrText xml:space="preserve"> PAGEREF _Toc390171192 \h </w:instrText>
            </w:r>
            <w:r w:rsidR="007C4B61">
              <w:rPr>
                <w:noProof/>
                <w:webHidden/>
              </w:rPr>
            </w:r>
            <w:r w:rsidR="007C4B61">
              <w:rPr>
                <w:noProof/>
                <w:webHidden/>
              </w:rPr>
              <w:fldChar w:fldCharType="separate"/>
            </w:r>
            <w:r w:rsidR="007C4B61">
              <w:rPr>
                <w:noProof/>
                <w:webHidden/>
              </w:rPr>
              <w:t>62</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93" w:history="1">
            <w:r w:rsidR="007C4B61" w:rsidRPr="00133E52">
              <w:rPr>
                <w:rStyle w:val="Hyperlink"/>
                <w:noProof/>
              </w:rPr>
              <w:t>Patient-Specific Education Resources: Diagnoses</w:t>
            </w:r>
            <w:r w:rsidR="007C4B61">
              <w:rPr>
                <w:noProof/>
                <w:webHidden/>
              </w:rPr>
              <w:tab/>
            </w:r>
            <w:r w:rsidR="007C4B61">
              <w:rPr>
                <w:noProof/>
                <w:webHidden/>
              </w:rPr>
              <w:fldChar w:fldCharType="begin"/>
            </w:r>
            <w:r w:rsidR="007C4B61">
              <w:rPr>
                <w:noProof/>
                <w:webHidden/>
              </w:rPr>
              <w:instrText xml:space="preserve"> PAGEREF _Toc390171193 \h </w:instrText>
            </w:r>
            <w:r w:rsidR="007C4B61">
              <w:rPr>
                <w:noProof/>
                <w:webHidden/>
              </w:rPr>
            </w:r>
            <w:r w:rsidR="007C4B61">
              <w:rPr>
                <w:noProof/>
                <w:webHidden/>
              </w:rPr>
              <w:fldChar w:fldCharType="separate"/>
            </w:r>
            <w:r w:rsidR="007C4B61">
              <w:rPr>
                <w:noProof/>
                <w:webHidden/>
              </w:rPr>
              <w:t>62</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94" w:history="1">
            <w:r w:rsidR="007C4B61" w:rsidRPr="00133E52">
              <w:rPr>
                <w:rStyle w:val="Hyperlink"/>
                <w:noProof/>
              </w:rPr>
              <w:t>Patient-Specific Education Resources: Lab Panels</w:t>
            </w:r>
            <w:r w:rsidR="007C4B61">
              <w:rPr>
                <w:noProof/>
                <w:webHidden/>
              </w:rPr>
              <w:tab/>
            </w:r>
            <w:r w:rsidR="007C4B61">
              <w:rPr>
                <w:noProof/>
                <w:webHidden/>
              </w:rPr>
              <w:fldChar w:fldCharType="begin"/>
            </w:r>
            <w:r w:rsidR="007C4B61">
              <w:rPr>
                <w:noProof/>
                <w:webHidden/>
              </w:rPr>
              <w:instrText xml:space="preserve"> PAGEREF _Toc390171194 \h </w:instrText>
            </w:r>
            <w:r w:rsidR="007C4B61">
              <w:rPr>
                <w:noProof/>
                <w:webHidden/>
              </w:rPr>
            </w:r>
            <w:r w:rsidR="007C4B61">
              <w:rPr>
                <w:noProof/>
                <w:webHidden/>
              </w:rPr>
              <w:fldChar w:fldCharType="separate"/>
            </w:r>
            <w:r w:rsidR="007C4B61">
              <w:rPr>
                <w:noProof/>
                <w:webHidden/>
              </w:rPr>
              <w:t>63</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95" w:history="1">
            <w:r w:rsidR="007C4B61" w:rsidRPr="00133E52">
              <w:rPr>
                <w:rStyle w:val="Hyperlink"/>
                <w:noProof/>
              </w:rPr>
              <w:t>Patient-Specific Education Resources: MedlinePlus</w:t>
            </w:r>
            <w:r w:rsidR="007C4B61">
              <w:rPr>
                <w:noProof/>
                <w:webHidden/>
              </w:rPr>
              <w:tab/>
            </w:r>
            <w:r w:rsidR="007C4B61">
              <w:rPr>
                <w:noProof/>
                <w:webHidden/>
              </w:rPr>
              <w:fldChar w:fldCharType="begin"/>
            </w:r>
            <w:r w:rsidR="007C4B61">
              <w:rPr>
                <w:noProof/>
                <w:webHidden/>
              </w:rPr>
              <w:instrText xml:space="preserve"> PAGEREF _Toc390171195 \h </w:instrText>
            </w:r>
            <w:r w:rsidR="007C4B61">
              <w:rPr>
                <w:noProof/>
                <w:webHidden/>
              </w:rPr>
            </w:r>
            <w:r w:rsidR="007C4B61">
              <w:rPr>
                <w:noProof/>
                <w:webHidden/>
              </w:rPr>
              <w:fldChar w:fldCharType="separate"/>
            </w:r>
            <w:r w:rsidR="007C4B61">
              <w:rPr>
                <w:noProof/>
                <w:webHidden/>
              </w:rPr>
              <w:t>64</w:t>
            </w:r>
            <w:r w:rsidR="007C4B61">
              <w:rPr>
                <w:noProof/>
                <w:webHidden/>
              </w:rPr>
              <w:fldChar w:fldCharType="end"/>
            </w:r>
          </w:hyperlink>
        </w:p>
        <w:p w:rsidR="007C4B61" w:rsidRDefault="00410313">
          <w:pPr>
            <w:pStyle w:val="TOC2"/>
            <w:rPr>
              <w:rFonts w:eastAsiaTheme="minorEastAsia"/>
              <w:b w:val="0"/>
              <w:lang w:eastAsia="en-US"/>
            </w:rPr>
          </w:pPr>
          <w:hyperlink w:anchor="_Toc390171196" w:history="1">
            <w:r w:rsidR="007C4B61" w:rsidRPr="00133E52">
              <w:rPr>
                <w:rStyle w:val="Hyperlink"/>
              </w:rPr>
              <w:t>Stage 2 - Core #14: Medication Reconciliation</w:t>
            </w:r>
            <w:r w:rsidR="007C4B61">
              <w:rPr>
                <w:webHidden/>
              </w:rPr>
              <w:tab/>
            </w:r>
            <w:r w:rsidR="007C4B61">
              <w:rPr>
                <w:webHidden/>
              </w:rPr>
              <w:fldChar w:fldCharType="begin"/>
            </w:r>
            <w:r w:rsidR="007C4B61">
              <w:rPr>
                <w:webHidden/>
              </w:rPr>
              <w:instrText xml:space="preserve"> PAGEREF _Toc390171196 \h </w:instrText>
            </w:r>
            <w:r w:rsidR="007C4B61">
              <w:rPr>
                <w:webHidden/>
              </w:rPr>
            </w:r>
            <w:r w:rsidR="007C4B61">
              <w:rPr>
                <w:webHidden/>
              </w:rPr>
              <w:fldChar w:fldCharType="separate"/>
            </w:r>
            <w:r w:rsidR="007C4B61">
              <w:rPr>
                <w:webHidden/>
              </w:rPr>
              <w:t>65</w:t>
            </w:r>
            <w:r w:rsidR="007C4B61">
              <w:rPr>
                <w:webHidden/>
              </w:rPr>
              <w:fldChar w:fldCharType="end"/>
            </w:r>
          </w:hyperlink>
        </w:p>
        <w:p w:rsidR="007C4B61" w:rsidRDefault="00410313">
          <w:pPr>
            <w:pStyle w:val="TOC2"/>
            <w:rPr>
              <w:rFonts w:eastAsiaTheme="minorEastAsia"/>
              <w:b w:val="0"/>
              <w:lang w:eastAsia="en-US"/>
            </w:rPr>
          </w:pPr>
          <w:hyperlink w:anchor="_Toc390171197" w:history="1">
            <w:r w:rsidR="007C4B61" w:rsidRPr="00133E52">
              <w:rPr>
                <w:rStyle w:val="Hyperlink"/>
              </w:rPr>
              <w:t>Stage 2 - Core #15: Summary of Care</w:t>
            </w:r>
            <w:r w:rsidR="007C4B61">
              <w:rPr>
                <w:webHidden/>
              </w:rPr>
              <w:tab/>
            </w:r>
            <w:r w:rsidR="007C4B61">
              <w:rPr>
                <w:webHidden/>
              </w:rPr>
              <w:fldChar w:fldCharType="begin"/>
            </w:r>
            <w:r w:rsidR="007C4B61">
              <w:rPr>
                <w:webHidden/>
              </w:rPr>
              <w:instrText xml:space="preserve"> PAGEREF _Toc390171197 \h </w:instrText>
            </w:r>
            <w:r w:rsidR="007C4B61">
              <w:rPr>
                <w:webHidden/>
              </w:rPr>
            </w:r>
            <w:r w:rsidR="007C4B61">
              <w:rPr>
                <w:webHidden/>
              </w:rPr>
              <w:fldChar w:fldCharType="separate"/>
            </w:r>
            <w:r w:rsidR="007C4B61">
              <w:rPr>
                <w:webHidden/>
              </w:rPr>
              <w:t>66</w:t>
            </w:r>
            <w:r w:rsidR="007C4B61">
              <w:rPr>
                <w:webHidden/>
              </w:rPr>
              <w:fldChar w:fldCharType="end"/>
            </w:r>
          </w:hyperlink>
        </w:p>
        <w:p w:rsidR="007C4B61" w:rsidRDefault="00410313">
          <w:pPr>
            <w:pStyle w:val="TOC3"/>
            <w:tabs>
              <w:tab w:val="right" w:leader="dot" w:pos="10790"/>
            </w:tabs>
            <w:rPr>
              <w:noProof/>
              <w:lang w:eastAsia="en-US"/>
            </w:rPr>
          </w:pPr>
          <w:hyperlink w:anchor="_Toc390171198" w:history="1">
            <w:r w:rsidR="007C4B61" w:rsidRPr="00133E52">
              <w:rPr>
                <w:rStyle w:val="Hyperlink"/>
                <w:noProof/>
              </w:rPr>
              <w:t>Summary of Care: Explanation of Measure</w:t>
            </w:r>
            <w:r w:rsidR="007C4B61">
              <w:rPr>
                <w:noProof/>
                <w:webHidden/>
              </w:rPr>
              <w:tab/>
            </w:r>
            <w:r w:rsidR="007C4B61">
              <w:rPr>
                <w:noProof/>
                <w:webHidden/>
              </w:rPr>
              <w:fldChar w:fldCharType="begin"/>
            </w:r>
            <w:r w:rsidR="007C4B61">
              <w:rPr>
                <w:noProof/>
                <w:webHidden/>
              </w:rPr>
              <w:instrText xml:space="preserve"> PAGEREF _Toc390171198 \h </w:instrText>
            </w:r>
            <w:r w:rsidR="007C4B61">
              <w:rPr>
                <w:noProof/>
                <w:webHidden/>
              </w:rPr>
            </w:r>
            <w:r w:rsidR="007C4B61">
              <w:rPr>
                <w:noProof/>
                <w:webHidden/>
              </w:rPr>
              <w:fldChar w:fldCharType="separate"/>
            </w:r>
            <w:r w:rsidR="007C4B61">
              <w:rPr>
                <w:noProof/>
                <w:webHidden/>
              </w:rPr>
              <w:t>67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199" w:history="1">
            <w:r w:rsidR="007C4B61" w:rsidRPr="00133E52">
              <w:rPr>
                <w:rStyle w:val="Hyperlink"/>
                <w:noProof/>
              </w:rPr>
              <w:t>Measure 1: Referral/Transfer of Care</w:t>
            </w:r>
            <w:r w:rsidR="007C4B61">
              <w:rPr>
                <w:noProof/>
                <w:webHidden/>
              </w:rPr>
              <w:tab/>
            </w:r>
            <w:r w:rsidR="007C4B61">
              <w:rPr>
                <w:noProof/>
                <w:webHidden/>
              </w:rPr>
              <w:fldChar w:fldCharType="begin"/>
            </w:r>
            <w:r w:rsidR="007C4B61">
              <w:rPr>
                <w:noProof/>
                <w:webHidden/>
              </w:rPr>
              <w:instrText xml:space="preserve"> PAGEREF _Toc390171199 \h </w:instrText>
            </w:r>
            <w:r w:rsidR="007C4B61">
              <w:rPr>
                <w:noProof/>
                <w:webHidden/>
              </w:rPr>
            </w:r>
            <w:r w:rsidR="007C4B61">
              <w:rPr>
                <w:noProof/>
                <w:webHidden/>
              </w:rPr>
              <w:fldChar w:fldCharType="separate"/>
            </w:r>
            <w:r w:rsidR="007C4B61">
              <w:rPr>
                <w:noProof/>
                <w:webHidden/>
              </w:rPr>
              <w:t>67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200" w:history="1">
            <w:r w:rsidR="007C4B61" w:rsidRPr="00133E52">
              <w:rPr>
                <w:rStyle w:val="Hyperlink"/>
                <w:noProof/>
              </w:rPr>
              <w:t>Measure 2: Electronic Transmission and Receipt</w:t>
            </w:r>
            <w:r w:rsidR="007C4B61">
              <w:rPr>
                <w:noProof/>
                <w:webHidden/>
              </w:rPr>
              <w:tab/>
            </w:r>
            <w:r w:rsidR="007C4B61">
              <w:rPr>
                <w:noProof/>
                <w:webHidden/>
              </w:rPr>
              <w:fldChar w:fldCharType="begin"/>
            </w:r>
            <w:r w:rsidR="007C4B61">
              <w:rPr>
                <w:noProof/>
                <w:webHidden/>
              </w:rPr>
              <w:instrText xml:space="preserve"> PAGEREF _Toc390171200 \h </w:instrText>
            </w:r>
            <w:r w:rsidR="007C4B61">
              <w:rPr>
                <w:noProof/>
                <w:webHidden/>
              </w:rPr>
            </w:r>
            <w:r w:rsidR="007C4B61">
              <w:rPr>
                <w:noProof/>
                <w:webHidden/>
              </w:rPr>
              <w:fldChar w:fldCharType="separate"/>
            </w:r>
            <w:r w:rsidR="007C4B61">
              <w:rPr>
                <w:noProof/>
                <w:webHidden/>
              </w:rPr>
              <w:t>67</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201" w:history="1">
            <w:r w:rsidR="007C4B61" w:rsidRPr="00133E52">
              <w:rPr>
                <w:rStyle w:val="Hyperlink"/>
                <w:noProof/>
              </w:rPr>
              <w:t>Measure 3: Conduct Successful Electronic Exchange</w:t>
            </w:r>
            <w:r w:rsidR="007C4B61">
              <w:rPr>
                <w:noProof/>
                <w:webHidden/>
              </w:rPr>
              <w:tab/>
            </w:r>
            <w:r w:rsidR="007C4B61">
              <w:rPr>
                <w:noProof/>
                <w:webHidden/>
              </w:rPr>
              <w:fldChar w:fldCharType="begin"/>
            </w:r>
            <w:r w:rsidR="007C4B61">
              <w:rPr>
                <w:noProof/>
                <w:webHidden/>
              </w:rPr>
              <w:instrText xml:space="preserve"> PAGEREF _Toc390171201 \h </w:instrText>
            </w:r>
            <w:r w:rsidR="007C4B61">
              <w:rPr>
                <w:noProof/>
                <w:webHidden/>
              </w:rPr>
            </w:r>
            <w:r w:rsidR="007C4B61">
              <w:rPr>
                <w:noProof/>
                <w:webHidden/>
              </w:rPr>
              <w:fldChar w:fldCharType="separate"/>
            </w:r>
            <w:r w:rsidR="007C4B61">
              <w:rPr>
                <w:noProof/>
                <w:webHidden/>
              </w:rPr>
              <w:t>69</w:t>
            </w:r>
            <w:r w:rsidR="007C4B61">
              <w:rPr>
                <w:noProof/>
                <w:webHidden/>
              </w:rPr>
              <w:fldChar w:fldCharType="end"/>
            </w:r>
          </w:hyperlink>
        </w:p>
        <w:p w:rsidR="007C4B61" w:rsidRDefault="00410313">
          <w:pPr>
            <w:pStyle w:val="TOC3"/>
            <w:tabs>
              <w:tab w:val="right" w:leader="dot" w:pos="10790"/>
            </w:tabs>
            <w:rPr>
              <w:noProof/>
              <w:lang w:eastAsia="en-US"/>
            </w:rPr>
          </w:pPr>
          <w:hyperlink w:anchor="_Toc390171202" w:history="1">
            <w:r w:rsidR="007C4B61" w:rsidRPr="00133E52">
              <w:rPr>
                <w:rStyle w:val="Hyperlink"/>
                <w:noProof/>
              </w:rPr>
              <w:t>Summary of Care: Recording of Numerator in Valant</w:t>
            </w:r>
            <w:r w:rsidR="007C4B61">
              <w:rPr>
                <w:noProof/>
                <w:webHidden/>
              </w:rPr>
              <w:tab/>
            </w:r>
            <w:r w:rsidR="007C4B61">
              <w:rPr>
                <w:noProof/>
                <w:webHidden/>
              </w:rPr>
              <w:fldChar w:fldCharType="begin"/>
            </w:r>
            <w:r w:rsidR="007C4B61">
              <w:rPr>
                <w:noProof/>
                <w:webHidden/>
              </w:rPr>
              <w:instrText xml:space="preserve"> PAGEREF _Toc390171202 \h </w:instrText>
            </w:r>
            <w:r w:rsidR="007C4B61">
              <w:rPr>
                <w:noProof/>
                <w:webHidden/>
              </w:rPr>
            </w:r>
            <w:r w:rsidR="007C4B61">
              <w:rPr>
                <w:noProof/>
                <w:webHidden/>
              </w:rPr>
              <w:fldChar w:fldCharType="separate"/>
            </w:r>
            <w:r w:rsidR="007C4B61">
              <w:rPr>
                <w:noProof/>
                <w:webHidden/>
              </w:rPr>
              <w:t>69</w:t>
            </w:r>
            <w:r w:rsidR="007C4B61">
              <w:rPr>
                <w:noProof/>
                <w:webHidden/>
              </w:rPr>
              <w:fldChar w:fldCharType="end"/>
            </w:r>
          </w:hyperlink>
        </w:p>
        <w:p w:rsidR="007C4B61" w:rsidRDefault="00410313">
          <w:pPr>
            <w:pStyle w:val="TOC2"/>
            <w:rPr>
              <w:rFonts w:eastAsiaTheme="minorEastAsia"/>
              <w:b w:val="0"/>
              <w:lang w:eastAsia="en-US"/>
            </w:rPr>
          </w:pPr>
          <w:hyperlink w:anchor="_Toc390171203" w:history="1">
            <w:r w:rsidR="007C4B61" w:rsidRPr="00133E52">
              <w:rPr>
                <w:rStyle w:val="Hyperlink"/>
              </w:rPr>
              <w:t>Stage 2 - Core #16: Immunization Registries Data Submission</w:t>
            </w:r>
            <w:r w:rsidR="007C4B61">
              <w:rPr>
                <w:webHidden/>
              </w:rPr>
              <w:tab/>
            </w:r>
            <w:r w:rsidR="007C4B61">
              <w:rPr>
                <w:webHidden/>
              </w:rPr>
              <w:fldChar w:fldCharType="begin"/>
            </w:r>
            <w:r w:rsidR="007C4B61">
              <w:rPr>
                <w:webHidden/>
              </w:rPr>
              <w:instrText xml:space="preserve"> PAGEREF _Toc390171203 \h </w:instrText>
            </w:r>
            <w:r w:rsidR="007C4B61">
              <w:rPr>
                <w:webHidden/>
              </w:rPr>
            </w:r>
            <w:r w:rsidR="007C4B61">
              <w:rPr>
                <w:webHidden/>
              </w:rPr>
              <w:fldChar w:fldCharType="separate"/>
            </w:r>
            <w:r w:rsidR="007C4B61">
              <w:rPr>
                <w:webHidden/>
              </w:rPr>
              <w:t>72</w:t>
            </w:r>
            <w:r w:rsidR="007C4B61">
              <w:rPr>
                <w:webHidden/>
              </w:rPr>
              <w:fldChar w:fldCharType="end"/>
            </w:r>
          </w:hyperlink>
        </w:p>
        <w:p w:rsidR="007C4B61" w:rsidRDefault="00410313">
          <w:pPr>
            <w:pStyle w:val="TOC3"/>
            <w:tabs>
              <w:tab w:val="right" w:leader="dot" w:pos="10790"/>
            </w:tabs>
            <w:rPr>
              <w:noProof/>
              <w:lang w:eastAsia="en-US"/>
            </w:rPr>
          </w:pPr>
          <w:hyperlink w:anchor="_Toc390171204" w:history="1">
            <w:r w:rsidR="007C4B61" w:rsidRPr="00133E52">
              <w:rPr>
                <w:rStyle w:val="Hyperlink"/>
                <w:rFonts w:eastAsia="Times New Roman"/>
                <w:noProof/>
              </w:rPr>
              <w:t>Immunization Registries Data Submission</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_Toc390171204 \h </w:instrText>
            </w:r>
            <w:r w:rsidR="007C4B61">
              <w:rPr>
                <w:noProof/>
                <w:webHidden/>
              </w:rPr>
            </w:r>
            <w:r w:rsidR="007C4B61">
              <w:rPr>
                <w:noProof/>
                <w:webHidden/>
              </w:rPr>
              <w:fldChar w:fldCharType="separate"/>
            </w:r>
            <w:r w:rsidR="007C4B61">
              <w:rPr>
                <w:noProof/>
                <w:webHidden/>
              </w:rPr>
              <w:t>72</w:t>
            </w:r>
            <w:r w:rsidR="007C4B61">
              <w:rPr>
                <w:noProof/>
                <w:webHidden/>
              </w:rPr>
              <w:fldChar w:fldCharType="end"/>
            </w:r>
          </w:hyperlink>
        </w:p>
        <w:p w:rsidR="007C4B61" w:rsidRDefault="00410313">
          <w:pPr>
            <w:pStyle w:val="TOC2"/>
            <w:rPr>
              <w:rFonts w:eastAsiaTheme="minorEastAsia"/>
              <w:b w:val="0"/>
              <w:lang w:eastAsia="en-US"/>
            </w:rPr>
          </w:pPr>
          <w:hyperlink w:anchor="_Toc390171205" w:history="1">
            <w:r w:rsidR="007C4B61" w:rsidRPr="00133E52">
              <w:rPr>
                <w:rStyle w:val="Hyperlink"/>
              </w:rPr>
              <w:t>Stage 2 - Core #17: Use Secure Electronic Messaging</w:t>
            </w:r>
            <w:r w:rsidR="007C4B61">
              <w:rPr>
                <w:webHidden/>
              </w:rPr>
              <w:tab/>
            </w:r>
            <w:r w:rsidR="007C4B61">
              <w:rPr>
                <w:webHidden/>
              </w:rPr>
              <w:fldChar w:fldCharType="begin"/>
            </w:r>
            <w:r w:rsidR="007C4B61">
              <w:rPr>
                <w:webHidden/>
              </w:rPr>
              <w:instrText xml:space="preserve"> PAGEREF _Toc390171205 \h </w:instrText>
            </w:r>
            <w:r w:rsidR="007C4B61">
              <w:rPr>
                <w:webHidden/>
              </w:rPr>
            </w:r>
            <w:r w:rsidR="007C4B61">
              <w:rPr>
                <w:webHidden/>
              </w:rPr>
              <w:fldChar w:fldCharType="separate"/>
            </w:r>
            <w:r w:rsidR="007C4B61">
              <w:rPr>
                <w:webHidden/>
              </w:rPr>
              <w:t>73</w:t>
            </w:r>
            <w:r w:rsidR="007C4B61">
              <w:rPr>
                <w:webHidden/>
              </w:rPr>
              <w:fldChar w:fldCharType="end"/>
            </w:r>
          </w:hyperlink>
        </w:p>
        <w:p w:rsidR="007C4B61" w:rsidRDefault="00410313">
          <w:pPr>
            <w:pStyle w:val="TOC3"/>
            <w:tabs>
              <w:tab w:val="right" w:leader="dot" w:pos="10790"/>
            </w:tabs>
            <w:rPr>
              <w:noProof/>
              <w:lang w:eastAsia="en-US"/>
            </w:rPr>
          </w:pPr>
          <w:hyperlink w:anchor="_Toc390171206" w:history="1">
            <w:r w:rsidR="007C4B61" w:rsidRPr="00133E52">
              <w:rPr>
                <w:rStyle w:val="Hyperlink"/>
                <w:rFonts w:eastAsia="Times New Roman"/>
                <w:noProof/>
              </w:rPr>
              <w:t>Secure Electronic Messaging</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_Toc390171206 \h </w:instrText>
            </w:r>
            <w:r w:rsidR="007C4B61">
              <w:rPr>
                <w:noProof/>
                <w:webHidden/>
              </w:rPr>
            </w:r>
            <w:r w:rsidR="007C4B61">
              <w:rPr>
                <w:noProof/>
                <w:webHidden/>
              </w:rPr>
              <w:fldChar w:fldCharType="separate"/>
            </w:r>
            <w:r w:rsidR="007C4B61">
              <w:rPr>
                <w:noProof/>
                <w:webHidden/>
              </w:rPr>
              <w:t>73</w:t>
            </w:r>
            <w:r w:rsidR="007C4B61">
              <w:rPr>
                <w:noProof/>
                <w:webHidden/>
              </w:rPr>
              <w:fldChar w:fldCharType="end"/>
            </w:r>
          </w:hyperlink>
        </w:p>
        <w:p w:rsidR="007C4B61" w:rsidRDefault="00410313">
          <w:pPr>
            <w:pStyle w:val="TOC3"/>
            <w:tabs>
              <w:tab w:val="right" w:leader="dot" w:pos="10790"/>
            </w:tabs>
            <w:rPr>
              <w:noProof/>
              <w:lang w:eastAsia="en-US"/>
            </w:rPr>
          </w:pPr>
          <w:hyperlink w:anchor="_Toc390171207" w:history="1">
            <w:r w:rsidR="007C4B61" w:rsidRPr="00133E52">
              <w:rPr>
                <w:rStyle w:val="Hyperlink"/>
                <w:rFonts w:eastAsia="Times New Roman"/>
                <w:noProof/>
              </w:rPr>
              <w:t>Secure Electronic Messaging</w:t>
            </w:r>
            <w:r w:rsidR="007C4B61" w:rsidRPr="00133E52">
              <w:rPr>
                <w:rStyle w:val="Hyperlink"/>
                <w:noProof/>
              </w:rPr>
              <w:t>: Recording of Numerator in Valant</w:t>
            </w:r>
            <w:r w:rsidR="007C4B61">
              <w:rPr>
                <w:noProof/>
                <w:webHidden/>
              </w:rPr>
              <w:tab/>
            </w:r>
            <w:r w:rsidR="007C4B61">
              <w:rPr>
                <w:noProof/>
                <w:webHidden/>
              </w:rPr>
              <w:fldChar w:fldCharType="begin"/>
            </w:r>
            <w:r w:rsidR="007C4B61">
              <w:rPr>
                <w:noProof/>
                <w:webHidden/>
              </w:rPr>
              <w:instrText xml:space="preserve"> PAGEREF _Toc390171207 \h </w:instrText>
            </w:r>
            <w:r w:rsidR="007C4B61">
              <w:rPr>
                <w:noProof/>
                <w:webHidden/>
              </w:rPr>
            </w:r>
            <w:r w:rsidR="007C4B61">
              <w:rPr>
                <w:noProof/>
                <w:webHidden/>
              </w:rPr>
              <w:fldChar w:fldCharType="separate"/>
            </w:r>
            <w:r w:rsidR="007C4B61">
              <w:rPr>
                <w:noProof/>
                <w:webHidden/>
              </w:rPr>
              <w:t>74</w:t>
            </w:r>
            <w:r w:rsidR="007C4B61">
              <w:rPr>
                <w:noProof/>
                <w:webHidden/>
              </w:rPr>
              <w:fldChar w:fldCharType="end"/>
            </w:r>
          </w:hyperlink>
        </w:p>
        <w:p w:rsidR="007C4B61" w:rsidRDefault="00410313">
          <w:pPr>
            <w:pStyle w:val="TOC1"/>
            <w:tabs>
              <w:tab w:val="right" w:leader="dot" w:pos="10790"/>
            </w:tabs>
            <w:rPr>
              <w:noProof/>
              <w:lang w:eastAsia="en-US"/>
            </w:rPr>
          </w:pPr>
          <w:hyperlink w:anchor="_Toc390171208" w:history="1">
            <w:r w:rsidR="007C4B61" w:rsidRPr="00133E52">
              <w:rPr>
                <w:rStyle w:val="Hyperlink"/>
                <w:noProof/>
              </w:rPr>
              <w:t>Stage 2 Menu Measures</w:t>
            </w:r>
            <w:r w:rsidR="007C4B61">
              <w:rPr>
                <w:noProof/>
                <w:webHidden/>
              </w:rPr>
              <w:tab/>
            </w:r>
            <w:r w:rsidR="007C4B61">
              <w:rPr>
                <w:noProof/>
                <w:webHidden/>
              </w:rPr>
              <w:fldChar w:fldCharType="begin"/>
            </w:r>
            <w:r w:rsidR="007C4B61">
              <w:rPr>
                <w:noProof/>
                <w:webHidden/>
              </w:rPr>
              <w:instrText xml:space="preserve"> PAGEREF _Toc390171208 \h </w:instrText>
            </w:r>
            <w:r w:rsidR="007C4B61">
              <w:rPr>
                <w:noProof/>
                <w:webHidden/>
              </w:rPr>
            </w:r>
            <w:r w:rsidR="007C4B61">
              <w:rPr>
                <w:noProof/>
                <w:webHidden/>
              </w:rPr>
              <w:fldChar w:fldCharType="separate"/>
            </w:r>
            <w:r w:rsidR="007C4B61">
              <w:rPr>
                <w:noProof/>
                <w:webHidden/>
              </w:rPr>
              <w:t>75</w:t>
            </w:r>
            <w:r w:rsidR="007C4B61">
              <w:rPr>
                <w:noProof/>
                <w:webHidden/>
              </w:rPr>
              <w:fldChar w:fldCharType="end"/>
            </w:r>
          </w:hyperlink>
        </w:p>
        <w:p w:rsidR="007C4B61" w:rsidRDefault="00410313">
          <w:pPr>
            <w:pStyle w:val="TOC2"/>
            <w:rPr>
              <w:rFonts w:eastAsiaTheme="minorEastAsia"/>
              <w:b w:val="0"/>
              <w:lang w:eastAsia="en-US"/>
            </w:rPr>
          </w:pPr>
          <w:hyperlink w:anchor="_Toc390171209" w:history="1">
            <w:r w:rsidR="007C4B61" w:rsidRPr="00133E52">
              <w:rPr>
                <w:rStyle w:val="Hyperlink"/>
              </w:rPr>
              <w:t>Stage 2 - Menu #1: Syndromic Surveillance Data Submission</w:t>
            </w:r>
            <w:r w:rsidR="007C4B61">
              <w:rPr>
                <w:webHidden/>
              </w:rPr>
              <w:tab/>
            </w:r>
            <w:r w:rsidR="007C4B61">
              <w:rPr>
                <w:webHidden/>
              </w:rPr>
              <w:fldChar w:fldCharType="begin"/>
            </w:r>
            <w:r w:rsidR="007C4B61">
              <w:rPr>
                <w:webHidden/>
              </w:rPr>
              <w:instrText xml:space="preserve"> PAGEREF _Toc390171209 \h </w:instrText>
            </w:r>
            <w:r w:rsidR="007C4B61">
              <w:rPr>
                <w:webHidden/>
              </w:rPr>
            </w:r>
            <w:r w:rsidR="007C4B61">
              <w:rPr>
                <w:webHidden/>
              </w:rPr>
              <w:fldChar w:fldCharType="separate"/>
            </w:r>
            <w:r w:rsidR="007C4B61">
              <w:rPr>
                <w:webHidden/>
              </w:rPr>
              <w:t>76</w:t>
            </w:r>
            <w:r w:rsidR="007C4B61">
              <w:rPr>
                <w:webHidden/>
              </w:rPr>
              <w:fldChar w:fldCharType="end"/>
            </w:r>
          </w:hyperlink>
        </w:p>
        <w:p w:rsidR="007C4B61" w:rsidRDefault="00410313">
          <w:pPr>
            <w:pStyle w:val="TOC3"/>
            <w:tabs>
              <w:tab w:val="right" w:leader="dot" w:pos="10790"/>
            </w:tabs>
            <w:rPr>
              <w:noProof/>
              <w:lang w:eastAsia="en-US"/>
            </w:rPr>
          </w:pPr>
          <w:hyperlink w:anchor="_Toc390171210" w:history="1">
            <w:r w:rsidR="007C4B61" w:rsidRPr="00133E52">
              <w:rPr>
                <w:rStyle w:val="Hyperlink"/>
                <w:rFonts w:eastAsia="Times New Roman"/>
                <w:noProof/>
              </w:rPr>
              <w:t>Syndromic Surveillance Data</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_Toc390171210 \h </w:instrText>
            </w:r>
            <w:r w:rsidR="007C4B61">
              <w:rPr>
                <w:noProof/>
                <w:webHidden/>
              </w:rPr>
            </w:r>
            <w:r w:rsidR="007C4B61">
              <w:rPr>
                <w:noProof/>
                <w:webHidden/>
              </w:rPr>
              <w:fldChar w:fldCharType="separate"/>
            </w:r>
            <w:r w:rsidR="007C4B61">
              <w:rPr>
                <w:noProof/>
                <w:webHidden/>
              </w:rPr>
              <w:t>77</w:t>
            </w:r>
            <w:r w:rsidR="007C4B61">
              <w:rPr>
                <w:noProof/>
                <w:webHidden/>
              </w:rPr>
              <w:fldChar w:fldCharType="end"/>
            </w:r>
          </w:hyperlink>
        </w:p>
        <w:p w:rsidR="007C4B61" w:rsidRDefault="00410313">
          <w:pPr>
            <w:pStyle w:val="TOC2"/>
            <w:rPr>
              <w:rFonts w:eastAsiaTheme="minorEastAsia"/>
              <w:b w:val="0"/>
              <w:lang w:eastAsia="en-US"/>
            </w:rPr>
          </w:pPr>
          <w:hyperlink w:anchor="_Toc390171211" w:history="1">
            <w:r w:rsidR="007C4B61" w:rsidRPr="00133E52">
              <w:rPr>
                <w:rStyle w:val="Hyperlink"/>
              </w:rPr>
              <w:t>Stage 2 - Menu #2: Electronic Notes</w:t>
            </w:r>
            <w:r w:rsidR="007C4B61">
              <w:rPr>
                <w:webHidden/>
              </w:rPr>
              <w:tab/>
            </w:r>
            <w:r w:rsidR="007C4B61">
              <w:rPr>
                <w:webHidden/>
              </w:rPr>
              <w:fldChar w:fldCharType="begin"/>
            </w:r>
            <w:r w:rsidR="007C4B61">
              <w:rPr>
                <w:webHidden/>
              </w:rPr>
              <w:instrText xml:space="preserve"> PAGEREF _Toc390171211 \h </w:instrText>
            </w:r>
            <w:r w:rsidR="007C4B61">
              <w:rPr>
                <w:webHidden/>
              </w:rPr>
            </w:r>
            <w:r w:rsidR="007C4B61">
              <w:rPr>
                <w:webHidden/>
              </w:rPr>
              <w:fldChar w:fldCharType="separate"/>
            </w:r>
            <w:r w:rsidR="007C4B61">
              <w:rPr>
                <w:webHidden/>
              </w:rPr>
              <w:t>78</w:t>
            </w:r>
            <w:r w:rsidR="007C4B61">
              <w:rPr>
                <w:webHidden/>
              </w:rPr>
              <w:fldChar w:fldCharType="end"/>
            </w:r>
          </w:hyperlink>
        </w:p>
        <w:p w:rsidR="007C4B61" w:rsidRDefault="00410313">
          <w:pPr>
            <w:pStyle w:val="TOC3"/>
            <w:tabs>
              <w:tab w:val="right" w:leader="dot" w:pos="10790"/>
            </w:tabs>
            <w:rPr>
              <w:noProof/>
              <w:lang w:eastAsia="en-US"/>
            </w:rPr>
          </w:pPr>
          <w:hyperlink w:anchor="_Toc390171212" w:history="1">
            <w:r w:rsidR="007C4B61" w:rsidRPr="00133E52">
              <w:rPr>
                <w:rStyle w:val="Hyperlink"/>
                <w:rFonts w:eastAsia="Times New Roman"/>
                <w:noProof/>
              </w:rPr>
              <w:t>Electronic Notes</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_Toc390171212 \h </w:instrText>
            </w:r>
            <w:r w:rsidR="007C4B61">
              <w:rPr>
                <w:noProof/>
                <w:webHidden/>
              </w:rPr>
            </w:r>
            <w:r w:rsidR="007C4B61">
              <w:rPr>
                <w:noProof/>
                <w:webHidden/>
              </w:rPr>
              <w:fldChar w:fldCharType="separate"/>
            </w:r>
            <w:r w:rsidR="007C4B61">
              <w:rPr>
                <w:noProof/>
                <w:webHidden/>
              </w:rPr>
              <w:t>78</w:t>
            </w:r>
            <w:r w:rsidR="007C4B61">
              <w:rPr>
                <w:noProof/>
                <w:webHidden/>
              </w:rPr>
              <w:fldChar w:fldCharType="end"/>
            </w:r>
          </w:hyperlink>
        </w:p>
        <w:p w:rsidR="007C4B61" w:rsidRDefault="00410313">
          <w:pPr>
            <w:pStyle w:val="TOC3"/>
            <w:tabs>
              <w:tab w:val="right" w:leader="dot" w:pos="10790"/>
            </w:tabs>
            <w:rPr>
              <w:noProof/>
              <w:lang w:eastAsia="en-US"/>
            </w:rPr>
          </w:pPr>
          <w:hyperlink w:anchor="_Toc390171213" w:history="1">
            <w:r w:rsidR="007C4B61" w:rsidRPr="00133E52">
              <w:rPr>
                <w:rStyle w:val="Hyperlink"/>
                <w:rFonts w:eastAsia="Times New Roman"/>
                <w:noProof/>
              </w:rPr>
              <w:t>Electronic Notes</w:t>
            </w:r>
            <w:r w:rsidR="007C4B61" w:rsidRPr="00133E52">
              <w:rPr>
                <w:rStyle w:val="Hyperlink"/>
                <w:noProof/>
              </w:rPr>
              <w:t>: Recording of Numerator in Valant</w:t>
            </w:r>
            <w:r w:rsidR="007C4B61">
              <w:rPr>
                <w:noProof/>
                <w:webHidden/>
              </w:rPr>
              <w:tab/>
            </w:r>
            <w:r w:rsidR="007C4B61">
              <w:rPr>
                <w:noProof/>
                <w:webHidden/>
              </w:rPr>
              <w:fldChar w:fldCharType="begin"/>
            </w:r>
            <w:r w:rsidR="007C4B61">
              <w:rPr>
                <w:noProof/>
                <w:webHidden/>
              </w:rPr>
              <w:instrText xml:space="preserve"> PAGEREF _Toc390171213 \h </w:instrText>
            </w:r>
            <w:r w:rsidR="007C4B61">
              <w:rPr>
                <w:noProof/>
                <w:webHidden/>
              </w:rPr>
            </w:r>
            <w:r w:rsidR="007C4B61">
              <w:rPr>
                <w:noProof/>
                <w:webHidden/>
              </w:rPr>
              <w:fldChar w:fldCharType="separate"/>
            </w:r>
            <w:r w:rsidR="007C4B61">
              <w:rPr>
                <w:noProof/>
                <w:webHidden/>
              </w:rPr>
              <w:t>79</w:t>
            </w:r>
            <w:r w:rsidR="007C4B61">
              <w:rPr>
                <w:noProof/>
                <w:webHidden/>
              </w:rPr>
              <w:fldChar w:fldCharType="end"/>
            </w:r>
          </w:hyperlink>
        </w:p>
        <w:p w:rsidR="007C4B61" w:rsidRDefault="00410313">
          <w:pPr>
            <w:pStyle w:val="TOC2"/>
            <w:rPr>
              <w:rFonts w:eastAsiaTheme="minorEastAsia"/>
              <w:b w:val="0"/>
              <w:lang w:eastAsia="en-US"/>
            </w:rPr>
          </w:pPr>
          <w:hyperlink w:anchor="_Toc390171214" w:history="1">
            <w:r w:rsidR="007C4B61" w:rsidRPr="00133E52">
              <w:rPr>
                <w:rStyle w:val="Hyperlink"/>
              </w:rPr>
              <w:t>Stage 2 - Menu #3: Imaging Results</w:t>
            </w:r>
            <w:r w:rsidR="007C4B61">
              <w:rPr>
                <w:webHidden/>
              </w:rPr>
              <w:tab/>
            </w:r>
            <w:r w:rsidR="007C4B61">
              <w:rPr>
                <w:webHidden/>
              </w:rPr>
              <w:fldChar w:fldCharType="begin"/>
            </w:r>
            <w:r w:rsidR="007C4B61">
              <w:rPr>
                <w:webHidden/>
              </w:rPr>
              <w:instrText xml:space="preserve"> PAGEREF _Toc390171214 \h </w:instrText>
            </w:r>
            <w:r w:rsidR="007C4B61">
              <w:rPr>
                <w:webHidden/>
              </w:rPr>
            </w:r>
            <w:r w:rsidR="007C4B61">
              <w:rPr>
                <w:webHidden/>
              </w:rPr>
              <w:fldChar w:fldCharType="separate"/>
            </w:r>
            <w:r w:rsidR="007C4B61">
              <w:rPr>
                <w:webHidden/>
              </w:rPr>
              <w:t>80</w:t>
            </w:r>
            <w:r w:rsidR="007C4B61">
              <w:rPr>
                <w:webHidden/>
              </w:rPr>
              <w:fldChar w:fldCharType="end"/>
            </w:r>
          </w:hyperlink>
        </w:p>
        <w:p w:rsidR="007C4B61" w:rsidRDefault="00410313">
          <w:pPr>
            <w:pStyle w:val="TOC3"/>
            <w:tabs>
              <w:tab w:val="right" w:leader="dot" w:pos="10790"/>
            </w:tabs>
            <w:rPr>
              <w:noProof/>
              <w:lang w:eastAsia="en-US"/>
            </w:rPr>
          </w:pPr>
          <w:hyperlink w:anchor="_Toc390171215" w:history="1">
            <w:r w:rsidR="007C4B61" w:rsidRPr="00133E52">
              <w:rPr>
                <w:rStyle w:val="Hyperlink"/>
                <w:rFonts w:eastAsia="Times New Roman"/>
                <w:noProof/>
              </w:rPr>
              <w:t>Imaging Results</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_Toc390171215 \h </w:instrText>
            </w:r>
            <w:r w:rsidR="007C4B61">
              <w:rPr>
                <w:noProof/>
                <w:webHidden/>
              </w:rPr>
            </w:r>
            <w:r w:rsidR="007C4B61">
              <w:rPr>
                <w:noProof/>
                <w:webHidden/>
              </w:rPr>
              <w:fldChar w:fldCharType="separate"/>
            </w:r>
            <w:r w:rsidR="007C4B61">
              <w:rPr>
                <w:noProof/>
                <w:webHidden/>
              </w:rPr>
              <w:t>80</w:t>
            </w:r>
            <w:r w:rsidR="007C4B61">
              <w:rPr>
                <w:noProof/>
                <w:webHidden/>
              </w:rPr>
              <w:fldChar w:fldCharType="end"/>
            </w:r>
          </w:hyperlink>
        </w:p>
        <w:p w:rsidR="007C4B61" w:rsidRDefault="00410313">
          <w:pPr>
            <w:pStyle w:val="TOC3"/>
            <w:tabs>
              <w:tab w:val="right" w:leader="dot" w:pos="10790"/>
            </w:tabs>
            <w:rPr>
              <w:noProof/>
              <w:lang w:eastAsia="en-US"/>
            </w:rPr>
          </w:pPr>
          <w:hyperlink w:anchor="_Toc390171216" w:history="1">
            <w:r w:rsidR="007C4B61" w:rsidRPr="00133E52">
              <w:rPr>
                <w:rStyle w:val="Hyperlink"/>
                <w:rFonts w:eastAsia="Times New Roman"/>
                <w:noProof/>
              </w:rPr>
              <w:t>Imaging Results</w:t>
            </w:r>
            <w:r w:rsidR="007C4B61" w:rsidRPr="00133E52">
              <w:rPr>
                <w:rStyle w:val="Hyperlink"/>
                <w:noProof/>
              </w:rPr>
              <w:t>: Recording of Numerator in Valant</w:t>
            </w:r>
            <w:r w:rsidR="007C4B61">
              <w:rPr>
                <w:noProof/>
                <w:webHidden/>
              </w:rPr>
              <w:tab/>
            </w:r>
            <w:r w:rsidR="007C4B61">
              <w:rPr>
                <w:noProof/>
                <w:webHidden/>
              </w:rPr>
              <w:fldChar w:fldCharType="begin"/>
            </w:r>
            <w:r w:rsidR="007C4B61">
              <w:rPr>
                <w:noProof/>
                <w:webHidden/>
              </w:rPr>
              <w:instrText xml:space="preserve"> PAGEREF _Toc390171216 \h </w:instrText>
            </w:r>
            <w:r w:rsidR="007C4B61">
              <w:rPr>
                <w:noProof/>
                <w:webHidden/>
              </w:rPr>
            </w:r>
            <w:r w:rsidR="007C4B61">
              <w:rPr>
                <w:noProof/>
                <w:webHidden/>
              </w:rPr>
              <w:fldChar w:fldCharType="separate"/>
            </w:r>
            <w:r w:rsidR="007C4B61">
              <w:rPr>
                <w:noProof/>
                <w:webHidden/>
              </w:rPr>
              <w:t>81</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217" w:history="1">
            <w:r w:rsidR="007C4B61" w:rsidRPr="00133E52">
              <w:rPr>
                <w:rStyle w:val="Hyperlink"/>
                <w:noProof/>
              </w:rPr>
              <w:t>Image Results</w:t>
            </w:r>
            <w:r w:rsidR="007C4B61">
              <w:rPr>
                <w:noProof/>
                <w:webHidden/>
              </w:rPr>
              <w:tab/>
            </w:r>
            <w:r w:rsidR="007C4B61">
              <w:rPr>
                <w:noProof/>
                <w:webHidden/>
              </w:rPr>
              <w:fldChar w:fldCharType="begin"/>
            </w:r>
            <w:r w:rsidR="007C4B61">
              <w:rPr>
                <w:noProof/>
                <w:webHidden/>
              </w:rPr>
              <w:instrText xml:space="preserve"> PAGEREF _Toc390171217 \h </w:instrText>
            </w:r>
            <w:r w:rsidR="007C4B61">
              <w:rPr>
                <w:noProof/>
                <w:webHidden/>
              </w:rPr>
            </w:r>
            <w:r w:rsidR="007C4B61">
              <w:rPr>
                <w:noProof/>
                <w:webHidden/>
              </w:rPr>
              <w:fldChar w:fldCharType="separate"/>
            </w:r>
            <w:r w:rsidR="007C4B61">
              <w:rPr>
                <w:noProof/>
                <w:webHidden/>
              </w:rPr>
              <w:t>81</w:t>
            </w:r>
            <w:r w:rsidR="007C4B61">
              <w:rPr>
                <w:noProof/>
                <w:webHidden/>
              </w:rPr>
              <w:fldChar w:fldCharType="end"/>
            </w:r>
          </w:hyperlink>
        </w:p>
        <w:p w:rsidR="007C4B61" w:rsidRDefault="00410313">
          <w:pPr>
            <w:pStyle w:val="TOC4"/>
            <w:tabs>
              <w:tab w:val="right" w:leader="dot" w:pos="10790"/>
            </w:tabs>
            <w:rPr>
              <w:rFonts w:eastAsiaTheme="minorEastAsia"/>
              <w:noProof/>
            </w:rPr>
          </w:pPr>
          <w:hyperlink w:anchor="_Toc390171218" w:history="1">
            <w:r w:rsidR="007C4B61" w:rsidRPr="00133E52">
              <w:rPr>
                <w:rStyle w:val="Hyperlink"/>
                <w:noProof/>
              </w:rPr>
              <w:t>Image Order: Results Were Incorporated</w:t>
            </w:r>
            <w:r w:rsidR="007C4B61">
              <w:rPr>
                <w:noProof/>
                <w:webHidden/>
              </w:rPr>
              <w:tab/>
            </w:r>
            <w:r w:rsidR="007C4B61">
              <w:rPr>
                <w:noProof/>
                <w:webHidden/>
              </w:rPr>
              <w:fldChar w:fldCharType="begin"/>
            </w:r>
            <w:r w:rsidR="007C4B61">
              <w:rPr>
                <w:noProof/>
                <w:webHidden/>
              </w:rPr>
              <w:instrText xml:space="preserve"> PAGEREF _Toc390171218 \h </w:instrText>
            </w:r>
            <w:r w:rsidR="007C4B61">
              <w:rPr>
                <w:noProof/>
                <w:webHidden/>
              </w:rPr>
            </w:r>
            <w:r w:rsidR="007C4B61">
              <w:rPr>
                <w:noProof/>
                <w:webHidden/>
              </w:rPr>
              <w:fldChar w:fldCharType="separate"/>
            </w:r>
            <w:r w:rsidR="007C4B61">
              <w:rPr>
                <w:noProof/>
                <w:webHidden/>
              </w:rPr>
              <w:t>82</w:t>
            </w:r>
            <w:r w:rsidR="007C4B61">
              <w:rPr>
                <w:noProof/>
                <w:webHidden/>
              </w:rPr>
              <w:fldChar w:fldCharType="end"/>
            </w:r>
          </w:hyperlink>
        </w:p>
        <w:p w:rsidR="007C4B61" w:rsidRDefault="00410313">
          <w:pPr>
            <w:pStyle w:val="TOC2"/>
            <w:rPr>
              <w:rFonts w:eastAsiaTheme="minorEastAsia"/>
              <w:b w:val="0"/>
              <w:lang w:eastAsia="en-US"/>
            </w:rPr>
          </w:pPr>
          <w:hyperlink w:anchor="_Toc390171219" w:history="1">
            <w:r w:rsidR="007C4B61" w:rsidRPr="00133E52">
              <w:rPr>
                <w:rStyle w:val="Hyperlink"/>
              </w:rPr>
              <w:t>Stage 2 - Menu #4: Family Health History</w:t>
            </w:r>
            <w:r w:rsidR="007C4B61">
              <w:rPr>
                <w:webHidden/>
              </w:rPr>
              <w:tab/>
            </w:r>
            <w:r w:rsidR="007C4B61">
              <w:rPr>
                <w:webHidden/>
              </w:rPr>
              <w:fldChar w:fldCharType="begin"/>
            </w:r>
            <w:r w:rsidR="007C4B61">
              <w:rPr>
                <w:webHidden/>
              </w:rPr>
              <w:instrText xml:space="preserve"> PAGEREF _Toc390171219 \h </w:instrText>
            </w:r>
            <w:r w:rsidR="007C4B61">
              <w:rPr>
                <w:webHidden/>
              </w:rPr>
            </w:r>
            <w:r w:rsidR="007C4B61">
              <w:rPr>
                <w:webHidden/>
              </w:rPr>
              <w:fldChar w:fldCharType="separate"/>
            </w:r>
            <w:r w:rsidR="007C4B61">
              <w:rPr>
                <w:webHidden/>
              </w:rPr>
              <w:t>83</w:t>
            </w:r>
            <w:r w:rsidR="007C4B61">
              <w:rPr>
                <w:webHidden/>
              </w:rPr>
              <w:fldChar w:fldCharType="end"/>
            </w:r>
          </w:hyperlink>
        </w:p>
        <w:p w:rsidR="007C4B61" w:rsidRDefault="00410313">
          <w:pPr>
            <w:pStyle w:val="TOC3"/>
            <w:tabs>
              <w:tab w:val="right" w:leader="dot" w:pos="10790"/>
            </w:tabs>
            <w:rPr>
              <w:noProof/>
              <w:lang w:eastAsia="en-US"/>
            </w:rPr>
          </w:pPr>
          <w:hyperlink w:anchor="_Toc390171220" w:history="1">
            <w:r w:rsidR="007C4B61" w:rsidRPr="00133E52">
              <w:rPr>
                <w:rStyle w:val="Hyperlink"/>
                <w:rFonts w:eastAsia="Times New Roman"/>
                <w:noProof/>
              </w:rPr>
              <w:t>Family Health History</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_Toc390171220 \h </w:instrText>
            </w:r>
            <w:r w:rsidR="007C4B61">
              <w:rPr>
                <w:noProof/>
                <w:webHidden/>
              </w:rPr>
            </w:r>
            <w:r w:rsidR="007C4B61">
              <w:rPr>
                <w:noProof/>
                <w:webHidden/>
              </w:rPr>
              <w:fldChar w:fldCharType="separate"/>
            </w:r>
            <w:r w:rsidR="007C4B61">
              <w:rPr>
                <w:noProof/>
                <w:webHidden/>
              </w:rPr>
              <w:t>83</w:t>
            </w:r>
            <w:r w:rsidR="007C4B61">
              <w:rPr>
                <w:noProof/>
                <w:webHidden/>
              </w:rPr>
              <w:fldChar w:fldCharType="end"/>
            </w:r>
          </w:hyperlink>
        </w:p>
        <w:p w:rsidR="007C4B61" w:rsidRDefault="00410313">
          <w:pPr>
            <w:pStyle w:val="TOC3"/>
            <w:tabs>
              <w:tab w:val="right" w:leader="dot" w:pos="10790"/>
            </w:tabs>
            <w:rPr>
              <w:noProof/>
              <w:lang w:eastAsia="en-US"/>
            </w:rPr>
          </w:pPr>
          <w:hyperlink w:anchor="_Toc390171221" w:history="1">
            <w:r w:rsidR="007C4B61" w:rsidRPr="00133E52">
              <w:rPr>
                <w:rStyle w:val="Hyperlink"/>
                <w:rFonts w:eastAsia="Times New Roman"/>
                <w:noProof/>
              </w:rPr>
              <w:t>Family Health History</w:t>
            </w:r>
            <w:r w:rsidR="007C4B61" w:rsidRPr="00133E52">
              <w:rPr>
                <w:rStyle w:val="Hyperlink"/>
                <w:noProof/>
              </w:rPr>
              <w:t>: Recording of Numerator in Valant</w:t>
            </w:r>
            <w:r w:rsidR="007C4B61">
              <w:rPr>
                <w:noProof/>
                <w:webHidden/>
              </w:rPr>
              <w:tab/>
            </w:r>
            <w:r w:rsidR="007C4B61">
              <w:rPr>
                <w:noProof/>
                <w:webHidden/>
              </w:rPr>
              <w:fldChar w:fldCharType="begin"/>
            </w:r>
            <w:r w:rsidR="007C4B61">
              <w:rPr>
                <w:noProof/>
                <w:webHidden/>
              </w:rPr>
              <w:instrText xml:space="preserve"> PAGEREF _Toc390171221 \h </w:instrText>
            </w:r>
            <w:r w:rsidR="007C4B61">
              <w:rPr>
                <w:noProof/>
                <w:webHidden/>
              </w:rPr>
            </w:r>
            <w:r w:rsidR="007C4B61">
              <w:rPr>
                <w:noProof/>
                <w:webHidden/>
              </w:rPr>
              <w:fldChar w:fldCharType="separate"/>
            </w:r>
            <w:r w:rsidR="007C4B61">
              <w:rPr>
                <w:noProof/>
                <w:webHidden/>
              </w:rPr>
              <w:t>84</w:t>
            </w:r>
            <w:r w:rsidR="007C4B61">
              <w:rPr>
                <w:noProof/>
                <w:webHidden/>
              </w:rPr>
              <w:fldChar w:fldCharType="end"/>
            </w:r>
          </w:hyperlink>
        </w:p>
        <w:p w:rsidR="007C4B61" w:rsidRDefault="00410313">
          <w:pPr>
            <w:pStyle w:val="TOC2"/>
            <w:rPr>
              <w:rFonts w:eastAsiaTheme="minorEastAsia"/>
              <w:b w:val="0"/>
              <w:lang w:eastAsia="en-US"/>
            </w:rPr>
          </w:pPr>
          <w:hyperlink w:anchor="_Toc390171222" w:history="1">
            <w:r w:rsidR="007C4B61" w:rsidRPr="00133E52">
              <w:rPr>
                <w:rStyle w:val="Hyperlink"/>
              </w:rPr>
              <w:t>Stage 2 - Menu #5: Report Cancer Cases</w:t>
            </w:r>
            <w:r w:rsidR="007C4B61">
              <w:rPr>
                <w:webHidden/>
              </w:rPr>
              <w:tab/>
            </w:r>
            <w:r w:rsidR="007C4B61">
              <w:rPr>
                <w:webHidden/>
              </w:rPr>
              <w:fldChar w:fldCharType="begin"/>
            </w:r>
            <w:r w:rsidR="007C4B61">
              <w:rPr>
                <w:webHidden/>
              </w:rPr>
              <w:instrText xml:space="preserve"> PAGEREF _Toc390171222 \h </w:instrText>
            </w:r>
            <w:r w:rsidR="007C4B61">
              <w:rPr>
                <w:webHidden/>
              </w:rPr>
            </w:r>
            <w:r w:rsidR="007C4B61">
              <w:rPr>
                <w:webHidden/>
              </w:rPr>
              <w:fldChar w:fldCharType="separate"/>
            </w:r>
            <w:r w:rsidR="007C4B61">
              <w:rPr>
                <w:webHidden/>
              </w:rPr>
              <w:t>86</w:t>
            </w:r>
            <w:r w:rsidR="007C4B61">
              <w:rPr>
                <w:webHidden/>
              </w:rPr>
              <w:fldChar w:fldCharType="end"/>
            </w:r>
          </w:hyperlink>
        </w:p>
        <w:p w:rsidR="007C4B61" w:rsidRDefault="00410313">
          <w:pPr>
            <w:pStyle w:val="TOC3"/>
            <w:tabs>
              <w:tab w:val="right" w:leader="dot" w:pos="10790"/>
            </w:tabs>
            <w:rPr>
              <w:noProof/>
              <w:lang w:eastAsia="en-US"/>
            </w:rPr>
          </w:pPr>
          <w:hyperlink w:anchor="_Toc390171223" w:history="1">
            <w:r w:rsidR="007C4B61" w:rsidRPr="00133E52">
              <w:rPr>
                <w:rStyle w:val="Hyperlink"/>
                <w:rFonts w:eastAsia="Times New Roman"/>
                <w:noProof/>
              </w:rPr>
              <w:t>Report Cancer Cases</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_Toc390171223 \h </w:instrText>
            </w:r>
            <w:r w:rsidR="007C4B61">
              <w:rPr>
                <w:noProof/>
                <w:webHidden/>
              </w:rPr>
            </w:r>
            <w:r w:rsidR="007C4B61">
              <w:rPr>
                <w:noProof/>
                <w:webHidden/>
              </w:rPr>
              <w:fldChar w:fldCharType="separate"/>
            </w:r>
            <w:r w:rsidR="007C4B61">
              <w:rPr>
                <w:noProof/>
                <w:webHidden/>
              </w:rPr>
              <w:t>87</w:t>
            </w:r>
            <w:r w:rsidR="007C4B61">
              <w:rPr>
                <w:noProof/>
                <w:webHidden/>
              </w:rPr>
              <w:fldChar w:fldCharType="end"/>
            </w:r>
          </w:hyperlink>
        </w:p>
        <w:p w:rsidR="007C4B61" w:rsidRDefault="00410313">
          <w:pPr>
            <w:pStyle w:val="TOC2"/>
            <w:rPr>
              <w:rFonts w:eastAsiaTheme="minorEastAsia"/>
              <w:b w:val="0"/>
              <w:lang w:eastAsia="en-US"/>
            </w:rPr>
          </w:pPr>
          <w:hyperlink w:anchor="_Toc390171224" w:history="1">
            <w:r w:rsidR="007C4B61" w:rsidRPr="00133E52">
              <w:rPr>
                <w:rStyle w:val="Hyperlink"/>
              </w:rPr>
              <w:t>Stage 2 - Menu #6: Report Specific Cases</w:t>
            </w:r>
            <w:r w:rsidR="007C4B61">
              <w:rPr>
                <w:webHidden/>
              </w:rPr>
              <w:tab/>
            </w:r>
            <w:r w:rsidR="007C4B61">
              <w:rPr>
                <w:webHidden/>
              </w:rPr>
              <w:fldChar w:fldCharType="begin"/>
            </w:r>
            <w:r w:rsidR="007C4B61">
              <w:rPr>
                <w:webHidden/>
              </w:rPr>
              <w:instrText xml:space="preserve"> PAGEREF _Toc390171224 \h </w:instrText>
            </w:r>
            <w:r w:rsidR="007C4B61">
              <w:rPr>
                <w:webHidden/>
              </w:rPr>
            </w:r>
            <w:r w:rsidR="007C4B61">
              <w:rPr>
                <w:webHidden/>
              </w:rPr>
              <w:fldChar w:fldCharType="separate"/>
            </w:r>
            <w:r w:rsidR="007C4B61">
              <w:rPr>
                <w:webHidden/>
              </w:rPr>
              <w:t>88</w:t>
            </w:r>
            <w:r w:rsidR="007C4B61">
              <w:rPr>
                <w:webHidden/>
              </w:rPr>
              <w:fldChar w:fldCharType="end"/>
            </w:r>
          </w:hyperlink>
        </w:p>
        <w:p w:rsidR="007C4B61" w:rsidRDefault="00410313">
          <w:pPr>
            <w:pStyle w:val="TOC3"/>
            <w:tabs>
              <w:tab w:val="right" w:leader="dot" w:pos="10790"/>
            </w:tabs>
            <w:rPr>
              <w:noProof/>
              <w:lang w:eastAsia="en-US"/>
            </w:rPr>
          </w:pPr>
          <w:hyperlink w:anchor="_Toc390171225" w:history="1">
            <w:r w:rsidR="007C4B61" w:rsidRPr="00133E52">
              <w:rPr>
                <w:rStyle w:val="Hyperlink"/>
                <w:rFonts w:eastAsia="Times New Roman"/>
                <w:noProof/>
              </w:rPr>
              <w:t>Report Specific Cases</w:t>
            </w:r>
            <w:r w:rsidR="007C4B61" w:rsidRPr="00133E52">
              <w:rPr>
                <w:rStyle w:val="Hyperlink"/>
                <w:noProof/>
              </w:rPr>
              <w:t>: Explanation of Measure</w:t>
            </w:r>
            <w:r w:rsidR="007C4B61">
              <w:rPr>
                <w:noProof/>
                <w:webHidden/>
              </w:rPr>
              <w:tab/>
            </w:r>
            <w:r w:rsidR="007C4B61">
              <w:rPr>
                <w:noProof/>
                <w:webHidden/>
              </w:rPr>
              <w:fldChar w:fldCharType="begin"/>
            </w:r>
            <w:r w:rsidR="007C4B61">
              <w:rPr>
                <w:noProof/>
                <w:webHidden/>
              </w:rPr>
              <w:instrText xml:space="preserve"> PAGEREF _Toc390171225 \h </w:instrText>
            </w:r>
            <w:r w:rsidR="007C4B61">
              <w:rPr>
                <w:noProof/>
                <w:webHidden/>
              </w:rPr>
            </w:r>
            <w:r w:rsidR="007C4B61">
              <w:rPr>
                <w:noProof/>
                <w:webHidden/>
              </w:rPr>
              <w:fldChar w:fldCharType="separate"/>
            </w:r>
            <w:r w:rsidR="007C4B61">
              <w:rPr>
                <w:noProof/>
                <w:webHidden/>
              </w:rPr>
              <w:t>89</w:t>
            </w:r>
            <w:r w:rsidR="007C4B61">
              <w:rPr>
                <w:noProof/>
                <w:webHidden/>
              </w:rPr>
              <w:fldChar w:fldCharType="end"/>
            </w:r>
          </w:hyperlink>
        </w:p>
        <w:p w:rsidR="00B85C07" w:rsidRDefault="00B85C07">
          <w:r>
            <w:rPr>
              <w:rFonts w:eastAsiaTheme="minorEastAsia"/>
              <w:lang w:eastAsia="ja-JP"/>
            </w:rPr>
            <w:fldChar w:fldCharType="end"/>
          </w:r>
        </w:p>
      </w:sdtContent>
    </w:sdt>
    <w:p w:rsidR="00BA245D" w:rsidRDefault="00BA245D" w:rsidP="00BA245D"/>
    <w:p w:rsidR="00FF1A33" w:rsidRDefault="00FF1A33" w:rsidP="00BA245D">
      <w:r>
        <w:lastRenderedPageBreak/>
        <w:br w:type="page"/>
      </w:r>
    </w:p>
    <w:p w:rsidR="007878EE" w:rsidRDefault="007878EE" w:rsidP="007878EE">
      <w:pPr>
        <w:pStyle w:val="Heading1"/>
      </w:pPr>
      <w:bookmarkStart w:id="1" w:name="_Toc390171127"/>
      <w:r>
        <w:lastRenderedPageBreak/>
        <w:t>Introduction to Stage 2 in 2014 CEHRT</w:t>
      </w:r>
      <w:bookmarkEnd w:id="1"/>
    </w:p>
    <w:p w:rsidR="007878EE" w:rsidRDefault="007878EE" w:rsidP="00BA245D"/>
    <w:p w:rsidR="00270D8A" w:rsidRDefault="004867B8" w:rsidP="00BA245D">
      <w:r>
        <w:t>For Stage 2 reporting i</w:t>
      </w:r>
      <w:r w:rsidR="00270D8A">
        <w:t>n the 2014 Edition of Certified Electronic Health Record Technology (CEHRT), t</w:t>
      </w:r>
      <w:r w:rsidR="00A45120">
        <w:t xml:space="preserve">here are a total of </w:t>
      </w:r>
      <w:r w:rsidR="00A45120" w:rsidRPr="00A45120">
        <w:rPr>
          <w:b/>
        </w:rPr>
        <w:t>17 C</w:t>
      </w:r>
      <w:r w:rsidR="00BA245D" w:rsidRPr="00A45120">
        <w:rPr>
          <w:b/>
        </w:rPr>
        <w:t xml:space="preserve">ore </w:t>
      </w:r>
      <w:r w:rsidR="00A45120" w:rsidRPr="00A45120">
        <w:rPr>
          <w:b/>
        </w:rPr>
        <w:t>M</w:t>
      </w:r>
      <w:r w:rsidR="00270D8A" w:rsidRPr="00A45120">
        <w:rPr>
          <w:b/>
        </w:rPr>
        <w:t>easures</w:t>
      </w:r>
      <w:r w:rsidR="00A45120">
        <w:t xml:space="preserve"> and </w:t>
      </w:r>
      <w:r w:rsidR="00A45120" w:rsidRPr="00A45120">
        <w:rPr>
          <w:b/>
        </w:rPr>
        <w:t>6 Menu M</w:t>
      </w:r>
      <w:r w:rsidR="00270D8A" w:rsidRPr="00A45120">
        <w:rPr>
          <w:b/>
        </w:rPr>
        <w:t>easures</w:t>
      </w:r>
      <w:r w:rsidR="00270D8A">
        <w:t xml:space="preserve">. An Eligible Provider (EP) </w:t>
      </w:r>
      <w:r w:rsidR="00A45120">
        <w:t xml:space="preserve">must report on </w:t>
      </w:r>
      <w:r w:rsidR="00A45120" w:rsidRPr="00A45120">
        <w:rPr>
          <w:b/>
        </w:rPr>
        <w:t>3 of the 6 Menu M</w:t>
      </w:r>
      <w:r w:rsidR="00BA245D" w:rsidRPr="00A45120">
        <w:rPr>
          <w:b/>
        </w:rPr>
        <w:t>easures</w:t>
      </w:r>
      <w:r w:rsidR="00BA245D">
        <w:t xml:space="preserve"> and </w:t>
      </w:r>
      <w:r w:rsidR="00A45120">
        <w:rPr>
          <w:b/>
        </w:rPr>
        <w:t>all 17 Core M</w:t>
      </w:r>
      <w:r w:rsidR="00270D8A" w:rsidRPr="00A45120">
        <w:rPr>
          <w:b/>
        </w:rPr>
        <w:t>easures</w:t>
      </w:r>
      <w:r w:rsidR="00270D8A">
        <w:t xml:space="preserve"> in order to meet Meaningful Use</w:t>
      </w:r>
      <w:r w:rsidR="00BA245D">
        <w:t xml:space="preserve"> reporting under Stage 2</w:t>
      </w:r>
      <w:r w:rsidR="00270D8A">
        <w:t xml:space="preserve"> of the program</w:t>
      </w:r>
      <w:r w:rsidR="00BA245D">
        <w:t xml:space="preserve">. </w:t>
      </w:r>
      <w:r w:rsidR="003246E3">
        <w:t>An EP starts Stage 2 of Meaningful U</w:t>
      </w:r>
      <w:r w:rsidR="00270D8A">
        <w:t>se reporting once they have completed two years of reporting under Stage 1. This applies to providers submitting under both Medicaid and Medicare for Meaningful Use.</w:t>
      </w:r>
    </w:p>
    <w:p w:rsidR="00270D8A" w:rsidRDefault="00270D8A" w:rsidP="00BA245D"/>
    <w:p w:rsidR="00270D8A" w:rsidRDefault="00270D8A" w:rsidP="00BA245D">
      <w:r>
        <w:t xml:space="preserve">For providers submitting under Medicaid, the first year in which they report on adopting CEHRT does </w:t>
      </w:r>
      <w:r w:rsidRPr="00270D8A">
        <w:rPr>
          <w:b/>
        </w:rPr>
        <w:t>not</w:t>
      </w:r>
      <w:r>
        <w:t xml:space="preserve"> count towards the two years of reporting under Stage 1 of the Meaningful Use program. </w:t>
      </w:r>
      <w:r w:rsidR="00AC371B">
        <w:t xml:space="preserve">This means that an EP reporting under Medicaid will adopt the CEHRT their first year, then attest under Stage 1 for two more years before moving to Stage 2. </w:t>
      </w:r>
    </w:p>
    <w:p w:rsidR="003C6532" w:rsidRDefault="003C6532" w:rsidP="00BA245D"/>
    <w:p w:rsidR="003C6532" w:rsidRDefault="003C6532" w:rsidP="00BA245D">
      <w:r>
        <w:t xml:space="preserve">For providers submitting under Medicare, the first two years of their reporting will both count towards their reporting requirement for Stage 1. This means that an EP will move on to Stage 2 reporting once two years of reporting under Stage 1 have passed. </w:t>
      </w:r>
    </w:p>
    <w:p w:rsidR="00270D8A" w:rsidRDefault="00270D8A" w:rsidP="00BA245D"/>
    <w:p w:rsidR="00BA245D" w:rsidRDefault="003C6532" w:rsidP="00BA245D">
      <w:r>
        <w:t xml:space="preserve">Regardless of which </w:t>
      </w:r>
      <w:r w:rsidR="005A4D30">
        <w:t>payer is being reported to, an EP</w:t>
      </w:r>
      <w:r w:rsidR="00D35C1C">
        <w:t xml:space="preserve"> </w:t>
      </w:r>
      <w:r w:rsidR="00D35C1C" w:rsidRPr="005A4D30">
        <w:rPr>
          <w:b/>
        </w:rPr>
        <w:t>must</w:t>
      </w:r>
      <w:r w:rsidR="00D35C1C">
        <w:t xml:space="preserve"> meet the reporting threshold for all measures for which they are not excluding.</w:t>
      </w:r>
      <w:r w:rsidR="005A4D30">
        <w:t xml:space="preserve"> The reporting threshold is the same for both Medicare and Medicaid. Failure to meet the threshold for any measure in the Core set or in a minimum of 3 of the 6 Menu set measures will result in the provider not meeting Meaningful Use for that year. </w:t>
      </w:r>
      <w:r w:rsidR="00DE5EF5">
        <w:t>Failure to prove Meaningful Use will result in both incentive payments not being administered and adjustments being applied for that EP on future payments from Medicare and Medicaid.</w:t>
      </w:r>
    </w:p>
    <w:p w:rsidR="005A4D30" w:rsidRDefault="005A4D30" w:rsidP="00BA245D"/>
    <w:p w:rsidR="00BA245D" w:rsidRPr="006D18F2" w:rsidRDefault="00B823DD" w:rsidP="007878EE">
      <w:pPr>
        <w:pStyle w:val="Heading1"/>
      </w:pPr>
      <w:bookmarkStart w:id="2" w:name="_Toc390171128"/>
      <w:r>
        <w:t xml:space="preserve">Stage 2 </w:t>
      </w:r>
      <w:r w:rsidR="00BA245D" w:rsidRPr="006D18F2">
        <w:t>Core Measures</w:t>
      </w:r>
      <w:bookmarkEnd w:id="2"/>
    </w:p>
    <w:p w:rsidR="002F4B59" w:rsidRDefault="002F4B59"/>
    <w:p w:rsidR="004E1F84" w:rsidRDefault="00726852">
      <w:r>
        <w:t xml:space="preserve">Each </w:t>
      </w:r>
      <w:r w:rsidR="00833CE7">
        <w:t xml:space="preserve">of the 17 </w:t>
      </w:r>
      <w:r>
        <w:t>Core Measure</w:t>
      </w:r>
      <w:r w:rsidR="00833CE7">
        <w:t>s</w:t>
      </w:r>
      <w:r>
        <w:t xml:space="preserve"> need to be reported on in order for an EP to prove Meaningful Use under the 2014 </w:t>
      </w:r>
      <w:r w:rsidR="00CB1D59">
        <w:t xml:space="preserve">Edition of </w:t>
      </w:r>
      <w:r>
        <w:t xml:space="preserve">CEHRT. </w:t>
      </w:r>
      <w:r w:rsidR="00D5724A">
        <w:t xml:space="preserve">Many of the Core Measures have an exclusion option which allows an EP to opt out of reporting their numbers for that measure. Excluding out of reporting on a measure counts as meeting the minimum threshold for that measure. </w:t>
      </w:r>
    </w:p>
    <w:p w:rsidR="004E1F84" w:rsidRDefault="004E1F84"/>
    <w:p w:rsidR="004E1F84" w:rsidRDefault="004E1F84">
      <w:r>
        <w:t xml:space="preserve">Most of the Core Measures have one or more Numerator, Denominator, and corresponding Threshold. The Valant Premium Psychiatrist Suite is capable of recording each of these values for the measures that have this requirement. The purpose of this documentation is to provide insight into how these values are captured. </w:t>
      </w:r>
    </w:p>
    <w:p w:rsidR="004E1F84" w:rsidRDefault="004E1F84"/>
    <w:p w:rsidR="004E1F84" w:rsidRDefault="004E1F84">
      <w:r>
        <w:t xml:space="preserve">Certain Core Measures do not have any Numerator or Denominator reporting criteria. Instead, these measures are Yes/No questions answered by the </w:t>
      </w:r>
      <w:r w:rsidR="00096EA8">
        <w:t xml:space="preserve">attesting </w:t>
      </w:r>
      <w:r>
        <w:t xml:space="preserve">EP. For these Measures, </w:t>
      </w:r>
      <w:r w:rsidR="00096EA8">
        <w:t xml:space="preserve">the Valant Premium Psychiatrist Suite does not record any information. This is because the information required for attestation is recorded outside of the CEHRT. For Yes/No Core Measures, the EP is required to track their compliance outside of the CEHRT and attest using this external data. </w:t>
      </w:r>
    </w:p>
    <w:p w:rsidR="004E1F84" w:rsidRDefault="004E1F84"/>
    <w:p w:rsidR="00DA40A3" w:rsidRDefault="00096EA8">
      <w:r>
        <w:t xml:space="preserve">Finally, </w:t>
      </w:r>
      <w:r w:rsidR="004E1F84">
        <w:t xml:space="preserve">not all Measures under the 2014 Edition of CEHRT were included in the certification of the Valant Premium Psychiatrist Suite as they fell outside of the scope of practice for behavioral health. </w:t>
      </w:r>
      <w:r>
        <w:t>It is assumed that t</w:t>
      </w:r>
      <w:r w:rsidR="004E1F84">
        <w:t xml:space="preserve">he </w:t>
      </w:r>
      <w:r>
        <w:t>M</w:t>
      </w:r>
      <w:r w:rsidR="004E1F84">
        <w:t xml:space="preserve">easures which </w:t>
      </w:r>
      <w:r>
        <w:t xml:space="preserve">are not included in the Valant Premium Psychiatrist Suite can be successfully excluded by the EP as they do not relate to the scope of that EP’s work. </w:t>
      </w:r>
    </w:p>
    <w:p w:rsidR="00DA40A3" w:rsidRDefault="00DA40A3"/>
    <w:p w:rsidR="00FF0761" w:rsidRDefault="00DA40A3">
      <w:r>
        <w:t xml:space="preserve">Full descriptions of each of the 17 Core Measures can be found below. The definition of the Measure as well as the Numerator, Denominator, and reporting Threshold are all included. Additionally, there is an interpretation of the Measure as well as descriptions on how to make use of the Valant Premium Psychiatrist Suite to meet the reporting threshold. </w:t>
      </w:r>
      <w:r w:rsidR="00F97709">
        <w:br w:type="page"/>
      </w:r>
    </w:p>
    <w:p w:rsidR="00FF0761" w:rsidRPr="00FF0761" w:rsidRDefault="00FF0761" w:rsidP="00FF0761">
      <w:pPr>
        <w:pStyle w:val="Heading2"/>
      </w:pPr>
      <w:bookmarkStart w:id="3" w:name="_Toc390171129"/>
      <w:r w:rsidRPr="00FF0761">
        <w:rPr>
          <w:rStyle w:val="Heading2Char"/>
          <w:b/>
          <w:bCs/>
        </w:rPr>
        <w:lastRenderedPageBreak/>
        <w:t>Stage 2 - Core #1: CPOE for Medication, Laboratory and Radiology Orders</w:t>
      </w:r>
      <w:bookmarkEnd w:id="3"/>
    </w:p>
    <w:p w:rsidR="00F97709" w:rsidRDefault="00F97709"/>
    <w:tbl>
      <w:tblPr>
        <w:tblW w:w="0" w:type="auto"/>
        <w:tblInd w:w="93" w:type="dxa"/>
        <w:tblLook w:val="04A0" w:firstRow="1" w:lastRow="0" w:firstColumn="1" w:lastColumn="0" w:noHBand="0" w:noVBand="1"/>
      </w:tblPr>
      <w:tblGrid>
        <w:gridCol w:w="1087"/>
        <w:gridCol w:w="9836"/>
      </w:tblGrid>
      <w:tr w:rsidR="00C46D58" w:rsidRPr="00C46D58" w:rsidTr="0086561C">
        <w:trPr>
          <w:trHeight w:val="375"/>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1F497D"/>
            <w:noWrap/>
            <w:vAlign w:val="bottom"/>
            <w:hideMark/>
          </w:tcPr>
          <w:p w:rsidR="00C46D58" w:rsidRPr="007C3873" w:rsidRDefault="00C46D58" w:rsidP="007C3873">
            <w:pPr>
              <w:rPr>
                <w:b/>
              </w:rPr>
            </w:pPr>
            <w:bookmarkStart w:id="4" w:name="_Ref386013901"/>
            <w:bookmarkStart w:id="5" w:name="_Ref386014129"/>
            <w:bookmarkStart w:id="6" w:name="_Ref386014134"/>
            <w:r w:rsidRPr="007C3873">
              <w:rPr>
                <w:b/>
                <w:color w:val="FFFFFF" w:themeColor="background1"/>
                <w:sz w:val="32"/>
              </w:rPr>
              <w:t>CPOE for Medication, Laboratory and Radiology Orders</w:t>
            </w:r>
            <w:bookmarkEnd w:id="4"/>
            <w:bookmarkEnd w:id="5"/>
            <w:bookmarkEnd w:id="6"/>
            <w:r w:rsidRPr="007C3873">
              <w:rPr>
                <w:b/>
                <w:color w:val="FFFFFF" w:themeColor="background1"/>
                <w:sz w:val="32"/>
              </w:rPr>
              <w:t xml:space="preserve"> </w:t>
            </w:r>
          </w:p>
        </w:tc>
      </w:tr>
      <w:tr w:rsidR="00C46D58" w:rsidRPr="00C46D58" w:rsidTr="0086561C">
        <w:trPr>
          <w:trHeight w:val="300"/>
        </w:trPr>
        <w:tc>
          <w:tcPr>
            <w:tcW w:w="0" w:type="auto"/>
            <w:vMerge w:val="restart"/>
            <w:tcBorders>
              <w:top w:val="single" w:sz="4" w:space="0" w:color="000000"/>
              <w:left w:val="single" w:sz="4" w:space="0" w:color="auto"/>
              <w:bottom w:val="nil"/>
              <w:right w:val="nil"/>
            </w:tcBorders>
            <w:shd w:val="clear" w:color="000000" w:fill="1F497D"/>
            <w:noWrap/>
            <w:vAlign w:val="center"/>
            <w:hideMark/>
          </w:tcPr>
          <w:p w:rsidR="00C46D58" w:rsidRPr="00C46D58" w:rsidRDefault="00C46D58" w:rsidP="00C46D58">
            <w:pPr>
              <w:jc w:val="right"/>
              <w:rPr>
                <w:rFonts w:ascii="Calibri" w:eastAsia="Times New Roman" w:hAnsi="Calibri" w:cs="Times New Roman"/>
                <w:b/>
                <w:bCs/>
                <w:color w:val="FFFFFF"/>
              </w:rPr>
            </w:pPr>
            <w:r w:rsidRPr="00C46D58">
              <w:rPr>
                <w:rFonts w:ascii="Calibri" w:eastAsia="Times New Roman" w:hAnsi="Calibri" w:cs="Times New Roman"/>
                <w:b/>
                <w:bCs/>
                <w:color w:val="FFFFFF"/>
              </w:rPr>
              <w:t xml:space="preserve">Objective </w:t>
            </w:r>
          </w:p>
        </w:tc>
        <w:tc>
          <w:tcPr>
            <w:tcW w:w="0" w:type="auto"/>
            <w:vMerge w:val="restart"/>
            <w:tcBorders>
              <w:top w:val="single" w:sz="4" w:space="0" w:color="000000"/>
              <w:left w:val="nil"/>
              <w:bottom w:val="nil"/>
              <w:right w:val="single" w:sz="4" w:space="0" w:color="000000"/>
            </w:tcBorders>
            <w:shd w:val="clear" w:color="auto" w:fill="auto"/>
            <w:vAlign w:val="center"/>
            <w:hideMark/>
          </w:tcPr>
          <w:p w:rsidR="00C46D58" w:rsidRPr="00C46D58" w:rsidRDefault="00C46D58" w:rsidP="00C46D58">
            <w:pPr>
              <w:rPr>
                <w:rFonts w:ascii="Calibri" w:eastAsia="Times New Roman" w:hAnsi="Calibri" w:cs="Times New Roman"/>
                <w:color w:val="000000"/>
              </w:rPr>
            </w:pPr>
            <w:r w:rsidRPr="00C46D58">
              <w:rPr>
                <w:rFonts w:ascii="Calibri" w:eastAsia="Times New Roman" w:hAnsi="Calibri" w:cs="Times New Roman"/>
                <w:color w:val="000000"/>
              </w:rPr>
              <w:t xml:space="preserve">Use computerized provider order entry (CPOE) for medication, laboratory and radiology orders directly entered by any licensed healthcare professional who can enter orders into the medical record per state, local and professional guidelines. </w:t>
            </w:r>
          </w:p>
        </w:tc>
      </w:tr>
      <w:tr w:rsidR="00C46D58" w:rsidRPr="00C46D58" w:rsidTr="0086561C">
        <w:trPr>
          <w:trHeight w:val="300"/>
        </w:trPr>
        <w:tc>
          <w:tcPr>
            <w:tcW w:w="0" w:type="auto"/>
            <w:vMerge/>
            <w:tcBorders>
              <w:top w:val="nil"/>
              <w:left w:val="single" w:sz="4" w:space="0" w:color="auto"/>
              <w:bottom w:val="nil"/>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nil"/>
              <w:left w:val="nil"/>
              <w:bottom w:val="nil"/>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r w:rsidR="00C46D58" w:rsidRPr="00C46D58" w:rsidTr="0086561C">
        <w:trPr>
          <w:trHeight w:val="300"/>
        </w:trPr>
        <w:tc>
          <w:tcPr>
            <w:tcW w:w="0" w:type="auto"/>
            <w:vMerge/>
            <w:tcBorders>
              <w:top w:val="nil"/>
              <w:left w:val="single" w:sz="4" w:space="0" w:color="auto"/>
              <w:bottom w:val="nil"/>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nil"/>
              <w:left w:val="nil"/>
              <w:bottom w:val="nil"/>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r w:rsidR="00C46D58" w:rsidRPr="00C46D58" w:rsidTr="0086561C">
        <w:trPr>
          <w:trHeight w:val="300"/>
        </w:trPr>
        <w:tc>
          <w:tcPr>
            <w:tcW w:w="0" w:type="auto"/>
            <w:vMerge w:val="restart"/>
            <w:tcBorders>
              <w:top w:val="single" w:sz="4" w:space="0" w:color="auto"/>
              <w:left w:val="single" w:sz="4" w:space="0" w:color="auto"/>
              <w:bottom w:val="single" w:sz="4" w:space="0" w:color="000000"/>
              <w:right w:val="nil"/>
            </w:tcBorders>
            <w:shd w:val="clear" w:color="000000" w:fill="1F497D"/>
            <w:noWrap/>
            <w:vAlign w:val="center"/>
            <w:hideMark/>
          </w:tcPr>
          <w:p w:rsidR="00C46D58" w:rsidRPr="00C46D58" w:rsidRDefault="00C46D58" w:rsidP="00C46D58">
            <w:pPr>
              <w:jc w:val="right"/>
              <w:rPr>
                <w:rFonts w:ascii="Calibri" w:eastAsia="Times New Roman" w:hAnsi="Calibri" w:cs="Times New Roman"/>
                <w:b/>
                <w:bCs/>
                <w:color w:val="FFFFFF"/>
              </w:rPr>
            </w:pPr>
            <w:r w:rsidRPr="00C46D58">
              <w:rPr>
                <w:rFonts w:ascii="Calibri" w:eastAsia="Times New Roman" w:hAnsi="Calibri" w:cs="Times New Roman"/>
                <w:b/>
                <w:bCs/>
                <w:color w:val="FFFFFF"/>
              </w:rPr>
              <w:t xml:space="preserve">Measure </w:t>
            </w:r>
          </w:p>
        </w:tc>
        <w:tc>
          <w:tcPr>
            <w:tcW w:w="0" w:type="auto"/>
            <w:vMerge w:val="restart"/>
            <w:tcBorders>
              <w:top w:val="single" w:sz="4" w:space="0" w:color="auto"/>
              <w:left w:val="nil"/>
              <w:bottom w:val="single" w:sz="4" w:space="0" w:color="000000"/>
              <w:right w:val="single" w:sz="4" w:space="0" w:color="000000"/>
            </w:tcBorders>
            <w:shd w:val="clear" w:color="auto" w:fill="auto"/>
            <w:vAlign w:val="center"/>
            <w:hideMark/>
          </w:tcPr>
          <w:p w:rsidR="00C46D58" w:rsidRPr="00C46D58" w:rsidRDefault="00C46D58" w:rsidP="00C46D58">
            <w:pPr>
              <w:rPr>
                <w:rFonts w:ascii="Calibri" w:eastAsia="Times New Roman" w:hAnsi="Calibri" w:cs="Times New Roman"/>
                <w:color w:val="000000"/>
              </w:rPr>
            </w:pPr>
            <w:r w:rsidRPr="00C46D58">
              <w:rPr>
                <w:rFonts w:ascii="Calibri" w:eastAsia="Times New Roman" w:hAnsi="Calibri" w:cs="Times New Roman"/>
                <w:color w:val="000000"/>
              </w:rPr>
              <w:t>More than 60 percent of medication, 30 percent of laboratory, and 30 percent of radiology orders created by the EP during the EHR reporting period are recorded using CPOE.</w:t>
            </w:r>
          </w:p>
        </w:tc>
      </w:tr>
      <w:tr w:rsidR="00C46D58" w:rsidRPr="00C46D58" w:rsidTr="0086561C">
        <w:trPr>
          <w:trHeight w:val="300"/>
        </w:trPr>
        <w:tc>
          <w:tcPr>
            <w:tcW w:w="0" w:type="auto"/>
            <w:vMerge/>
            <w:tcBorders>
              <w:top w:val="single" w:sz="4" w:space="0" w:color="auto"/>
              <w:left w:val="single" w:sz="4" w:space="0" w:color="auto"/>
              <w:bottom w:val="single" w:sz="4" w:space="0" w:color="000000"/>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r w:rsidR="00C46D58" w:rsidRPr="00C46D58" w:rsidTr="0086561C">
        <w:trPr>
          <w:trHeight w:val="300"/>
        </w:trPr>
        <w:tc>
          <w:tcPr>
            <w:tcW w:w="0" w:type="auto"/>
            <w:vMerge/>
            <w:tcBorders>
              <w:top w:val="single" w:sz="4" w:space="0" w:color="auto"/>
              <w:left w:val="single" w:sz="4" w:space="0" w:color="auto"/>
              <w:bottom w:val="single" w:sz="4" w:space="0" w:color="000000"/>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r w:rsidR="00C46D58" w:rsidRPr="00C46D58" w:rsidTr="0086561C">
        <w:trPr>
          <w:trHeight w:val="300"/>
        </w:trPr>
        <w:tc>
          <w:tcPr>
            <w:tcW w:w="0" w:type="auto"/>
            <w:vMerge w:val="restart"/>
            <w:tcBorders>
              <w:top w:val="nil"/>
              <w:left w:val="single" w:sz="4" w:space="0" w:color="auto"/>
              <w:bottom w:val="single" w:sz="4" w:space="0" w:color="000000"/>
              <w:right w:val="nil"/>
            </w:tcBorders>
            <w:shd w:val="clear" w:color="000000" w:fill="1F497D"/>
            <w:noWrap/>
            <w:vAlign w:val="center"/>
            <w:hideMark/>
          </w:tcPr>
          <w:p w:rsidR="00C46D58" w:rsidRPr="00C46D58" w:rsidRDefault="00C46D58" w:rsidP="00C46D58">
            <w:pPr>
              <w:jc w:val="right"/>
              <w:rPr>
                <w:rFonts w:ascii="Calibri" w:eastAsia="Times New Roman" w:hAnsi="Calibri" w:cs="Times New Roman"/>
                <w:b/>
                <w:bCs/>
                <w:color w:val="FFFFFF"/>
              </w:rPr>
            </w:pPr>
            <w:r w:rsidRPr="00C46D58">
              <w:rPr>
                <w:rFonts w:ascii="Calibri" w:eastAsia="Times New Roman" w:hAnsi="Calibri" w:cs="Times New Roman"/>
                <w:b/>
                <w:bCs/>
                <w:color w:val="FFFFFF"/>
              </w:rPr>
              <w:t xml:space="preserve">Exclusion </w:t>
            </w:r>
          </w:p>
        </w:tc>
        <w:tc>
          <w:tcPr>
            <w:tcW w:w="0" w:type="auto"/>
            <w:vMerge w:val="restart"/>
            <w:tcBorders>
              <w:top w:val="nil"/>
              <w:left w:val="nil"/>
              <w:bottom w:val="single" w:sz="4" w:space="0" w:color="000000"/>
              <w:right w:val="single" w:sz="4" w:space="0" w:color="000000"/>
            </w:tcBorders>
            <w:shd w:val="clear" w:color="auto" w:fill="auto"/>
            <w:vAlign w:val="center"/>
            <w:hideMark/>
          </w:tcPr>
          <w:p w:rsidR="00C46D58" w:rsidRPr="00C46D58" w:rsidRDefault="00C46D58" w:rsidP="00566BC1">
            <w:pPr>
              <w:rPr>
                <w:rFonts w:ascii="Calibri" w:eastAsia="Times New Roman" w:hAnsi="Calibri" w:cs="Times New Roman"/>
                <w:color w:val="000000"/>
              </w:rPr>
            </w:pPr>
            <w:r w:rsidRPr="00C46D58">
              <w:rPr>
                <w:rFonts w:ascii="Calibri" w:eastAsia="Times New Roman" w:hAnsi="Calibri" w:cs="Times New Roman"/>
                <w:color w:val="000000"/>
              </w:rPr>
              <w:t xml:space="preserve">Any EP who writes fewer than 100 medication, radiology, or </w:t>
            </w:r>
            <w:r w:rsidR="00566BC1" w:rsidRPr="00C46D58">
              <w:rPr>
                <w:rFonts w:ascii="Calibri" w:eastAsia="Times New Roman" w:hAnsi="Calibri" w:cs="Times New Roman"/>
                <w:color w:val="000000"/>
              </w:rPr>
              <w:t xml:space="preserve">laboratory orders during </w:t>
            </w:r>
            <w:r w:rsidRPr="00C46D58">
              <w:rPr>
                <w:rFonts w:ascii="Calibri" w:eastAsia="Times New Roman" w:hAnsi="Calibri" w:cs="Times New Roman"/>
                <w:color w:val="000000"/>
              </w:rPr>
              <w:t xml:space="preserve">the EHR reporting period. </w:t>
            </w:r>
          </w:p>
        </w:tc>
      </w:tr>
      <w:tr w:rsidR="00C46D58" w:rsidRPr="00C46D58" w:rsidTr="0086561C">
        <w:trPr>
          <w:trHeight w:val="300"/>
        </w:trPr>
        <w:tc>
          <w:tcPr>
            <w:tcW w:w="0" w:type="auto"/>
            <w:vMerge/>
            <w:tcBorders>
              <w:top w:val="nil"/>
              <w:left w:val="single" w:sz="4" w:space="0" w:color="auto"/>
              <w:bottom w:val="single" w:sz="4" w:space="0" w:color="000000"/>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nil"/>
              <w:left w:val="nil"/>
              <w:bottom w:val="single" w:sz="4" w:space="0" w:color="000000"/>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r w:rsidR="00C46D58" w:rsidRPr="00C46D58" w:rsidTr="0086561C">
        <w:trPr>
          <w:trHeight w:val="300"/>
        </w:trPr>
        <w:tc>
          <w:tcPr>
            <w:tcW w:w="0" w:type="auto"/>
            <w:vMerge/>
            <w:tcBorders>
              <w:top w:val="nil"/>
              <w:left w:val="single" w:sz="4" w:space="0" w:color="auto"/>
              <w:bottom w:val="single" w:sz="4" w:space="0" w:color="000000"/>
              <w:right w:val="nil"/>
            </w:tcBorders>
            <w:vAlign w:val="center"/>
            <w:hideMark/>
          </w:tcPr>
          <w:p w:rsidR="00C46D58" w:rsidRPr="00C46D58" w:rsidRDefault="00C46D58" w:rsidP="00C46D58">
            <w:pPr>
              <w:rPr>
                <w:rFonts w:ascii="Calibri" w:eastAsia="Times New Roman" w:hAnsi="Calibri" w:cs="Times New Roman"/>
                <w:b/>
                <w:bCs/>
                <w:color w:val="FFFFFF"/>
              </w:rPr>
            </w:pPr>
          </w:p>
        </w:tc>
        <w:tc>
          <w:tcPr>
            <w:tcW w:w="0" w:type="auto"/>
            <w:vMerge/>
            <w:tcBorders>
              <w:top w:val="nil"/>
              <w:left w:val="nil"/>
              <w:bottom w:val="single" w:sz="4" w:space="0" w:color="000000"/>
              <w:right w:val="single" w:sz="4" w:space="0" w:color="000000"/>
            </w:tcBorders>
            <w:vAlign w:val="center"/>
            <w:hideMark/>
          </w:tcPr>
          <w:p w:rsidR="00C46D58" w:rsidRPr="00C46D58" w:rsidRDefault="00C46D58" w:rsidP="00C46D58">
            <w:pPr>
              <w:rPr>
                <w:rFonts w:ascii="Calibri" w:eastAsia="Times New Roman" w:hAnsi="Calibri" w:cs="Times New Roman"/>
                <w:color w:val="000000"/>
              </w:rPr>
            </w:pPr>
          </w:p>
        </w:tc>
      </w:tr>
    </w:tbl>
    <w:p w:rsidR="00C46D58" w:rsidRDefault="00C46D58"/>
    <w:p w:rsidR="007D4942" w:rsidRDefault="007D4942"/>
    <w:tbl>
      <w:tblPr>
        <w:tblW w:w="10905" w:type="dxa"/>
        <w:tblInd w:w="93" w:type="dxa"/>
        <w:tblLook w:val="04A0" w:firstRow="1" w:lastRow="0" w:firstColumn="1" w:lastColumn="0" w:noHBand="0" w:noVBand="1"/>
      </w:tblPr>
      <w:tblGrid>
        <w:gridCol w:w="1435"/>
        <w:gridCol w:w="9470"/>
      </w:tblGrid>
      <w:tr w:rsidR="007D4942" w:rsidRPr="007D4942" w:rsidTr="007D4942">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D4942" w:rsidRPr="007D4942" w:rsidRDefault="007D4942" w:rsidP="0070401F">
            <w:pPr>
              <w:rPr>
                <w:rFonts w:ascii="Calibri" w:eastAsia="Times New Roman" w:hAnsi="Calibri" w:cs="Times New Roman"/>
                <w:b/>
                <w:bCs/>
                <w:color w:val="FFFFFF"/>
                <w:sz w:val="28"/>
                <w:szCs w:val="28"/>
              </w:rPr>
            </w:pPr>
            <w:r w:rsidRPr="007D4942">
              <w:rPr>
                <w:rFonts w:ascii="Calibri" w:eastAsia="Times New Roman" w:hAnsi="Calibri" w:cs="Times New Roman"/>
                <w:b/>
                <w:bCs/>
                <w:color w:val="FFFFFF"/>
                <w:sz w:val="28"/>
                <w:szCs w:val="28"/>
              </w:rPr>
              <w:t>CPOE Medication</w:t>
            </w:r>
            <w:r w:rsidR="0070401F">
              <w:rPr>
                <w:rFonts w:ascii="Calibri" w:eastAsia="Times New Roman" w:hAnsi="Calibri" w:cs="Times New Roman"/>
                <w:b/>
                <w:bCs/>
                <w:color w:val="FFFFFF"/>
                <w:sz w:val="28"/>
                <w:szCs w:val="28"/>
              </w:rPr>
              <w:t>: Attestation Requirements</w:t>
            </w:r>
            <w:r w:rsidRPr="007D4942">
              <w:rPr>
                <w:rFonts w:ascii="Calibri" w:eastAsia="Times New Roman" w:hAnsi="Calibri" w:cs="Times New Roman"/>
                <w:b/>
                <w:bCs/>
                <w:color w:val="FFFFFF"/>
                <w:sz w:val="28"/>
                <w:szCs w:val="28"/>
              </w:rPr>
              <w:t xml:space="preserve"> </w:t>
            </w:r>
          </w:p>
        </w:tc>
      </w:tr>
      <w:tr w:rsidR="007D4942" w:rsidRPr="007D4942" w:rsidTr="007D4942">
        <w:trPr>
          <w:trHeight w:val="300"/>
        </w:trPr>
        <w:tc>
          <w:tcPr>
            <w:tcW w:w="1435" w:type="dxa"/>
            <w:tcBorders>
              <w:top w:val="nil"/>
              <w:left w:val="single" w:sz="4" w:space="0" w:color="auto"/>
              <w:bottom w:val="nil"/>
              <w:right w:val="nil"/>
            </w:tcBorders>
            <w:shd w:val="clear" w:color="000000" w:fill="60497A"/>
            <w:noWrap/>
            <w:vAlign w:val="center"/>
            <w:hideMark/>
          </w:tcPr>
          <w:p w:rsidR="007D4942" w:rsidRPr="007D4942" w:rsidRDefault="007D4942" w:rsidP="007D4942">
            <w:pPr>
              <w:jc w:val="right"/>
              <w:rPr>
                <w:rFonts w:ascii="Calibri" w:eastAsia="Times New Roman" w:hAnsi="Calibri" w:cs="Times New Roman"/>
                <w:b/>
                <w:bCs/>
                <w:color w:val="FFFFFF"/>
              </w:rPr>
            </w:pPr>
            <w:r w:rsidRPr="007D4942">
              <w:rPr>
                <w:rFonts w:ascii="Calibri" w:eastAsia="Times New Roman" w:hAnsi="Calibri" w:cs="Times New Roman"/>
                <w:b/>
                <w:bCs/>
                <w:color w:val="FFFFFF"/>
              </w:rPr>
              <w:t>Denominator</w:t>
            </w:r>
          </w:p>
        </w:tc>
        <w:tc>
          <w:tcPr>
            <w:tcW w:w="9470" w:type="dxa"/>
            <w:tcBorders>
              <w:top w:val="nil"/>
              <w:left w:val="nil"/>
              <w:bottom w:val="nil"/>
              <w:right w:val="single" w:sz="4" w:space="0" w:color="000000"/>
            </w:tcBorders>
            <w:shd w:val="clear" w:color="auto" w:fill="auto"/>
            <w:vAlign w:val="center"/>
            <w:hideMark/>
          </w:tcPr>
          <w:p w:rsidR="007D4942" w:rsidRPr="007D4942" w:rsidRDefault="007D4942" w:rsidP="007D4942">
            <w:pPr>
              <w:rPr>
                <w:rFonts w:ascii="Calibri" w:eastAsia="Times New Roman" w:hAnsi="Calibri" w:cs="Times New Roman"/>
                <w:color w:val="000000"/>
              </w:rPr>
            </w:pPr>
            <w:r w:rsidRPr="007D4942">
              <w:rPr>
                <w:rFonts w:ascii="Calibri" w:eastAsia="Times New Roman" w:hAnsi="Calibri" w:cs="Times New Roman"/>
                <w:color w:val="000000"/>
              </w:rPr>
              <w:t>Number of medication orders created by the EP during the EHR reporting period.</w:t>
            </w:r>
          </w:p>
        </w:tc>
      </w:tr>
      <w:tr w:rsidR="007D4942" w:rsidRPr="007D4942" w:rsidTr="007D4942">
        <w:trPr>
          <w:trHeight w:val="300"/>
        </w:trPr>
        <w:tc>
          <w:tcPr>
            <w:tcW w:w="1435" w:type="dxa"/>
            <w:tcBorders>
              <w:top w:val="single" w:sz="4" w:space="0" w:color="auto"/>
              <w:left w:val="single" w:sz="4" w:space="0" w:color="auto"/>
              <w:bottom w:val="nil"/>
              <w:right w:val="nil"/>
            </w:tcBorders>
            <w:shd w:val="clear" w:color="000000" w:fill="60497A"/>
            <w:noWrap/>
            <w:vAlign w:val="center"/>
            <w:hideMark/>
          </w:tcPr>
          <w:p w:rsidR="007D4942" w:rsidRPr="007D4942" w:rsidRDefault="007D4942" w:rsidP="007D4942">
            <w:pPr>
              <w:jc w:val="right"/>
              <w:rPr>
                <w:rFonts w:ascii="Calibri" w:eastAsia="Times New Roman" w:hAnsi="Calibri" w:cs="Times New Roman"/>
                <w:b/>
                <w:bCs/>
                <w:color w:val="FFFFFF"/>
              </w:rPr>
            </w:pPr>
            <w:r w:rsidRPr="007D4942">
              <w:rPr>
                <w:rFonts w:ascii="Calibri" w:eastAsia="Times New Roman" w:hAnsi="Calibri" w:cs="Times New Roman"/>
                <w:b/>
                <w:bCs/>
                <w:color w:val="FFFFFF"/>
              </w:rPr>
              <w:t>Numerator</w:t>
            </w:r>
          </w:p>
        </w:tc>
        <w:tc>
          <w:tcPr>
            <w:tcW w:w="9470" w:type="dxa"/>
            <w:tcBorders>
              <w:top w:val="single" w:sz="4" w:space="0" w:color="auto"/>
              <w:left w:val="nil"/>
              <w:bottom w:val="nil"/>
              <w:right w:val="single" w:sz="4" w:space="0" w:color="000000"/>
            </w:tcBorders>
            <w:shd w:val="clear" w:color="auto" w:fill="auto"/>
            <w:vAlign w:val="center"/>
            <w:hideMark/>
          </w:tcPr>
          <w:p w:rsidR="007D4942" w:rsidRPr="007D4942" w:rsidRDefault="007D4942" w:rsidP="007D4942">
            <w:pPr>
              <w:rPr>
                <w:rFonts w:ascii="Calibri" w:eastAsia="Times New Roman" w:hAnsi="Calibri" w:cs="Times New Roman"/>
                <w:color w:val="000000"/>
              </w:rPr>
            </w:pPr>
            <w:r w:rsidRPr="007D4942">
              <w:rPr>
                <w:rFonts w:ascii="Calibri" w:eastAsia="Times New Roman" w:hAnsi="Calibri" w:cs="Times New Roman"/>
                <w:color w:val="000000"/>
              </w:rPr>
              <w:t xml:space="preserve">The number of orders in the denominator recorded using CPOE. </w:t>
            </w:r>
          </w:p>
        </w:tc>
      </w:tr>
      <w:tr w:rsidR="007D4942" w:rsidRPr="007D4942" w:rsidTr="007D4942">
        <w:trPr>
          <w:trHeight w:val="300"/>
        </w:trPr>
        <w:tc>
          <w:tcPr>
            <w:tcW w:w="1435" w:type="dxa"/>
            <w:tcBorders>
              <w:top w:val="single" w:sz="4" w:space="0" w:color="auto"/>
              <w:left w:val="single" w:sz="4" w:space="0" w:color="auto"/>
              <w:bottom w:val="single" w:sz="4" w:space="0" w:color="auto"/>
              <w:right w:val="nil"/>
            </w:tcBorders>
            <w:shd w:val="clear" w:color="000000" w:fill="60497A"/>
            <w:vAlign w:val="center"/>
            <w:hideMark/>
          </w:tcPr>
          <w:p w:rsidR="007D4942" w:rsidRPr="007D4942" w:rsidRDefault="007D4942" w:rsidP="007D4942">
            <w:pPr>
              <w:jc w:val="right"/>
              <w:rPr>
                <w:rFonts w:ascii="Calibri" w:eastAsia="Times New Roman" w:hAnsi="Calibri" w:cs="Times New Roman"/>
                <w:b/>
                <w:bCs/>
                <w:color w:val="FFFFFF"/>
              </w:rPr>
            </w:pPr>
            <w:r w:rsidRPr="007D4942">
              <w:rPr>
                <w:rFonts w:ascii="Calibri" w:eastAsia="Times New Roman" w:hAnsi="Calibri" w:cs="Times New Roman"/>
                <w:b/>
                <w:bCs/>
                <w:color w:val="FFFFFF"/>
              </w:rPr>
              <w:t>Threshold</w:t>
            </w:r>
          </w:p>
        </w:tc>
        <w:tc>
          <w:tcPr>
            <w:tcW w:w="9470" w:type="dxa"/>
            <w:tcBorders>
              <w:top w:val="single" w:sz="4" w:space="0" w:color="auto"/>
              <w:left w:val="nil"/>
              <w:bottom w:val="single" w:sz="4" w:space="0" w:color="auto"/>
              <w:right w:val="single" w:sz="4" w:space="0" w:color="000000"/>
            </w:tcBorders>
            <w:shd w:val="clear" w:color="auto" w:fill="auto"/>
            <w:vAlign w:val="center"/>
            <w:hideMark/>
          </w:tcPr>
          <w:p w:rsidR="007D4942" w:rsidRPr="007D4942" w:rsidRDefault="007D4942" w:rsidP="007D4942">
            <w:pPr>
              <w:rPr>
                <w:rFonts w:ascii="Calibri" w:eastAsia="Times New Roman" w:hAnsi="Calibri" w:cs="Times New Roman"/>
                <w:color w:val="000000"/>
              </w:rPr>
            </w:pPr>
            <w:r w:rsidRPr="007D4942">
              <w:rPr>
                <w:rFonts w:ascii="Calibri" w:eastAsia="Times New Roman" w:hAnsi="Calibri" w:cs="Times New Roman"/>
                <w:color w:val="000000"/>
              </w:rPr>
              <w:t xml:space="preserve">The resulting percentage must be more than 60 percent in order for an EP to meet this measure. </w:t>
            </w:r>
          </w:p>
        </w:tc>
      </w:tr>
    </w:tbl>
    <w:p w:rsidR="007D4942" w:rsidRDefault="007D4942"/>
    <w:tbl>
      <w:tblPr>
        <w:tblW w:w="10905" w:type="dxa"/>
        <w:tblInd w:w="93" w:type="dxa"/>
        <w:tblLook w:val="04A0" w:firstRow="1" w:lastRow="0" w:firstColumn="1" w:lastColumn="0" w:noHBand="0" w:noVBand="1"/>
      </w:tblPr>
      <w:tblGrid>
        <w:gridCol w:w="1435"/>
        <w:gridCol w:w="9470"/>
      </w:tblGrid>
      <w:tr w:rsidR="00CB6279" w:rsidRPr="00CB6279" w:rsidTr="00CB6279">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CB6279" w:rsidRPr="00CB6279" w:rsidRDefault="0070401F" w:rsidP="00CB6279">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CPOE</w:t>
            </w:r>
            <w:r w:rsidR="00CB6279" w:rsidRPr="00CB6279">
              <w:rPr>
                <w:rFonts w:ascii="Calibri" w:eastAsia="Times New Roman" w:hAnsi="Calibri" w:cs="Times New Roman"/>
                <w:b/>
                <w:bCs/>
                <w:color w:val="FFFFFF"/>
                <w:sz w:val="28"/>
                <w:szCs w:val="28"/>
              </w:rPr>
              <w:t xml:space="preserve"> Laboratory</w:t>
            </w:r>
            <w:r>
              <w:rPr>
                <w:rFonts w:ascii="Calibri" w:eastAsia="Times New Roman" w:hAnsi="Calibri" w:cs="Times New Roman"/>
                <w:b/>
                <w:bCs/>
                <w:color w:val="FFFFFF"/>
                <w:sz w:val="28"/>
                <w:szCs w:val="28"/>
              </w:rPr>
              <w:t>: Attestation Requirements</w:t>
            </w:r>
            <w:r w:rsidR="00CB6279" w:rsidRPr="00CB6279">
              <w:rPr>
                <w:rFonts w:ascii="Calibri" w:eastAsia="Times New Roman" w:hAnsi="Calibri" w:cs="Times New Roman"/>
                <w:b/>
                <w:bCs/>
                <w:color w:val="FFFFFF"/>
                <w:sz w:val="28"/>
                <w:szCs w:val="28"/>
              </w:rPr>
              <w:t xml:space="preserve"> </w:t>
            </w:r>
          </w:p>
        </w:tc>
      </w:tr>
      <w:tr w:rsidR="00CB6279" w:rsidRPr="00CB6279" w:rsidTr="00CB6279">
        <w:trPr>
          <w:trHeight w:val="300"/>
        </w:trPr>
        <w:tc>
          <w:tcPr>
            <w:tcW w:w="1435" w:type="dxa"/>
            <w:tcBorders>
              <w:top w:val="nil"/>
              <w:left w:val="single" w:sz="4" w:space="0" w:color="auto"/>
              <w:bottom w:val="nil"/>
              <w:right w:val="nil"/>
            </w:tcBorders>
            <w:shd w:val="clear" w:color="000000" w:fill="60497A"/>
            <w:noWrap/>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Denominator</w:t>
            </w:r>
          </w:p>
        </w:tc>
        <w:tc>
          <w:tcPr>
            <w:tcW w:w="9470" w:type="dxa"/>
            <w:tcBorders>
              <w:top w:val="nil"/>
              <w:left w:val="nil"/>
              <w:bottom w:val="nil"/>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Number of laboratory orders created by the EP during the EHR reporting period.</w:t>
            </w:r>
          </w:p>
        </w:tc>
      </w:tr>
      <w:tr w:rsidR="00CB6279" w:rsidRPr="00CB6279" w:rsidTr="00CB6279">
        <w:trPr>
          <w:trHeight w:val="300"/>
        </w:trPr>
        <w:tc>
          <w:tcPr>
            <w:tcW w:w="1435" w:type="dxa"/>
            <w:tcBorders>
              <w:top w:val="single" w:sz="4" w:space="0" w:color="auto"/>
              <w:left w:val="single" w:sz="4" w:space="0" w:color="auto"/>
              <w:bottom w:val="nil"/>
              <w:right w:val="nil"/>
            </w:tcBorders>
            <w:shd w:val="clear" w:color="000000" w:fill="60497A"/>
            <w:noWrap/>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Numerator</w:t>
            </w:r>
          </w:p>
        </w:tc>
        <w:tc>
          <w:tcPr>
            <w:tcW w:w="9470" w:type="dxa"/>
            <w:tcBorders>
              <w:top w:val="single" w:sz="4" w:space="0" w:color="auto"/>
              <w:left w:val="nil"/>
              <w:bottom w:val="nil"/>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 xml:space="preserve">The number of orders in the denominator recorded using CPOE. </w:t>
            </w:r>
          </w:p>
        </w:tc>
      </w:tr>
      <w:tr w:rsidR="00CB6279" w:rsidRPr="00CB6279" w:rsidTr="00CB6279">
        <w:trPr>
          <w:trHeight w:val="300"/>
        </w:trPr>
        <w:tc>
          <w:tcPr>
            <w:tcW w:w="1435" w:type="dxa"/>
            <w:tcBorders>
              <w:top w:val="single" w:sz="4" w:space="0" w:color="auto"/>
              <w:left w:val="single" w:sz="4" w:space="0" w:color="auto"/>
              <w:bottom w:val="single" w:sz="4" w:space="0" w:color="auto"/>
              <w:right w:val="nil"/>
            </w:tcBorders>
            <w:shd w:val="clear" w:color="000000" w:fill="60497A"/>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Threshold</w:t>
            </w:r>
          </w:p>
        </w:tc>
        <w:tc>
          <w:tcPr>
            <w:tcW w:w="9470" w:type="dxa"/>
            <w:tcBorders>
              <w:top w:val="single" w:sz="4" w:space="0" w:color="auto"/>
              <w:left w:val="nil"/>
              <w:bottom w:val="single" w:sz="4" w:space="0" w:color="auto"/>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 xml:space="preserve">The resulting percentage must be more than 30 percent in order for an EP to meet this measure. </w:t>
            </w:r>
          </w:p>
        </w:tc>
      </w:tr>
    </w:tbl>
    <w:p w:rsidR="00CB6279" w:rsidRDefault="00CB6279"/>
    <w:tbl>
      <w:tblPr>
        <w:tblW w:w="10905" w:type="dxa"/>
        <w:tblInd w:w="93" w:type="dxa"/>
        <w:tblLook w:val="04A0" w:firstRow="1" w:lastRow="0" w:firstColumn="1" w:lastColumn="0" w:noHBand="0" w:noVBand="1"/>
      </w:tblPr>
      <w:tblGrid>
        <w:gridCol w:w="1435"/>
        <w:gridCol w:w="9470"/>
      </w:tblGrid>
      <w:tr w:rsidR="00CB6279" w:rsidRPr="00CB6279" w:rsidTr="00CB6279">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CB6279" w:rsidRPr="00CB6279" w:rsidRDefault="0070401F" w:rsidP="00CB6279">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CPOE</w:t>
            </w:r>
            <w:r w:rsidR="00CB6279" w:rsidRPr="00CB6279">
              <w:rPr>
                <w:rFonts w:ascii="Calibri" w:eastAsia="Times New Roman" w:hAnsi="Calibri" w:cs="Times New Roman"/>
                <w:b/>
                <w:bCs/>
                <w:color w:val="FFFFFF"/>
                <w:sz w:val="28"/>
                <w:szCs w:val="28"/>
              </w:rPr>
              <w:t xml:space="preserve"> Radiology</w:t>
            </w:r>
            <w:r>
              <w:rPr>
                <w:rFonts w:ascii="Calibri" w:eastAsia="Times New Roman" w:hAnsi="Calibri" w:cs="Times New Roman"/>
                <w:b/>
                <w:bCs/>
                <w:color w:val="FFFFFF"/>
                <w:sz w:val="28"/>
                <w:szCs w:val="28"/>
              </w:rPr>
              <w:t>: Attestation Requirements</w:t>
            </w:r>
            <w:r w:rsidR="00CB6279" w:rsidRPr="00CB6279">
              <w:rPr>
                <w:rFonts w:ascii="Calibri" w:eastAsia="Times New Roman" w:hAnsi="Calibri" w:cs="Times New Roman"/>
                <w:b/>
                <w:bCs/>
                <w:color w:val="FFFFFF"/>
                <w:sz w:val="28"/>
                <w:szCs w:val="28"/>
              </w:rPr>
              <w:t xml:space="preserve"> </w:t>
            </w:r>
          </w:p>
        </w:tc>
      </w:tr>
      <w:tr w:rsidR="00CB6279" w:rsidRPr="00CB6279" w:rsidTr="00CB6279">
        <w:trPr>
          <w:trHeight w:val="300"/>
        </w:trPr>
        <w:tc>
          <w:tcPr>
            <w:tcW w:w="1435" w:type="dxa"/>
            <w:tcBorders>
              <w:top w:val="nil"/>
              <w:left w:val="single" w:sz="4" w:space="0" w:color="auto"/>
              <w:bottom w:val="nil"/>
              <w:right w:val="nil"/>
            </w:tcBorders>
            <w:shd w:val="clear" w:color="000000" w:fill="60497A"/>
            <w:noWrap/>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Denominator</w:t>
            </w:r>
          </w:p>
        </w:tc>
        <w:tc>
          <w:tcPr>
            <w:tcW w:w="9470" w:type="dxa"/>
            <w:tcBorders>
              <w:top w:val="nil"/>
              <w:left w:val="nil"/>
              <w:bottom w:val="nil"/>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Number of radiology orders created by the EP during the EHR reporting period.</w:t>
            </w:r>
          </w:p>
        </w:tc>
      </w:tr>
      <w:tr w:rsidR="00CB6279" w:rsidRPr="00CB6279" w:rsidTr="00CB6279">
        <w:trPr>
          <w:trHeight w:val="300"/>
        </w:trPr>
        <w:tc>
          <w:tcPr>
            <w:tcW w:w="1435" w:type="dxa"/>
            <w:tcBorders>
              <w:top w:val="single" w:sz="4" w:space="0" w:color="auto"/>
              <w:left w:val="single" w:sz="4" w:space="0" w:color="auto"/>
              <w:bottom w:val="nil"/>
              <w:right w:val="nil"/>
            </w:tcBorders>
            <w:shd w:val="clear" w:color="000000" w:fill="60497A"/>
            <w:noWrap/>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Numerator</w:t>
            </w:r>
          </w:p>
        </w:tc>
        <w:tc>
          <w:tcPr>
            <w:tcW w:w="9470" w:type="dxa"/>
            <w:tcBorders>
              <w:top w:val="single" w:sz="4" w:space="0" w:color="auto"/>
              <w:left w:val="nil"/>
              <w:bottom w:val="nil"/>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 xml:space="preserve">The number of orders in the denominator recorded using CPOE. </w:t>
            </w:r>
          </w:p>
        </w:tc>
      </w:tr>
      <w:tr w:rsidR="00CB6279" w:rsidRPr="00CB6279" w:rsidTr="00CB6279">
        <w:trPr>
          <w:trHeight w:val="300"/>
        </w:trPr>
        <w:tc>
          <w:tcPr>
            <w:tcW w:w="1435" w:type="dxa"/>
            <w:tcBorders>
              <w:top w:val="single" w:sz="4" w:space="0" w:color="auto"/>
              <w:left w:val="single" w:sz="4" w:space="0" w:color="auto"/>
              <w:bottom w:val="single" w:sz="4" w:space="0" w:color="auto"/>
              <w:right w:val="nil"/>
            </w:tcBorders>
            <w:shd w:val="clear" w:color="000000" w:fill="60497A"/>
            <w:vAlign w:val="center"/>
            <w:hideMark/>
          </w:tcPr>
          <w:p w:rsidR="00CB6279" w:rsidRPr="00CB6279" w:rsidRDefault="00CB6279" w:rsidP="00CB6279">
            <w:pPr>
              <w:jc w:val="right"/>
              <w:rPr>
                <w:rFonts w:ascii="Calibri" w:eastAsia="Times New Roman" w:hAnsi="Calibri" w:cs="Times New Roman"/>
                <w:b/>
                <w:bCs/>
                <w:color w:val="FFFFFF"/>
              </w:rPr>
            </w:pPr>
            <w:r w:rsidRPr="00CB6279">
              <w:rPr>
                <w:rFonts w:ascii="Calibri" w:eastAsia="Times New Roman" w:hAnsi="Calibri" w:cs="Times New Roman"/>
                <w:b/>
                <w:bCs/>
                <w:color w:val="FFFFFF"/>
              </w:rPr>
              <w:t>Threshold</w:t>
            </w:r>
          </w:p>
        </w:tc>
        <w:tc>
          <w:tcPr>
            <w:tcW w:w="9470" w:type="dxa"/>
            <w:tcBorders>
              <w:top w:val="single" w:sz="4" w:space="0" w:color="auto"/>
              <w:left w:val="nil"/>
              <w:bottom w:val="single" w:sz="4" w:space="0" w:color="auto"/>
              <w:right w:val="single" w:sz="4" w:space="0" w:color="000000"/>
            </w:tcBorders>
            <w:shd w:val="clear" w:color="auto" w:fill="auto"/>
            <w:vAlign w:val="center"/>
            <w:hideMark/>
          </w:tcPr>
          <w:p w:rsidR="00CB6279" w:rsidRPr="00CB6279" w:rsidRDefault="00CB6279" w:rsidP="00CB6279">
            <w:pPr>
              <w:rPr>
                <w:rFonts w:ascii="Calibri" w:eastAsia="Times New Roman" w:hAnsi="Calibri" w:cs="Times New Roman"/>
                <w:color w:val="000000"/>
              </w:rPr>
            </w:pPr>
            <w:r w:rsidRPr="00CB6279">
              <w:rPr>
                <w:rFonts w:ascii="Calibri" w:eastAsia="Times New Roman" w:hAnsi="Calibri" w:cs="Times New Roman"/>
                <w:color w:val="000000"/>
              </w:rPr>
              <w:t xml:space="preserve">The resulting percentage must be more than 30 percent in order for an EP to meet this measure. </w:t>
            </w:r>
          </w:p>
        </w:tc>
      </w:tr>
    </w:tbl>
    <w:p w:rsidR="007D4942" w:rsidRDefault="007D4942"/>
    <w:p w:rsidR="009D61E1" w:rsidRDefault="009D61E1"/>
    <w:p w:rsidR="00C46D58" w:rsidRDefault="00C46D58"/>
    <w:p w:rsidR="009D61E1" w:rsidRPr="004736F7" w:rsidRDefault="009D61E1" w:rsidP="00AB1945">
      <w:pPr>
        <w:pStyle w:val="Heading3"/>
      </w:pPr>
      <w:bookmarkStart w:id="7" w:name="_Toc390171130"/>
      <w:r>
        <w:t>CPOE</w:t>
      </w:r>
      <w:r w:rsidRPr="004736F7">
        <w:t>: Explanation of Measure</w:t>
      </w:r>
      <w:bookmarkEnd w:id="7"/>
    </w:p>
    <w:p w:rsidR="009D61E1" w:rsidRDefault="009D61E1" w:rsidP="009D61E1"/>
    <w:p w:rsidR="009D61E1" w:rsidRDefault="009D61E1" w:rsidP="009D61E1">
      <w:r>
        <w:t xml:space="preserve">This measure is based on the type of order entered by the EP during the reporting period. This measure is </w:t>
      </w:r>
      <w:r w:rsidRPr="009D61E1">
        <w:rPr>
          <w:b/>
        </w:rPr>
        <w:t>not</w:t>
      </w:r>
      <w:r>
        <w:t xml:space="preserve"> based on unique patients nor is it connected to a recorded visit. Instead, the order itself is all that is recorded by this measure with the date of the order determining whether or not it will count towards the numerator in the reporting period.</w:t>
      </w:r>
    </w:p>
    <w:p w:rsidR="009D61E1" w:rsidRDefault="009D61E1" w:rsidP="009D61E1"/>
    <w:p w:rsidR="009D61E1" w:rsidRDefault="009D61E1" w:rsidP="009D61E1">
      <w:r>
        <w:t xml:space="preserve">By definition, all orders entered into the system are done using </w:t>
      </w:r>
      <w:r w:rsidRPr="00C46D58">
        <w:rPr>
          <w:rFonts w:ascii="Calibri" w:eastAsia="Times New Roman" w:hAnsi="Calibri" w:cs="Times New Roman"/>
          <w:color w:val="000000"/>
        </w:rPr>
        <w:t>computerized provider order entry (CPOE)</w:t>
      </w:r>
      <w:r>
        <w:rPr>
          <w:rFonts w:ascii="Calibri" w:eastAsia="Times New Roman" w:hAnsi="Calibri" w:cs="Times New Roman"/>
          <w:color w:val="000000"/>
        </w:rPr>
        <w:t xml:space="preserve">. This means that anything entered into </w:t>
      </w:r>
      <w:r w:rsidR="00AB505C">
        <w:t xml:space="preserve">the Valant Premium Psychiatrist Suite </w:t>
      </w:r>
      <w:r>
        <w:rPr>
          <w:rFonts w:ascii="Calibri" w:eastAsia="Times New Roman" w:hAnsi="Calibri" w:cs="Times New Roman"/>
          <w:color w:val="000000"/>
        </w:rPr>
        <w:t>will count towards CPOE for the purposes of this measure. The two limiting factors as to whether or not an order will apply for an EP are the provider attached to the order and the date associated with the order. If the provider of the order is the EP and the date of the order falls within the reporting period, then this order will count towards the numerator for that EP.</w:t>
      </w:r>
    </w:p>
    <w:p w:rsidR="009D61E1" w:rsidRDefault="009D61E1" w:rsidP="009D61E1"/>
    <w:p w:rsidR="00EA6F58" w:rsidRDefault="00EA6F58" w:rsidP="009D61E1">
      <w:r>
        <w:br w:type="page"/>
      </w:r>
    </w:p>
    <w:p w:rsidR="00DE4BC7" w:rsidRPr="004736F7" w:rsidRDefault="00DE4BC7" w:rsidP="00DE4BC7">
      <w:pPr>
        <w:pStyle w:val="Heading3"/>
      </w:pPr>
      <w:bookmarkStart w:id="8" w:name="_Toc390081269"/>
      <w:bookmarkStart w:id="9" w:name="_Toc390171131"/>
      <w:r>
        <w:lastRenderedPageBreak/>
        <w:t>CPOE</w:t>
      </w:r>
      <w:r w:rsidRPr="004736F7">
        <w:t xml:space="preserve">: </w:t>
      </w:r>
      <w:r>
        <w:t>Meaningful Use Measures</w:t>
      </w:r>
      <w:bookmarkEnd w:id="8"/>
      <w:bookmarkEnd w:id="9"/>
    </w:p>
    <w:p w:rsidR="00DE4BC7" w:rsidRPr="00DF721A" w:rsidRDefault="00DE4BC7" w:rsidP="00DE4BC7"/>
    <w:p w:rsidR="00DE4BC7" w:rsidRDefault="00DE4BC7" w:rsidP="00DE4BC7">
      <w:r>
        <w:t>There are three line items related to CPOE in the Stage 2 list of Meaningful Use Measures. The line items shown in the list relate to the individual reporting options as follows:</w:t>
      </w:r>
    </w:p>
    <w:p w:rsidR="00DE4BC7" w:rsidRDefault="00DE4BC7" w:rsidP="00DE4BC7"/>
    <w:tbl>
      <w:tblPr>
        <w:tblW w:w="10815" w:type="dxa"/>
        <w:tblInd w:w="93" w:type="dxa"/>
        <w:tblLook w:val="04A0" w:firstRow="1" w:lastRow="0" w:firstColumn="1" w:lastColumn="0" w:noHBand="0" w:noVBand="1"/>
      </w:tblPr>
      <w:tblGrid>
        <w:gridCol w:w="6495"/>
        <w:gridCol w:w="4320"/>
      </w:tblGrid>
      <w:tr w:rsidR="00DE4BC7" w:rsidRPr="001936A2" w:rsidTr="00DE4BC7">
        <w:trPr>
          <w:trHeight w:val="315"/>
        </w:trPr>
        <w:tc>
          <w:tcPr>
            <w:tcW w:w="649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DE4BC7" w:rsidRPr="001936A2" w:rsidRDefault="00DE4BC7" w:rsidP="00DE4BC7">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Meaningful Use Measure List</w:t>
            </w:r>
          </w:p>
        </w:tc>
        <w:tc>
          <w:tcPr>
            <w:tcW w:w="4320" w:type="dxa"/>
            <w:tcBorders>
              <w:top w:val="single" w:sz="4" w:space="0" w:color="auto"/>
              <w:left w:val="nil"/>
              <w:bottom w:val="single" w:sz="4" w:space="0" w:color="auto"/>
              <w:right w:val="single" w:sz="4" w:space="0" w:color="auto"/>
            </w:tcBorders>
            <w:shd w:val="clear" w:color="000000" w:fill="4F6228"/>
            <w:noWrap/>
            <w:vAlign w:val="bottom"/>
            <w:hideMark/>
          </w:tcPr>
          <w:p w:rsidR="00DE4BC7" w:rsidRPr="001936A2" w:rsidRDefault="00DE4BC7" w:rsidP="00DE4BC7">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Reporting Option</w:t>
            </w:r>
          </w:p>
        </w:tc>
      </w:tr>
      <w:tr w:rsidR="00DE4BC7" w:rsidRPr="001936A2" w:rsidTr="00DE4BC7">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E4BC7" w:rsidRPr="001936A2" w:rsidRDefault="00DE4BC7" w:rsidP="00DE4BC7">
            <w:pPr>
              <w:rPr>
                <w:rFonts w:ascii="Calibri" w:eastAsia="Times New Roman" w:hAnsi="Calibri" w:cs="Times New Roman"/>
                <w:color w:val="000000"/>
              </w:rPr>
            </w:pPr>
            <w:r w:rsidRPr="001936A2">
              <w:rPr>
                <w:rFonts w:ascii="Calibri" w:eastAsia="Times New Roman" w:hAnsi="Calibri" w:cs="Times New Roman"/>
                <w:color w:val="000000"/>
              </w:rPr>
              <w:t>Computerized Provider Order Entry (CPOE)</w:t>
            </w:r>
            <w:r w:rsidR="007D3E4F">
              <w:rPr>
                <w:rFonts w:ascii="Calibri" w:eastAsia="Times New Roman" w:hAnsi="Calibri" w:cs="Times New Roman"/>
                <w:color w:val="000000"/>
              </w:rPr>
              <w:t xml:space="preserve"> – Medication Order</w:t>
            </w:r>
          </w:p>
        </w:tc>
        <w:tc>
          <w:tcPr>
            <w:tcW w:w="4320" w:type="dxa"/>
            <w:tcBorders>
              <w:top w:val="nil"/>
              <w:left w:val="nil"/>
              <w:bottom w:val="single" w:sz="4" w:space="0" w:color="auto"/>
              <w:right w:val="single" w:sz="4" w:space="0" w:color="auto"/>
            </w:tcBorders>
            <w:shd w:val="clear" w:color="auto" w:fill="auto"/>
            <w:noWrap/>
            <w:vAlign w:val="bottom"/>
            <w:hideMark/>
          </w:tcPr>
          <w:p w:rsidR="00DE4BC7" w:rsidRPr="001936A2" w:rsidRDefault="007D3E4F" w:rsidP="00DE4BC7">
            <w:pPr>
              <w:rPr>
                <w:rFonts w:ascii="Calibri" w:eastAsia="Times New Roman" w:hAnsi="Calibri" w:cs="Times New Roman"/>
                <w:color w:val="000000"/>
              </w:rPr>
            </w:pPr>
            <w:r w:rsidRPr="007D3E4F">
              <w:rPr>
                <w:rFonts w:ascii="Calibri" w:eastAsia="Times New Roman" w:hAnsi="Calibri" w:cs="Times New Roman"/>
                <w:color w:val="000000"/>
              </w:rPr>
              <w:t>CPOE Medication</w:t>
            </w:r>
            <w:r>
              <w:rPr>
                <w:rFonts w:ascii="Calibri" w:eastAsia="Times New Roman" w:hAnsi="Calibri" w:cs="Times New Roman"/>
                <w:color w:val="000000"/>
              </w:rPr>
              <w:t xml:space="preserve"> Orders</w:t>
            </w:r>
          </w:p>
        </w:tc>
      </w:tr>
      <w:tr w:rsidR="00DE4BC7" w:rsidRPr="001936A2" w:rsidTr="007D3E4F">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E4BC7" w:rsidRPr="001936A2" w:rsidRDefault="00DE4BC7" w:rsidP="007D3E4F">
            <w:pPr>
              <w:rPr>
                <w:rFonts w:ascii="Calibri" w:eastAsia="Times New Roman" w:hAnsi="Calibri" w:cs="Times New Roman"/>
                <w:color w:val="000000"/>
              </w:rPr>
            </w:pPr>
            <w:r w:rsidRPr="001936A2">
              <w:rPr>
                <w:rFonts w:ascii="Calibri" w:eastAsia="Times New Roman" w:hAnsi="Calibri" w:cs="Times New Roman"/>
                <w:color w:val="000000"/>
              </w:rPr>
              <w:t xml:space="preserve">Computerized Provider Order Entry (CPOE) </w:t>
            </w:r>
            <w:r w:rsidR="007D3E4F">
              <w:rPr>
                <w:rFonts w:ascii="Calibri" w:eastAsia="Times New Roman" w:hAnsi="Calibri" w:cs="Times New Roman"/>
                <w:color w:val="000000"/>
              </w:rPr>
              <w:t>– Laboratory Order</w:t>
            </w:r>
          </w:p>
        </w:tc>
        <w:tc>
          <w:tcPr>
            <w:tcW w:w="4320" w:type="dxa"/>
            <w:tcBorders>
              <w:top w:val="nil"/>
              <w:left w:val="nil"/>
              <w:bottom w:val="single" w:sz="4" w:space="0" w:color="auto"/>
              <w:right w:val="single" w:sz="4" w:space="0" w:color="auto"/>
            </w:tcBorders>
            <w:shd w:val="clear" w:color="auto" w:fill="auto"/>
            <w:noWrap/>
            <w:vAlign w:val="bottom"/>
            <w:hideMark/>
          </w:tcPr>
          <w:p w:rsidR="00DE4BC7" w:rsidRPr="001936A2" w:rsidRDefault="007D3E4F" w:rsidP="007D3E4F">
            <w:pPr>
              <w:rPr>
                <w:rFonts w:ascii="Calibri" w:eastAsia="Times New Roman" w:hAnsi="Calibri" w:cs="Times New Roman"/>
                <w:color w:val="000000"/>
              </w:rPr>
            </w:pPr>
            <w:r w:rsidRPr="007D3E4F">
              <w:rPr>
                <w:rFonts w:ascii="Calibri" w:eastAsia="Times New Roman" w:hAnsi="Calibri" w:cs="Times New Roman"/>
                <w:color w:val="000000"/>
              </w:rPr>
              <w:t xml:space="preserve">CPOE </w:t>
            </w:r>
            <w:r>
              <w:rPr>
                <w:rFonts w:ascii="Calibri" w:eastAsia="Times New Roman" w:hAnsi="Calibri" w:cs="Times New Roman"/>
                <w:color w:val="000000"/>
              </w:rPr>
              <w:t>Laboratory Orders</w:t>
            </w:r>
          </w:p>
        </w:tc>
      </w:tr>
      <w:tr w:rsidR="007D3E4F" w:rsidRPr="001936A2" w:rsidTr="007D3E4F">
        <w:trPr>
          <w:trHeight w:val="300"/>
        </w:trPr>
        <w:tc>
          <w:tcPr>
            <w:tcW w:w="6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E4F" w:rsidRPr="001936A2" w:rsidRDefault="007D3E4F" w:rsidP="007D3E4F">
            <w:pPr>
              <w:rPr>
                <w:rFonts w:ascii="Calibri" w:eastAsia="Times New Roman" w:hAnsi="Calibri" w:cs="Times New Roman"/>
                <w:color w:val="000000"/>
              </w:rPr>
            </w:pPr>
            <w:r w:rsidRPr="001936A2">
              <w:rPr>
                <w:rFonts w:ascii="Calibri" w:eastAsia="Times New Roman" w:hAnsi="Calibri" w:cs="Times New Roman"/>
                <w:color w:val="000000"/>
              </w:rPr>
              <w:t xml:space="preserve">Computerized Provider Order Entry (CPOE) </w:t>
            </w:r>
            <w:r>
              <w:rPr>
                <w:rFonts w:ascii="Calibri" w:eastAsia="Times New Roman" w:hAnsi="Calibri" w:cs="Times New Roman"/>
                <w:color w:val="000000"/>
              </w:rPr>
              <w:t>– Radiology Order</w:t>
            </w:r>
          </w:p>
        </w:tc>
        <w:tc>
          <w:tcPr>
            <w:tcW w:w="4320" w:type="dxa"/>
            <w:tcBorders>
              <w:top w:val="single" w:sz="4" w:space="0" w:color="auto"/>
              <w:left w:val="nil"/>
              <w:bottom w:val="single" w:sz="4" w:space="0" w:color="auto"/>
              <w:right w:val="single" w:sz="4" w:space="0" w:color="auto"/>
            </w:tcBorders>
            <w:shd w:val="clear" w:color="auto" w:fill="auto"/>
            <w:noWrap/>
            <w:vAlign w:val="bottom"/>
          </w:tcPr>
          <w:p w:rsidR="007D3E4F" w:rsidRPr="001936A2" w:rsidRDefault="007D3E4F" w:rsidP="007D3E4F">
            <w:pPr>
              <w:rPr>
                <w:rFonts w:ascii="Calibri" w:eastAsia="Times New Roman" w:hAnsi="Calibri" w:cs="Times New Roman"/>
                <w:color w:val="000000"/>
              </w:rPr>
            </w:pPr>
            <w:r w:rsidRPr="007D3E4F">
              <w:rPr>
                <w:rFonts w:ascii="Calibri" w:eastAsia="Times New Roman" w:hAnsi="Calibri" w:cs="Times New Roman"/>
                <w:color w:val="000000"/>
              </w:rPr>
              <w:t xml:space="preserve">CPOE </w:t>
            </w:r>
            <w:r>
              <w:rPr>
                <w:rFonts w:ascii="Calibri" w:eastAsia="Times New Roman" w:hAnsi="Calibri" w:cs="Times New Roman"/>
                <w:color w:val="000000"/>
              </w:rPr>
              <w:t>Radiology Orders</w:t>
            </w:r>
          </w:p>
        </w:tc>
      </w:tr>
    </w:tbl>
    <w:p w:rsidR="00DE4BC7" w:rsidRDefault="00DE4BC7" w:rsidP="00DE4BC7"/>
    <w:p w:rsidR="00DE4BC7" w:rsidRDefault="00DE4BC7" w:rsidP="00DE4BC7"/>
    <w:p w:rsidR="00DE4BC7" w:rsidRDefault="00DE4BC7" w:rsidP="00DE4BC7">
      <w:r>
        <w:rPr>
          <w:noProof/>
        </w:rPr>
        <w:drawing>
          <wp:inline distT="0" distB="0" distL="0" distR="0">
            <wp:extent cx="6854190" cy="45402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DE4BC7" w:rsidRDefault="00DE4BC7">
      <w:r>
        <w:br w:type="page"/>
      </w:r>
    </w:p>
    <w:p w:rsidR="00DE4BC7" w:rsidRDefault="00DE4BC7" w:rsidP="00DE4BC7"/>
    <w:p w:rsidR="00EA6F58" w:rsidRPr="00AB1945" w:rsidRDefault="00EA6F58" w:rsidP="00AB1945">
      <w:pPr>
        <w:pStyle w:val="Heading3"/>
      </w:pPr>
      <w:bookmarkStart w:id="10" w:name="_Toc390171132"/>
      <w:r w:rsidRPr="00AB1945">
        <w:t>CPOE: Recording of Numerator in Valant</w:t>
      </w:r>
      <w:bookmarkEnd w:id="10"/>
    </w:p>
    <w:p w:rsidR="00EA6F58" w:rsidRDefault="00EA6F58" w:rsidP="009D61E1"/>
    <w:p w:rsidR="00EA6F58" w:rsidRDefault="00720809" w:rsidP="009D61E1">
      <w:r>
        <w:t xml:space="preserve">There are three different measures associated with CPOE: </w:t>
      </w:r>
      <w:r w:rsidRPr="00315927">
        <w:rPr>
          <w:b/>
        </w:rPr>
        <w:t>Medication</w:t>
      </w:r>
      <w:r>
        <w:t xml:space="preserve">, </w:t>
      </w:r>
      <w:r w:rsidRPr="00315927">
        <w:rPr>
          <w:b/>
        </w:rPr>
        <w:t>Laboratory</w:t>
      </w:r>
      <w:r>
        <w:t xml:space="preserve">, and </w:t>
      </w:r>
      <w:r w:rsidRPr="00315927">
        <w:rPr>
          <w:b/>
        </w:rPr>
        <w:t>Radiology</w:t>
      </w:r>
      <w:r>
        <w:t xml:space="preserve"> orders. Each order type is captured in its own way in the system. The method for recording each type of order is described below. For more information regarding the specific order type, please refer to the documentation located in the Knowledge Base.</w:t>
      </w:r>
    </w:p>
    <w:p w:rsidR="00720809" w:rsidRDefault="00720809" w:rsidP="009D61E1"/>
    <w:p w:rsidR="00720809" w:rsidRDefault="00720809" w:rsidP="009D61E1"/>
    <w:p w:rsidR="00720809" w:rsidRPr="00720809" w:rsidRDefault="00B46675" w:rsidP="00B85C07">
      <w:pPr>
        <w:pStyle w:val="Heading4"/>
      </w:pPr>
      <w:bookmarkStart w:id="11" w:name="_Toc390171133"/>
      <w:r>
        <w:t xml:space="preserve">CPOE: </w:t>
      </w:r>
      <w:r w:rsidR="00720809" w:rsidRPr="00720809">
        <w:t>Medication Orders</w:t>
      </w:r>
      <w:bookmarkEnd w:id="11"/>
    </w:p>
    <w:p w:rsidR="00720809" w:rsidRDefault="00720809" w:rsidP="009D61E1"/>
    <w:p w:rsidR="00B46675" w:rsidRDefault="00B46675" w:rsidP="00B46675">
      <w:r>
        <w:t xml:space="preserve">There are two methods of recording Medication Orders: using the </w:t>
      </w:r>
      <w:r>
        <w:rPr>
          <w:b/>
        </w:rPr>
        <w:t>Medications</w:t>
      </w:r>
      <w:r>
        <w:t xml:space="preserve"> tab in the </w:t>
      </w:r>
      <w:r w:rsidRPr="00162DD0">
        <w:rPr>
          <w:b/>
        </w:rPr>
        <w:t>Patient Chart</w:t>
      </w:r>
      <w:r>
        <w:rPr>
          <w:b/>
        </w:rPr>
        <w:t xml:space="preserve"> </w:t>
      </w:r>
      <w:r>
        <w:t xml:space="preserve">or utilizing the </w:t>
      </w:r>
      <w:r>
        <w:rPr>
          <w:b/>
        </w:rPr>
        <w:t>Meds &amp; Allergies</w:t>
      </w:r>
      <w:r w:rsidRPr="00162DD0">
        <w:rPr>
          <w:b/>
        </w:rPr>
        <w:t xml:space="preserve"> </w:t>
      </w:r>
      <w:r w:rsidRPr="00162DD0">
        <w:t>tab</w:t>
      </w:r>
      <w:r>
        <w:t xml:space="preserve"> in </w:t>
      </w:r>
      <w:r w:rsidRPr="00162DD0">
        <w:rPr>
          <w:b/>
        </w:rPr>
        <w:t>Mobile Notes</w:t>
      </w:r>
      <w:r>
        <w:t xml:space="preserve">. </w:t>
      </w:r>
    </w:p>
    <w:p w:rsidR="00B46675" w:rsidRDefault="00B46675" w:rsidP="00B46675"/>
    <w:p w:rsidR="00B46675" w:rsidRPr="00043618" w:rsidRDefault="00B46675" w:rsidP="00B46675">
      <w:pPr>
        <w:pStyle w:val="Heading5"/>
      </w:pPr>
      <w:bookmarkStart w:id="12" w:name="_Toc390081271"/>
      <w:r>
        <w:t>CPOE</w:t>
      </w:r>
      <w:r w:rsidR="00EB347F">
        <w:t>:</w:t>
      </w:r>
      <w:r>
        <w:t xml:space="preserve"> Medication Orders</w:t>
      </w:r>
      <w:r w:rsidR="00EB347F">
        <w:t xml:space="preserve"> -</w:t>
      </w:r>
      <w:r>
        <w:t xml:space="preserve"> </w:t>
      </w:r>
      <w:r w:rsidRPr="00043618">
        <w:t>Patient Chart</w:t>
      </w:r>
      <w:r>
        <w:t xml:space="preserve"> &gt; Medications</w:t>
      </w:r>
      <w:bookmarkEnd w:id="12"/>
    </w:p>
    <w:p w:rsidR="00B46675" w:rsidRDefault="00B46675" w:rsidP="00B46675"/>
    <w:p w:rsidR="00B46675" w:rsidRDefault="00B46675" w:rsidP="00B46675">
      <w:r>
        <w:t xml:space="preserve">Medication Orders can be done through the </w:t>
      </w:r>
      <w:r w:rsidRPr="00C032BB">
        <w:rPr>
          <w:b/>
        </w:rPr>
        <w:t>Medications</w:t>
      </w:r>
      <w:r>
        <w:t xml:space="preserve"> tab of the patient chart. To create a new Medication Order, click the </w:t>
      </w:r>
      <w:r w:rsidRPr="001A41B4">
        <w:rPr>
          <w:b/>
        </w:rPr>
        <w:t xml:space="preserve">New </w:t>
      </w:r>
      <w:r>
        <w:rPr>
          <w:b/>
        </w:rPr>
        <w:t>Medication</w:t>
      </w:r>
      <w:r>
        <w:t xml:space="preserve"> button. </w:t>
      </w:r>
    </w:p>
    <w:p w:rsidR="00B46675" w:rsidRDefault="00B46675" w:rsidP="00B46675"/>
    <w:p w:rsidR="00B46675" w:rsidRDefault="00B46675" w:rsidP="00B46675">
      <w:r>
        <w:rPr>
          <w:noProof/>
        </w:rPr>
        <w:drawing>
          <wp:inline distT="0" distB="0" distL="0" distR="0" wp14:anchorId="2EBFF250" wp14:editId="14BFAB66">
            <wp:extent cx="6854190" cy="64389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4190" cy="643890"/>
                    </a:xfrm>
                    <a:prstGeom prst="rect">
                      <a:avLst/>
                    </a:prstGeom>
                    <a:noFill/>
                    <a:ln>
                      <a:noFill/>
                    </a:ln>
                  </pic:spPr>
                </pic:pic>
              </a:graphicData>
            </a:graphic>
          </wp:inline>
        </w:drawing>
      </w:r>
    </w:p>
    <w:p w:rsidR="00B46675" w:rsidRDefault="00B46675" w:rsidP="00B46675"/>
    <w:p w:rsidR="00B46675" w:rsidRDefault="00B46675" w:rsidP="00B46675"/>
    <w:p w:rsidR="00B46675" w:rsidRDefault="00B46675" w:rsidP="00B46675"/>
    <w:p w:rsidR="00B46675" w:rsidRDefault="00B46675" w:rsidP="00B46675">
      <w:r>
        <w:t xml:space="preserve">Medication Management in the Valant Premium Psychiatrist Suite, which includes creating new Medication Orders, is done through our ePrescribing partner DrFirst. Any prescription generated within DrFirst constitutes a Medication Order, regardless of how it is sent. This means that prescriptions can be generated using </w:t>
      </w:r>
      <w:r w:rsidRPr="003674C5">
        <w:rPr>
          <w:b/>
        </w:rPr>
        <w:t>Send</w:t>
      </w:r>
      <w:r>
        <w:t xml:space="preserve">, </w:t>
      </w:r>
      <w:r w:rsidRPr="003674C5">
        <w:rPr>
          <w:b/>
        </w:rPr>
        <w:t>Send and Print</w:t>
      </w:r>
      <w:r>
        <w:t xml:space="preserve">, </w:t>
      </w:r>
      <w:r w:rsidRPr="003674C5">
        <w:rPr>
          <w:b/>
        </w:rPr>
        <w:t>Print w/o Sending</w:t>
      </w:r>
      <w:r>
        <w:t xml:space="preserve">, or even </w:t>
      </w:r>
      <w:r w:rsidRPr="003674C5">
        <w:rPr>
          <w:b/>
        </w:rPr>
        <w:t>Sign w/o Sending</w:t>
      </w:r>
      <w:r>
        <w:t xml:space="preserve"> and still receive credit for the numerator of this measure. </w:t>
      </w:r>
    </w:p>
    <w:p w:rsidR="00B46675" w:rsidRDefault="00B46675" w:rsidP="00B46675"/>
    <w:p w:rsidR="00B46675" w:rsidRDefault="00B46675" w:rsidP="00B46675">
      <w:r>
        <w:t xml:space="preserve">For more information relating to creating a new Medication Order in DrFirst, please refer to documentation </w:t>
      </w:r>
      <w:r w:rsidRPr="00EE4CEB">
        <w:rPr>
          <w:highlight w:val="yellow"/>
        </w:rPr>
        <w:t>XXXXX</w:t>
      </w:r>
      <w:r>
        <w:t xml:space="preserve">. </w:t>
      </w:r>
    </w:p>
    <w:p w:rsidR="00B46675" w:rsidRDefault="00B46675" w:rsidP="00B46675"/>
    <w:p w:rsidR="00B46675" w:rsidRDefault="00B46675" w:rsidP="00B46675">
      <w:r>
        <w:rPr>
          <w:noProof/>
        </w:rPr>
        <w:drawing>
          <wp:inline distT="0" distB="0" distL="0" distR="0" wp14:anchorId="181F34B6" wp14:editId="0035D6A1">
            <wp:extent cx="6858000" cy="714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14375"/>
                    </a:xfrm>
                    <a:prstGeom prst="rect">
                      <a:avLst/>
                    </a:prstGeom>
                    <a:noFill/>
                    <a:ln>
                      <a:noFill/>
                    </a:ln>
                  </pic:spPr>
                </pic:pic>
              </a:graphicData>
            </a:graphic>
          </wp:inline>
        </w:drawing>
      </w:r>
    </w:p>
    <w:p w:rsidR="00B46675" w:rsidRDefault="00B46675" w:rsidP="00B46675"/>
    <w:p w:rsidR="00B46675" w:rsidRDefault="00B46675" w:rsidP="00B46675"/>
    <w:p w:rsidR="00B46675" w:rsidRDefault="00B46675" w:rsidP="00B46675">
      <w:r>
        <w:t>Once a Medication Order has been entered, it will appear in the list of orders under the Medications tab of the patient chart.</w:t>
      </w:r>
    </w:p>
    <w:p w:rsidR="00B46675" w:rsidRDefault="00B46675" w:rsidP="00B46675"/>
    <w:p w:rsidR="00B46675" w:rsidRDefault="00B46675" w:rsidP="00B46675">
      <w:r>
        <w:rPr>
          <w:b/>
          <w:noProof/>
          <w:u w:val="single"/>
        </w:rPr>
        <w:drawing>
          <wp:inline distT="0" distB="0" distL="0" distR="0" wp14:anchorId="2C778DEB" wp14:editId="018C4964">
            <wp:extent cx="6854190" cy="8509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190" cy="850900"/>
                    </a:xfrm>
                    <a:prstGeom prst="rect">
                      <a:avLst/>
                    </a:prstGeom>
                    <a:noFill/>
                    <a:ln>
                      <a:noFill/>
                    </a:ln>
                  </pic:spPr>
                </pic:pic>
              </a:graphicData>
            </a:graphic>
          </wp:inline>
        </w:drawing>
      </w:r>
    </w:p>
    <w:p w:rsidR="00B46675" w:rsidRDefault="00B46675" w:rsidP="00B46675">
      <w:r>
        <w:br w:type="page"/>
      </w:r>
    </w:p>
    <w:p w:rsidR="00B46675" w:rsidRPr="00043618" w:rsidRDefault="00B46675" w:rsidP="00B46675">
      <w:pPr>
        <w:pStyle w:val="Heading5"/>
      </w:pPr>
      <w:bookmarkStart w:id="13" w:name="_Toc390081272"/>
      <w:r>
        <w:lastRenderedPageBreak/>
        <w:t>CPOE</w:t>
      </w:r>
      <w:r w:rsidR="00EB347F">
        <w:t>:</w:t>
      </w:r>
      <w:r>
        <w:t xml:space="preserve"> Medication Orders</w:t>
      </w:r>
      <w:r w:rsidR="00EB347F">
        <w:t xml:space="preserve"> -</w:t>
      </w:r>
      <w:r>
        <w:t xml:space="preserve"> Mobile Notes</w:t>
      </w:r>
      <w:bookmarkEnd w:id="13"/>
    </w:p>
    <w:p w:rsidR="00B46675" w:rsidRDefault="00B46675" w:rsidP="00B46675"/>
    <w:p w:rsidR="00B46675" w:rsidRDefault="00B46675" w:rsidP="00B46675">
      <w:r>
        <w:t xml:space="preserve">To record Medication Orders for a patient using Mobile Notes, a template must be selected that contains the </w:t>
      </w:r>
      <w:r>
        <w:rPr>
          <w:b/>
        </w:rPr>
        <w:t>Meds &amp; Allergies</w:t>
      </w:r>
      <w:r>
        <w:t xml:space="preserve"> tab. Templates which include Meds &amp; Allergies includes: Psychiatric Progress Note, DBP Progress Note, </w:t>
      </w:r>
      <w:r w:rsidRPr="004A5D3E">
        <w:t>Structured Therapy Progress Note</w:t>
      </w:r>
      <w:r>
        <w:t>, Intake Note, Child Intake Note, and DBP Intake Note.</w:t>
      </w:r>
    </w:p>
    <w:p w:rsidR="00B46675" w:rsidRDefault="00B46675" w:rsidP="00B46675"/>
    <w:p w:rsidR="00B46675" w:rsidRDefault="00B46675" w:rsidP="00B46675">
      <w:r>
        <w:rPr>
          <w:noProof/>
        </w:rPr>
        <w:drawing>
          <wp:inline distT="0" distB="0" distL="0" distR="0" wp14:anchorId="7DE83B18" wp14:editId="513009A5">
            <wp:extent cx="6854190" cy="155067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1550670"/>
                    </a:xfrm>
                    <a:prstGeom prst="rect">
                      <a:avLst/>
                    </a:prstGeom>
                    <a:noFill/>
                    <a:ln>
                      <a:noFill/>
                    </a:ln>
                  </pic:spPr>
                </pic:pic>
              </a:graphicData>
            </a:graphic>
          </wp:inline>
        </w:drawing>
      </w:r>
    </w:p>
    <w:p w:rsidR="00B46675" w:rsidRDefault="00B46675" w:rsidP="00B46675"/>
    <w:p w:rsidR="00B46675" w:rsidRDefault="00B46675" w:rsidP="00B46675"/>
    <w:p w:rsidR="00B46675" w:rsidRDefault="00B46675" w:rsidP="00B46675">
      <w:r>
        <w:t xml:space="preserve">Selecting the </w:t>
      </w:r>
      <w:r>
        <w:rPr>
          <w:b/>
        </w:rPr>
        <w:t>Meds &amp; Allergies</w:t>
      </w:r>
      <w:r>
        <w:t xml:space="preserve"> tab will bring up the section showing the patient’s current Medications and Allergies. To enter a new Medication Order, click the </w:t>
      </w:r>
      <w:r w:rsidRPr="00F3685C">
        <w:rPr>
          <w:b/>
        </w:rPr>
        <w:t xml:space="preserve">Edit </w:t>
      </w:r>
      <w:r>
        <w:rPr>
          <w:b/>
        </w:rPr>
        <w:t>Medications</w:t>
      </w:r>
      <w:r>
        <w:t xml:space="preserve"> link. </w:t>
      </w:r>
    </w:p>
    <w:p w:rsidR="00B46675" w:rsidRDefault="00B46675" w:rsidP="00B46675"/>
    <w:p w:rsidR="00B46675" w:rsidRDefault="00B46675" w:rsidP="00B46675">
      <w:pPr>
        <w:jc w:val="center"/>
      </w:pPr>
      <w:r>
        <w:rPr>
          <w:noProof/>
        </w:rPr>
        <w:drawing>
          <wp:inline distT="0" distB="0" distL="0" distR="0" wp14:anchorId="3AEEE2F9" wp14:editId="798630BD">
            <wp:extent cx="2440940" cy="13912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940" cy="1391285"/>
                    </a:xfrm>
                    <a:prstGeom prst="rect">
                      <a:avLst/>
                    </a:prstGeom>
                    <a:noFill/>
                    <a:ln>
                      <a:noFill/>
                    </a:ln>
                  </pic:spPr>
                </pic:pic>
              </a:graphicData>
            </a:graphic>
          </wp:inline>
        </w:drawing>
      </w:r>
    </w:p>
    <w:p w:rsidR="00B46675" w:rsidRDefault="00B46675" w:rsidP="00B46675"/>
    <w:p w:rsidR="00B46675" w:rsidRDefault="00B46675" w:rsidP="00B46675">
      <w:r>
        <w:t xml:space="preserve">Medication Management in the Valant Premium Psychiatrist Suite, which includes creating new Medication Orders, is done through our ePrescribing partner DrFirst. Any prescription generated within DrFirst constitutes a Medication Order, regardless of how it is sent. This means that prescriptions can be generated using </w:t>
      </w:r>
      <w:r w:rsidRPr="003674C5">
        <w:rPr>
          <w:b/>
        </w:rPr>
        <w:t>Send</w:t>
      </w:r>
      <w:r>
        <w:t xml:space="preserve">, </w:t>
      </w:r>
      <w:r w:rsidRPr="003674C5">
        <w:rPr>
          <w:b/>
        </w:rPr>
        <w:t>Send and Print</w:t>
      </w:r>
      <w:r>
        <w:t xml:space="preserve">, </w:t>
      </w:r>
      <w:r w:rsidRPr="003674C5">
        <w:rPr>
          <w:b/>
        </w:rPr>
        <w:t>Print w/o Sending</w:t>
      </w:r>
      <w:r>
        <w:t xml:space="preserve">, or even </w:t>
      </w:r>
      <w:r w:rsidRPr="003674C5">
        <w:rPr>
          <w:b/>
        </w:rPr>
        <w:t>Sign w/o Sending</w:t>
      </w:r>
      <w:r>
        <w:t xml:space="preserve"> and still receive credit for the numerator of this measure. </w:t>
      </w:r>
    </w:p>
    <w:p w:rsidR="00B46675" w:rsidRDefault="00B46675" w:rsidP="00B46675"/>
    <w:p w:rsidR="00B46675" w:rsidRDefault="00B46675" w:rsidP="00B46675">
      <w:r>
        <w:t xml:space="preserve">For more information relating to creating a new Medication Order in DrFirst, please refer to documentation </w:t>
      </w:r>
      <w:r w:rsidRPr="00EE4CEB">
        <w:rPr>
          <w:highlight w:val="yellow"/>
        </w:rPr>
        <w:t>XXXXX</w:t>
      </w:r>
      <w:r>
        <w:t xml:space="preserve">. </w:t>
      </w:r>
    </w:p>
    <w:p w:rsidR="00B46675" w:rsidRDefault="00B46675" w:rsidP="00B46675"/>
    <w:p w:rsidR="00B46675" w:rsidRDefault="00B46675" w:rsidP="00B46675">
      <w:r>
        <w:rPr>
          <w:noProof/>
        </w:rPr>
        <w:drawing>
          <wp:inline distT="0" distB="0" distL="0" distR="0" wp14:anchorId="2C08AB09" wp14:editId="63965328">
            <wp:extent cx="6858000" cy="7143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14375"/>
                    </a:xfrm>
                    <a:prstGeom prst="rect">
                      <a:avLst/>
                    </a:prstGeom>
                    <a:noFill/>
                    <a:ln>
                      <a:noFill/>
                    </a:ln>
                  </pic:spPr>
                </pic:pic>
              </a:graphicData>
            </a:graphic>
          </wp:inline>
        </w:drawing>
      </w:r>
    </w:p>
    <w:p w:rsidR="00B46675" w:rsidRDefault="00B46675" w:rsidP="00B46675"/>
    <w:p w:rsidR="002E1A49" w:rsidRDefault="002E1A49" w:rsidP="00E7403A">
      <w:pPr>
        <w:rPr>
          <w:b/>
          <w:u w:val="single"/>
        </w:rPr>
      </w:pPr>
      <w:r>
        <w:rPr>
          <w:b/>
          <w:u w:val="single"/>
        </w:rPr>
        <w:br w:type="page"/>
      </w:r>
    </w:p>
    <w:p w:rsidR="00E7403A" w:rsidRPr="00720809" w:rsidRDefault="00B46675" w:rsidP="00B85C07">
      <w:pPr>
        <w:pStyle w:val="Heading4"/>
      </w:pPr>
      <w:bookmarkStart w:id="14" w:name="_Toc390171134"/>
      <w:r>
        <w:lastRenderedPageBreak/>
        <w:t xml:space="preserve">CPOE: </w:t>
      </w:r>
      <w:r w:rsidR="00E7403A">
        <w:t>Laboratory</w:t>
      </w:r>
      <w:r w:rsidR="00E7403A" w:rsidRPr="00720809">
        <w:t xml:space="preserve"> Orders</w:t>
      </w:r>
      <w:bookmarkEnd w:id="14"/>
    </w:p>
    <w:p w:rsidR="00E7403A" w:rsidRDefault="00E7403A" w:rsidP="00E7403A"/>
    <w:p w:rsidR="002E1A49" w:rsidRDefault="002E1A49" w:rsidP="002E1A49">
      <w:r>
        <w:t xml:space="preserve">Laboratory Orders are done through the Lab Requests tab of the patient chart. To create a new </w:t>
      </w:r>
      <w:r w:rsidR="008E397D">
        <w:t>Laboratory</w:t>
      </w:r>
      <w:r>
        <w:t xml:space="preserve"> Order, click the </w:t>
      </w:r>
      <w:r w:rsidRPr="001A41B4">
        <w:rPr>
          <w:b/>
        </w:rPr>
        <w:t xml:space="preserve">New </w:t>
      </w:r>
      <w:r>
        <w:rPr>
          <w:b/>
        </w:rPr>
        <w:t>Lab Request</w:t>
      </w:r>
      <w:r>
        <w:t xml:space="preserve"> button. </w:t>
      </w:r>
    </w:p>
    <w:p w:rsidR="002E1A49" w:rsidRDefault="002E1A49" w:rsidP="002E1A49"/>
    <w:p w:rsidR="002E1A49" w:rsidRDefault="002E1A49" w:rsidP="002E1A49">
      <w:r>
        <w:t xml:space="preserve">For more information about Laboratory Requests beyond what is described below, please see the documentation </w:t>
      </w:r>
      <w:r w:rsidRPr="0094303E">
        <w:rPr>
          <w:highlight w:val="yellow"/>
        </w:rPr>
        <w:t>XXXXX</w:t>
      </w:r>
      <w:r>
        <w:t>.</w:t>
      </w:r>
    </w:p>
    <w:p w:rsidR="002E1A49" w:rsidRDefault="002E1A49" w:rsidP="002E1A49"/>
    <w:p w:rsidR="00E7403A" w:rsidRDefault="008E397D" w:rsidP="00E7403A">
      <w:r>
        <w:rPr>
          <w:noProof/>
        </w:rPr>
        <w:drawing>
          <wp:inline distT="0" distB="0" distL="0" distR="0" wp14:anchorId="07D90E12" wp14:editId="2CFD6C82">
            <wp:extent cx="6854190" cy="8032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4190" cy="803275"/>
                    </a:xfrm>
                    <a:prstGeom prst="rect">
                      <a:avLst/>
                    </a:prstGeom>
                    <a:noFill/>
                    <a:ln>
                      <a:noFill/>
                    </a:ln>
                  </pic:spPr>
                </pic:pic>
              </a:graphicData>
            </a:graphic>
          </wp:inline>
        </w:drawing>
      </w:r>
    </w:p>
    <w:p w:rsidR="008E397D" w:rsidRDefault="008E397D" w:rsidP="00E7403A"/>
    <w:p w:rsidR="00354FAC" w:rsidRDefault="00354FAC" w:rsidP="00E7403A"/>
    <w:p w:rsidR="008E397D" w:rsidRDefault="008E397D" w:rsidP="00E7403A"/>
    <w:p w:rsidR="008E397D" w:rsidRDefault="008E397D" w:rsidP="008E397D">
      <w:r>
        <w:t xml:space="preserve">A new Laboratory Order can be entered on the </w:t>
      </w:r>
      <w:r w:rsidRPr="001A41B4">
        <w:rPr>
          <w:b/>
        </w:rPr>
        <w:t xml:space="preserve">New </w:t>
      </w:r>
      <w:r>
        <w:rPr>
          <w:b/>
        </w:rPr>
        <w:t>Lab Request</w:t>
      </w:r>
      <w:r>
        <w:t xml:space="preserve"> dialogue window. To enter a new Laboratory Order, a date must be supplied, a provider must be identified, </w:t>
      </w:r>
      <w:r w:rsidR="004B0832">
        <w:t>a d</w:t>
      </w:r>
      <w:r>
        <w:t xml:space="preserve">iagnosis must be selected, and </w:t>
      </w:r>
      <w:r w:rsidR="004B0832">
        <w:t xml:space="preserve">one or more orders </w:t>
      </w:r>
      <w:r>
        <w:t xml:space="preserve">must be selected. It is important to correctly identify the provider and date of the Image Order as this will determine which EP will be credited for the order as well as determines what reporting period the order falls under. </w:t>
      </w:r>
    </w:p>
    <w:p w:rsidR="008E397D" w:rsidRDefault="008E397D" w:rsidP="00E7403A"/>
    <w:p w:rsidR="008E397D" w:rsidRDefault="008E397D" w:rsidP="008E397D">
      <w:pPr>
        <w:jc w:val="center"/>
      </w:pPr>
      <w:r>
        <w:rPr>
          <w:noProof/>
        </w:rPr>
        <w:drawing>
          <wp:inline distT="0" distB="0" distL="0" distR="0" wp14:anchorId="113871E6" wp14:editId="3D7640A6">
            <wp:extent cx="5732890" cy="347138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585" cy="3471204"/>
                    </a:xfrm>
                    <a:prstGeom prst="rect">
                      <a:avLst/>
                    </a:prstGeom>
                    <a:noFill/>
                    <a:ln>
                      <a:noFill/>
                    </a:ln>
                  </pic:spPr>
                </pic:pic>
              </a:graphicData>
            </a:graphic>
          </wp:inline>
        </w:drawing>
      </w:r>
    </w:p>
    <w:p w:rsidR="008E397D" w:rsidRDefault="008E397D" w:rsidP="00E7403A"/>
    <w:p w:rsidR="008E397D" w:rsidRDefault="008E397D" w:rsidP="00E7403A"/>
    <w:p w:rsidR="00EA6F58" w:rsidRDefault="00EA6F58" w:rsidP="009D61E1"/>
    <w:p w:rsidR="008E397D" w:rsidRDefault="008E397D" w:rsidP="008E397D">
      <w:r>
        <w:t>Once a Laboratory Order has been entered, it will appear in the list of orders under the Lab Requests tab.</w:t>
      </w:r>
    </w:p>
    <w:p w:rsidR="008E397D" w:rsidRDefault="008E397D" w:rsidP="009D61E1"/>
    <w:p w:rsidR="00DB3C28" w:rsidRDefault="008E397D" w:rsidP="00E7403A">
      <w:pPr>
        <w:rPr>
          <w:b/>
          <w:u w:val="single"/>
        </w:rPr>
      </w:pPr>
      <w:r>
        <w:rPr>
          <w:noProof/>
        </w:rPr>
        <w:drawing>
          <wp:inline distT="0" distB="0" distL="0" distR="0" wp14:anchorId="7C9AEDB4" wp14:editId="5E9E0494">
            <wp:extent cx="6858000" cy="895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95350"/>
                    </a:xfrm>
                    <a:prstGeom prst="rect">
                      <a:avLst/>
                    </a:prstGeom>
                    <a:noFill/>
                    <a:ln>
                      <a:noFill/>
                    </a:ln>
                  </pic:spPr>
                </pic:pic>
              </a:graphicData>
            </a:graphic>
          </wp:inline>
        </w:drawing>
      </w:r>
      <w:r w:rsidR="00DB3C28">
        <w:rPr>
          <w:b/>
          <w:u w:val="single"/>
        </w:rPr>
        <w:br w:type="page"/>
      </w:r>
    </w:p>
    <w:p w:rsidR="00E7403A" w:rsidRPr="00720809" w:rsidRDefault="00F30DC7" w:rsidP="00B85C07">
      <w:pPr>
        <w:pStyle w:val="Heading4"/>
      </w:pPr>
      <w:bookmarkStart w:id="15" w:name="_Toc390171135"/>
      <w:r>
        <w:lastRenderedPageBreak/>
        <w:t xml:space="preserve">CPOE: </w:t>
      </w:r>
      <w:r w:rsidR="00E7403A">
        <w:t>Radiology</w:t>
      </w:r>
      <w:r w:rsidR="00E7403A" w:rsidRPr="00720809">
        <w:t xml:space="preserve"> Orders</w:t>
      </w:r>
      <w:bookmarkEnd w:id="15"/>
    </w:p>
    <w:p w:rsidR="00E7403A" w:rsidRDefault="00E7403A" w:rsidP="00E7403A"/>
    <w:p w:rsidR="00820A70" w:rsidRDefault="00E7403A" w:rsidP="00820A70">
      <w:r>
        <w:t xml:space="preserve">Radiology Orders are done through the </w:t>
      </w:r>
      <w:r w:rsidR="0094303E">
        <w:t>Image Orders</w:t>
      </w:r>
      <w:r>
        <w:t xml:space="preserve"> tab of the patient chart. </w:t>
      </w:r>
      <w:r w:rsidR="00820A70">
        <w:t xml:space="preserve">To create a new Image Order, click the </w:t>
      </w:r>
      <w:r w:rsidR="00820A70" w:rsidRPr="001A41B4">
        <w:rPr>
          <w:b/>
        </w:rPr>
        <w:t>New Image Order</w:t>
      </w:r>
      <w:r w:rsidR="00820A70">
        <w:t xml:space="preserve"> button. </w:t>
      </w:r>
    </w:p>
    <w:p w:rsidR="00820A70" w:rsidRDefault="00820A70" w:rsidP="00E7403A"/>
    <w:p w:rsidR="00E7403A" w:rsidRDefault="0094303E" w:rsidP="00E7403A">
      <w:r>
        <w:t>For more information about Image Orders</w:t>
      </w:r>
      <w:r w:rsidR="001A41B4">
        <w:t xml:space="preserve"> beyond what is described below</w:t>
      </w:r>
      <w:r>
        <w:t xml:space="preserve">, please see the documentation </w:t>
      </w:r>
      <w:r w:rsidRPr="0094303E">
        <w:rPr>
          <w:highlight w:val="yellow"/>
        </w:rPr>
        <w:t>XXXXX</w:t>
      </w:r>
      <w:r>
        <w:t>.</w:t>
      </w:r>
    </w:p>
    <w:p w:rsidR="00EA6F58" w:rsidRDefault="00EA6F58" w:rsidP="009D61E1"/>
    <w:p w:rsidR="00C46D58" w:rsidRDefault="00820A70">
      <w:r>
        <w:rPr>
          <w:noProof/>
        </w:rPr>
        <w:drawing>
          <wp:inline distT="0" distB="0" distL="0" distR="0" wp14:anchorId="6F229B12" wp14:editId="1DA404AA">
            <wp:extent cx="6854190" cy="6438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4190" cy="643890"/>
                    </a:xfrm>
                    <a:prstGeom prst="rect">
                      <a:avLst/>
                    </a:prstGeom>
                    <a:noFill/>
                    <a:ln>
                      <a:noFill/>
                    </a:ln>
                  </pic:spPr>
                </pic:pic>
              </a:graphicData>
            </a:graphic>
          </wp:inline>
        </w:drawing>
      </w:r>
    </w:p>
    <w:p w:rsidR="0094303E" w:rsidRDefault="0094303E"/>
    <w:p w:rsidR="0094303E" w:rsidRDefault="0094303E"/>
    <w:p w:rsidR="005D094E" w:rsidRDefault="005D094E"/>
    <w:p w:rsidR="001A41B4" w:rsidRDefault="001A41B4">
      <w:r>
        <w:t xml:space="preserve">A new Image Order can be entered on the </w:t>
      </w:r>
      <w:r w:rsidRPr="001A41B4">
        <w:rPr>
          <w:b/>
        </w:rPr>
        <w:t>New Image Order</w:t>
      </w:r>
      <w:r>
        <w:t xml:space="preserve"> dialogue window. To enter a new Image Order, a date must be supplied, a provider must be identified, and a description of the order must be entered. It is important to correctly identify the provider and date of the Image Order as this will determine which EP will be credited for the order as well as </w:t>
      </w:r>
      <w:r w:rsidR="008E397D">
        <w:t>determines</w:t>
      </w:r>
      <w:r>
        <w:t xml:space="preserve"> what reporting period the order </w:t>
      </w:r>
      <w:r w:rsidR="00DD648E">
        <w:t>falls under</w:t>
      </w:r>
      <w:r>
        <w:t xml:space="preserve">. </w:t>
      </w:r>
    </w:p>
    <w:p w:rsidR="001A41B4" w:rsidRDefault="001A41B4"/>
    <w:p w:rsidR="001A41B4" w:rsidRDefault="001A41B4" w:rsidP="001A41B4">
      <w:pPr>
        <w:jc w:val="center"/>
      </w:pPr>
      <w:r>
        <w:rPr>
          <w:noProof/>
        </w:rPr>
        <w:drawing>
          <wp:inline distT="0" distB="0" distL="0" distR="0" wp14:anchorId="3853C2A7" wp14:editId="005F52CB">
            <wp:extent cx="4533900"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2000250"/>
                    </a:xfrm>
                    <a:prstGeom prst="rect">
                      <a:avLst/>
                    </a:prstGeom>
                    <a:noFill/>
                    <a:ln>
                      <a:noFill/>
                    </a:ln>
                  </pic:spPr>
                </pic:pic>
              </a:graphicData>
            </a:graphic>
          </wp:inline>
        </w:drawing>
      </w:r>
    </w:p>
    <w:p w:rsidR="00820A70" w:rsidRDefault="00820A70"/>
    <w:p w:rsidR="00DB3C28" w:rsidRDefault="00DB3C28"/>
    <w:p w:rsidR="001A41B4" w:rsidRDefault="001A41B4"/>
    <w:p w:rsidR="001A41B4" w:rsidRDefault="001A41B4">
      <w:r>
        <w:t>Once an Image Order has been entered, it will appear in the list of orders under the Image Order tab.</w:t>
      </w:r>
    </w:p>
    <w:p w:rsidR="001A41B4" w:rsidRDefault="001A41B4"/>
    <w:p w:rsidR="001A41B4" w:rsidRDefault="001A41B4">
      <w:r>
        <w:rPr>
          <w:noProof/>
        </w:rPr>
        <w:drawing>
          <wp:inline distT="0" distB="0" distL="0" distR="0" wp14:anchorId="63F7EC38" wp14:editId="392DFC35">
            <wp:extent cx="6858000" cy="71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714375"/>
                    </a:xfrm>
                    <a:prstGeom prst="rect">
                      <a:avLst/>
                    </a:prstGeom>
                    <a:noFill/>
                    <a:ln>
                      <a:noFill/>
                    </a:ln>
                  </pic:spPr>
                </pic:pic>
              </a:graphicData>
            </a:graphic>
          </wp:inline>
        </w:drawing>
      </w:r>
    </w:p>
    <w:p w:rsidR="0094303E" w:rsidRDefault="0094303E"/>
    <w:p w:rsidR="009D2905" w:rsidRDefault="009D2905">
      <w:r>
        <w:br w:type="page"/>
      </w:r>
    </w:p>
    <w:p w:rsidR="00E24F2B" w:rsidRDefault="009D2905" w:rsidP="009D2905">
      <w:pPr>
        <w:pStyle w:val="Heading2"/>
        <w:rPr>
          <w:rFonts w:eastAsia="Times New Roman"/>
        </w:rPr>
      </w:pPr>
      <w:bookmarkStart w:id="16" w:name="_Toc390171136"/>
      <w:r w:rsidRPr="00F81776">
        <w:rPr>
          <w:rFonts w:eastAsia="Times New Roman"/>
        </w:rPr>
        <w:lastRenderedPageBreak/>
        <w:t>Stage 2 - Core #2: e-Prescribing (eRx)</w:t>
      </w:r>
      <w:bookmarkEnd w:id="16"/>
    </w:p>
    <w:p w:rsidR="009D2905" w:rsidRPr="009D2905" w:rsidRDefault="009D2905" w:rsidP="009D2905"/>
    <w:tbl>
      <w:tblPr>
        <w:tblW w:w="0" w:type="auto"/>
        <w:tblInd w:w="93" w:type="dxa"/>
        <w:tblLook w:val="04A0" w:firstRow="1" w:lastRow="0" w:firstColumn="1" w:lastColumn="0" w:noHBand="0" w:noVBand="1"/>
      </w:tblPr>
      <w:tblGrid>
        <w:gridCol w:w="1087"/>
        <w:gridCol w:w="9836"/>
      </w:tblGrid>
      <w:tr w:rsidR="00F81776" w:rsidRPr="00F81776" w:rsidTr="00E7657C">
        <w:trPr>
          <w:trHeight w:val="390"/>
        </w:trPr>
        <w:tc>
          <w:tcPr>
            <w:tcW w:w="0" w:type="auto"/>
            <w:gridSpan w:val="2"/>
            <w:tcBorders>
              <w:top w:val="single" w:sz="8" w:space="0" w:color="auto"/>
              <w:left w:val="single" w:sz="8" w:space="0" w:color="auto"/>
              <w:bottom w:val="single" w:sz="6" w:space="0" w:color="000000"/>
              <w:right w:val="single" w:sz="8" w:space="0" w:color="000000"/>
            </w:tcBorders>
            <w:shd w:val="clear" w:color="000000" w:fill="1F497D"/>
            <w:noWrap/>
            <w:vAlign w:val="bottom"/>
            <w:hideMark/>
          </w:tcPr>
          <w:p w:rsidR="00F81776" w:rsidRPr="009D2905" w:rsidRDefault="00F81776" w:rsidP="009D2905">
            <w:pPr>
              <w:rPr>
                <w:b/>
              </w:rPr>
            </w:pPr>
            <w:r w:rsidRPr="009D2905">
              <w:rPr>
                <w:b/>
                <w:color w:val="FFFFFF" w:themeColor="background1"/>
                <w:sz w:val="32"/>
              </w:rPr>
              <w:t>e-Prescribing (eRx)</w:t>
            </w:r>
          </w:p>
        </w:tc>
      </w:tr>
      <w:tr w:rsidR="00F81776" w:rsidRPr="00F81776" w:rsidTr="00E7657C">
        <w:trPr>
          <w:trHeight w:val="300"/>
        </w:trPr>
        <w:tc>
          <w:tcPr>
            <w:tcW w:w="0" w:type="auto"/>
            <w:vMerge w:val="restart"/>
            <w:tcBorders>
              <w:top w:val="single" w:sz="6" w:space="0" w:color="000000"/>
              <w:left w:val="single" w:sz="4" w:space="0" w:color="auto"/>
              <w:bottom w:val="nil"/>
              <w:right w:val="nil"/>
            </w:tcBorders>
            <w:shd w:val="clear" w:color="000000" w:fill="1F497D"/>
            <w:noWrap/>
            <w:vAlign w:val="center"/>
            <w:hideMark/>
          </w:tcPr>
          <w:p w:rsidR="00F81776" w:rsidRPr="00F81776" w:rsidRDefault="00F81776" w:rsidP="00F81776">
            <w:pPr>
              <w:jc w:val="right"/>
              <w:rPr>
                <w:rFonts w:ascii="Calibri" w:eastAsia="Times New Roman" w:hAnsi="Calibri" w:cs="Times New Roman"/>
                <w:b/>
                <w:bCs/>
                <w:color w:val="FFFFFF"/>
              </w:rPr>
            </w:pPr>
            <w:r w:rsidRPr="00F81776">
              <w:rPr>
                <w:rFonts w:ascii="Calibri" w:eastAsia="Times New Roman" w:hAnsi="Calibri" w:cs="Times New Roman"/>
                <w:b/>
                <w:bCs/>
                <w:color w:val="FFFFFF"/>
              </w:rPr>
              <w:t xml:space="preserve">Objective </w:t>
            </w:r>
          </w:p>
        </w:tc>
        <w:tc>
          <w:tcPr>
            <w:tcW w:w="0" w:type="auto"/>
            <w:vMerge w:val="restart"/>
            <w:tcBorders>
              <w:top w:val="single" w:sz="6" w:space="0" w:color="000000"/>
              <w:left w:val="nil"/>
              <w:bottom w:val="nil"/>
              <w:right w:val="single" w:sz="4" w:space="0" w:color="000000"/>
            </w:tcBorders>
            <w:shd w:val="clear" w:color="auto" w:fill="auto"/>
            <w:vAlign w:val="center"/>
            <w:hideMark/>
          </w:tcPr>
          <w:p w:rsidR="00F81776" w:rsidRPr="00F81776" w:rsidRDefault="00F81776" w:rsidP="00F81776">
            <w:pPr>
              <w:rPr>
                <w:rFonts w:ascii="Calibri" w:eastAsia="Times New Roman" w:hAnsi="Calibri" w:cs="Times New Roman"/>
                <w:color w:val="000000"/>
              </w:rPr>
            </w:pPr>
            <w:r w:rsidRPr="00F81776">
              <w:rPr>
                <w:rFonts w:ascii="Calibri" w:eastAsia="Times New Roman" w:hAnsi="Calibri" w:cs="Times New Roman"/>
                <w:color w:val="000000"/>
              </w:rPr>
              <w:t xml:space="preserve">Generate and transmit permissible prescriptions electronically (eRx). </w:t>
            </w:r>
          </w:p>
        </w:tc>
      </w:tr>
      <w:tr w:rsidR="00F81776" w:rsidRPr="00F81776" w:rsidTr="00831012">
        <w:trPr>
          <w:trHeight w:val="300"/>
        </w:trPr>
        <w:tc>
          <w:tcPr>
            <w:tcW w:w="0" w:type="auto"/>
            <w:vMerge/>
            <w:tcBorders>
              <w:top w:val="nil"/>
              <w:left w:val="single" w:sz="4" w:space="0" w:color="auto"/>
              <w:bottom w:val="nil"/>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nil"/>
              <w:left w:val="nil"/>
              <w:bottom w:val="nil"/>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tcBorders>
              <w:top w:val="nil"/>
              <w:left w:val="single" w:sz="4" w:space="0" w:color="auto"/>
              <w:bottom w:val="nil"/>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nil"/>
              <w:left w:val="nil"/>
              <w:bottom w:val="nil"/>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val="restart"/>
            <w:tcBorders>
              <w:top w:val="single" w:sz="4" w:space="0" w:color="auto"/>
              <w:left w:val="single" w:sz="4" w:space="0" w:color="auto"/>
              <w:bottom w:val="single" w:sz="4" w:space="0" w:color="000000"/>
              <w:right w:val="nil"/>
            </w:tcBorders>
            <w:shd w:val="clear" w:color="000000" w:fill="1F497D"/>
            <w:noWrap/>
            <w:vAlign w:val="center"/>
            <w:hideMark/>
          </w:tcPr>
          <w:p w:rsidR="00F81776" w:rsidRPr="00F81776" w:rsidRDefault="00F81776" w:rsidP="00F81776">
            <w:pPr>
              <w:jc w:val="right"/>
              <w:rPr>
                <w:rFonts w:ascii="Calibri" w:eastAsia="Times New Roman" w:hAnsi="Calibri" w:cs="Times New Roman"/>
                <w:b/>
                <w:bCs/>
                <w:color w:val="FFFFFF"/>
              </w:rPr>
            </w:pPr>
            <w:r w:rsidRPr="00F81776">
              <w:rPr>
                <w:rFonts w:ascii="Calibri" w:eastAsia="Times New Roman" w:hAnsi="Calibri" w:cs="Times New Roman"/>
                <w:b/>
                <w:bCs/>
                <w:color w:val="FFFFFF"/>
              </w:rPr>
              <w:t xml:space="preserve">Measure </w:t>
            </w:r>
          </w:p>
        </w:tc>
        <w:tc>
          <w:tcPr>
            <w:tcW w:w="0" w:type="auto"/>
            <w:vMerge w:val="restart"/>
            <w:tcBorders>
              <w:top w:val="single" w:sz="4" w:space="0" w:color="auto"/>
              <w:left w:val="nil"/>
              <w:bottom w:val="single" w:sz="4" w:space="0" w:color="000000"/>
              <w:right w:val="single" w:sz="4" w:space="0" w:color="000000"/>
            </w:tcBorders>
            <w:shd w:val="clear" w:color="auto" w:fill="auto"/>
            <w:vAlign w:val="center"/>
            <w:hideMark/>
          </w:tcPr>
          <w:p w:rsidR="00F81776" w:rsidRPr="00F81776" w:rsidRDefault="00F81776" w:rsidP="00F81776">
            <w:pPr>
              <w:rPr>
                <w:rFonts w:ascii="Calibri" w:eastAsia="Times New Roman" w:hAnsi="Calibri" w:cs="Times New Roman"/>
                <w:color w:val="000000"/>
              </w:rPr>
            </w:pPr>
            <w:r w:rsidRPr="00F81776">
              <w:rPr>
                <w:rFonts w:ascii="Calibri" w:eastAsia="Times New Roman" w:hAnsi="Calibri" w:cs="Times New Roman"/>
                <w:color w:val="000000"/>
              </w:rPr>
              <w:t>More than 50 percent of all permissible prescriptions, or all prescriptions, written by the EP are queried for a drug formulary and transmitted electronically using CEHRT</w:t>
            </w:r>
          </w:p>
        </w:tc>
      </w:tr>
      <w:tr w:rsidR="00F81776" w:rsidRPr="00F81776" w:rsidTr="00831012">
        <w:trPr>
          <w:trHeight w:val="300"/>
        </w:trPr>
        <w:tc>
          <w:tcPr>
            <w:tcW w:w="0" w:type="auto"/>
            <w:vMerge/>
            <w:tcBorders>
              <w:top w:val="single" w:sz="4" w:space="0" w:color="auto"/>
              <w:left w:val="single" w:sz="4" w:space="0" w:color="auto"/>
              <w:bottom w:val="single" w:sz="4" w:space="0" w:color="000000"/>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tcBorders>
              <w:top w:val="single" w:sz="4" w:space="0" w:color="auto"/>
              <w:left w:val="single" w:sz="4" w:space="0" w:color="auto"/>
              <w:bottom w:val="single" w:sz="4" w:space="0" w:color="000000"/>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val="restart"/>
            <w:tcBorders>
              <w:top w:val="nil"/>
              <w:left w:val="single" w:sz="4" w:space="0" w:color="auto"/>
              <w:bottom w:val="single" w:sz="4" w:space="0" w:color="000000"/>
              <w:right w:val="nil"/>
            </w:tcBorders>
            <w:shd w:val="clear" w:color="000000" w:fill="1F497D"/>
            <w:noWrap/>
            <w:vAlign w:val="center"/>
            <w:hideMark/>
          </w:tcPr>
          <w:p w:rsidR="00F81776" w:rsidRPr="00F81776" w:rsidRDefault="00F81776" w:rsidP="00F81776">
            <w:pPr>
              <w:jc w:val="right"/>
              <w:rPr>
                <w:rFonts w:ascii="Calibri" w:eastAsia="Times New Roman" w:hAnsi="Calibri" w:cs="Times New Roman"/>
                <w:b/>
                <w:bCs/>
                <w:color w:val="FFFFFF"/>
              </w:rPr>
            </w:pPr>
            <w:r w:rsidRPr="00F81776">
              <w:rPr>
                <w:rFonts w:ascii="Calibri" w:eastAsia="Times New Roman" w:hAnsi="Calibri" w:cs="Times New Roman"/>
                <w:b/>
                <w:bCs/>
                <w:color w:val="FFFFFF"/>
              </w:rPr>
              <w:t xml:space="preserve">Exclusion </w:t>
            </w:r>
          </w:p>
        </w:tc>
        <w:tc>
          <w:tcPr>
            <w:tcW w:w="0" w:type="auto"/>
            <w:vMerge w:val="restart"/>
            <w:tcBorders>
              <w:top w:val="single" w:sz="4" w:space="0" w:color="auto"/>
              <w:left w:val="nil"/>
              <w:bottom w:val="single" w:sz="4" w:space="0" w:color="000000"/>
              <w:right w:val="single" w:sz="4" w:space="0" w:color="000000"/>
            </w:tcBorders>
            <w:shd w:val="clear" w:color="auto" w:fill="auto"/>
            <w:vAlign w:val="center"/>
            <w:hideMark/>
          </w:tcPr>
          <w:p w:rsidR="0016069A" w:rsidRDefault="00F81776" w:rsidP="00F81776">
            <w:pPr>
              <w:rPr>
                <w:rFonts w:ascii="Calibri" w:eastAsia="Times New Roman" w:hAnsi="Calibri" w:cs="Times New Roman"/>
                <w:color w:val="000000"/>
              </w:rPr>
            </w:pPr>
            <w:r w:rsidRPr="00F81776">
              <w:rPr>
                <w:rFonts w:ascii="Calibri" w:eastAsia="Times New Roman" w:hAnsi="Calibri" w:cs="Times New Roman"/>
                <w:color w:val="000000"/>
              </w:rPr>
              <w:t xml:space="preserve">Any EP who: </w:t>
            </w:r>
          </w:p>
          <w:p w:rsidR="0016069A" w:rsidRDefault="00F81776" w:rsidP="0016069A">
            <w:pPr>
              <w:rPr>
                <w:rFonts w:ascii="Calibri" w:eastAsia="Times New Roman" w:hAnsi="Calibri" w:cs="Times New Roman"/>
                <w:color w:val="000000"/>
              </w:rPr>
            </w:pPr>
            <w:r w:rsidRPr="00F81776">
              <w:rPr>
                <w:rFonts w:ascii="Calibri" w:eastAsia="Times New Roman" w:hAnsi="Calibri" w:cs="Times New Roman"/>
                <w:color w:val="000000"/>
              </w:rPr>
              <w:t>(1) Writes fewer than 100 permissible prescriptions d</w:t>
            </w:r>
            <w:r w:rsidR="0016069A">
              <w:rPr>
                <w:rFonts w:ascii="Calibri" w:eastAsia="Times New Roman" w:hAnsi="Calibri" w:cs="Times New Roman"/>
                <w:color w:val="000000"/>
              </w:rPr>
              <w:t>uring the EHR reporting period</w:t>
            </w:r>
          </w:p>
          <w:p w:rsidR="00F81776" w:rsidRPr="00F81776" w:rsidRDefault="0016069A" w:rsidP="0016069A">
            <w:pPr>
              <w:rPr>
                <w:rFonts w:ascii="Calibri" w:eastAsia="Times New Roman" w:hAnsi="Calibri" w:cs="Times New Roman"/>
                <w:color w:val="000000"/>
              </w:rPr>
            </w:pPr>
            <w:r>
              <w:rPr>
                <w:rFonts w:ascii="Calibri" w:eastAsia="Times New Roman" w:hAnsi="Calibri" w:cs="Times New Roman"/>
                <w:color w:val="000000"/>
              </w:rPr>
              <w:t>(</w:t>
            </w:r>
            <w:r w:rsidR="00F81776" w:rsidRPr="00F81776">
              <w:rPr>
                <w:rFonts w:ascii="Calibri" w:eastAsia="Times New Roman" w:hAnsi="Calibri" w:cs="Times New Roman"/>
                <w:color w:val="000000"/>
              </w:rPr>
              <w:t>2) Does not have a pharmacy within their organization and there are no pharmacies that accept electronic prescriptions within 10 miles of the EP's practice location at the start of his/her EHR reporting period</w:t>
            </w:r>
          </w:p>
        </w:tc>
      </w:tr>
      <w:tr w:rsidR="00F81776" w:rsidRPr="00F81776" w:rsidTr="00831012">
        <w:trPr>
          <w:trHeight w:val="300"/>
        </w:trPr>
        <w:tc>
          <w:tcPr>
            <w:tcW w:w="0" w:type="auto"/>
            <w:vMerge/>
            <w:tcBorders>
              <w:top w:val="nil"/>
              <w:left w:val="single" w:sz="4" w:space="0" w:color="auto"/>
              <w:bottom w:val="single" w:sz="4" w:space="0" w:color="000000"/>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tcBorders>
              <w:top w:val="nil"/>
              <w:left w:val="single" w:sz="4" w:space="0" w:color="auto"/>
              <w:bottom w:val="single" w:sz="4" w:space="0" w:color="000000"/>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r w:rsidR="00F81776" w:rsidRPr="00F81776" w:rsidTr="00831012">
        <w:trPr>
          <w:trHeight w:val="300"/>
        </w:trPr>
        <w:tc>
          <w:tcPr>
            <w:tcW w:w="0" w:type="auto"/>
            <w:vMerge/>
            <w:tcBorders>
              <w:top w:val="nil"/>
              <w:left w:val="single" w:sz="4" w:space="0" w:color="auto"/>
              <w:bottom w:val="single" w:sz="4" w:space="0" w:color="000000"/>
              <w:right w:val="nil"/>
            </w:tcBorders>
            <w:vAlign w:val="center"/>
            <w:hideMark/>
          </w:tcPr>
          <w:p w:rsidR="00F81776" w:rsidRPr="00F81776" w:rsidRDefault="00F81776" w:rsidP="00F81776">
            <w:pPr>
              <w:rPr>
                <w:rFonts w:ascii="Calibri" w:eastAsia="Times New Roman" w:hAnsi="Calibri" w:cs="Times New Roman"/>
                <w:b/>
                <w:bCs/>
                <w:color w:val="FFFFFF"/>
              </w:rPr>
            </w:pPr>
          </w:p>
        </w:tc>
        <w:tc>
          <w:tcPr>
            <w:tcW w:w="0" w:type="auto"/>
            <w:vMerge/>
            <w:tcBorders>
              <w:top w:val="single" w:sz="4" w:space="0" w:color="auto"/>
              <w:left w:val="nil"/>
              <w:bottom w:val="single" w:sz="4" w:space="0" w:color="000000"/>
              <w:right w:val="single" w:sz="4" w:space="0" w:color="000000"/>
            </w:tcBorders>
            <w:vAlign w:val="center"/>
            <w:hideMark/>
          </w:tcPr>
          <w:p w:rsidR="00F81776" w:rsidRPr="00F81776" w:rsidRDefault="00F81776" w:rsidP="00F81776">
            <w:pPr>
              <w:rPr>
                <w:rFonts w:ascii="Calibri" w:eastAsia="Times New Roman" w:hAnsi="Calibri" w:cs="Times New Roman"/>
                <w:color w:val="000000"/>
              </w:rPr>
            </w:pPr>
          </w:p>
        </w:tc>
      </w:tr>
    </w:tbl>
    <w:p w:rsidR="00C46D58" w:rsidRDefault="00C46D58"/>
    <w:tbl>
      <w:tblPr>
        <w:tblW w:w="10905" w:type="dxa"/>
        <w:tblInd w:w="93" w:type="dxa"/>
        <w:tblLook w:val="04A0" w:firstRow="1" w:lastRow="0" w:firstColumn="1" w:lastColumn="0" w:noHBand="0" w:noVBand="1"/>
      </w:tblPr>
      <w:tblGrid>
        <w:gridCol w:w="1435"/>
        <w:gridCol w:w="9470"/>
      </w:tblGrid>
      <w:tr w:rsidR="007A779A" w:rsidRPr="007A779A" w:rsidTr="007A779A">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A779A" w:rsidRPr="007A779A" w:rsidRDefault="007A779A" w:rsidP="00253079">
            <w:pPr>
              <w:rPr>
                <w:rFonts w:ascii="Calibri" w:eastAsia="Times New Roman" w:hAnsi="Calibri" w:cs="Times New Roman"/>
                <w:b/>
                <w:bCs/>
                <w:color w:val="FFFFFF"/>
                <w:sz w:val="28"/>
                <w:szCs w:val="28"/>
              </w:rPr>
            </w:pPr>
            <w:r w:rsidRPr="007A779A">
              <w:rPr>
                <w:rFonts w:ascii="Calibri" w:eastAsia="Times New Roman" w:hAnsi="Calibri" w:cs="Times New Roman"/>
                <w:b/>
                <w:bCs/>
                <w:color w:val="FFFFFF"/>
                <w:sz w:val="28"/>
                <w:szCs w:val="28"/>
              </w:rPr>
              <w:t>eRx</w:t>
            </w:r>
            <w:r w:rsidR="00253079">
              <w:rPr>
                <w:rFonts w:ascii="Calibri" w:eastAsia="Times New Roman" w:hAnsi="Calibri" w:cs="Times New Roman"/>
                <w:b/>
                <w:bCs/>
                <w:color w:val="FFFFFF"/>
                <w:sz w:val="28"/>
                <w:szCs w:val="28"/>
              </w:rPr>
              <w:t xml:space="preserve"> -</w:t>
            </w:r>
            <w:r w:rsidRPr="007A779A">
              <w:rPr>
                <w:rFonts w:ascii="Calibri" w:eastAsia="Times New Roman" w:hAnsi="Calibri" w:cs="Times New Roman"/>
                <w:b/>
                <w:bCs/>
                <w:color w:val="FFFFFF"/>
                <w:sz w:val="28"/>
                <w:szCs w:val="28"/>
              </w:rPr>
              <w:t xml:space="preserve"> Controlled Substances Excluded</w:t>
            </w:r>
            <w:r w:rsidR="00253079">
              <w:rPr>
                <w:rFonts w:ascii="Calibri" w:eastAsia="Times New Roman" w:hAnsi="Calibri" w:cs="Times New Roman"/>
                <w:b/>
                <w:bCs/>
                <w:color w:val="FFFFFF"/>
                <w:sz w:val="28"/>
                <w:szCs w:val="28"/>
              </w:rPr>
              <w:t>: Attestation Requirements</w:t>
            </w: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Number of prescriptions written for drugs requiring a prescription in order to be dispensed other than controlled substances during the EHR reporting period</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 xml:space="preserve">The number of prescriptions in the denominator generated, queried for a drug </w:t>
            </w:r>
            <w:r w:rsidRPr="007A779A">
              <w:rPr>
                <w:rFonts w:ascii="Calibri" w:eastAsia="Times New Roman" w:hAnsi="Calibri" w:cs="Times New Roman"/>
                <w:color w:val="000000"/>
              </w:rPr>
              <w:br/>
              <w:t>formulary and transmitted electronically using CEHRT</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The resulting percentage must be more than 50 percent in order for an EP to meet this measure</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bl>
    <w:p w:rsidR="00C46D58" w:rsidRDefault="00C46D58"/>
    <w:p w:rsidR="00C46D58" w:rsidRDefault="00C46D58"/>
    <w:tbl>
      <w:tblPr>
        <w:tblW w:w="10905" w:type="dxa"/>
        <w:tblInd w:w="93" w:type="dxa"/>
        <w:tblLook w:val="04A0" w:firstRow="1" w:lastRow="0" w:firstColumn="1" w:lastColumn="0" w:noHBand="0" w:noVBand="1"/>
      </w:tblPr>
      <w:tblGrid>
        <w:gridCol w:w="1435"/>
        <w:gridCol w:w="9470"/>
      </w:tblGrid>
      <w:tr w:rsidR="007A779A" w:rsidRPr="007A779A" w:rsidTr="007A779A">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A779A" w:rsidRPr="007A779A" w:rsidRDefault="00253079" w:rsidP="007A779A">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eRx -</w:t>
            </w:r>
            <w:r w:rsidR="007A779A" w:rsidRPr="007A779A">
              <w:rPr>
                <w:rFonts w:ascii="Calibri" w:eastAsia="Times New Roman" w:hAnsi="Calibri" w:cs="Times New Roman"/>
                <w:b/>
                <w:bCs/>
                <w:color w:val="FFFFFF"/>
                <w:sz w:val="28"/>
                <w:szCs w:val="28"/>
              </w:rPr>
              <w:t xml:space="preserve"> Controlled Substances Included</w:t>
            </w:r>
            <w:r>
              <w:rPr>
                <w:rFonts w:ascii="Calibri" w:eastAsia="Times New Roman" w:hAnsi="Calibri" w:cs="Times New Roman"/>
                <w:b/>
                <w:bCs/>
                <w:color w:val="FFFFFF"/>
                <w:sz w:val="28"/>
                <w:szCs w:val="28"/>
              </w:rPr>
              <w:t>: Attestation Requirements</w:t>
            </w: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Number of prescriptions written for drugs requiring a prescription in order to be dispensed during the EHR reporting period</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 xml:space="preserve">The number of prescriptions in the denominator generated, queried for a drug </w:t>
            </w:r>
            <w:r w:rsidRPr="007A779A">
              <w:rPr>
                <w:rFonts w:ascii="Calibri" w:eastAsia="Times New Roman" w:hAnsi="Calibri" w:cs="Times New Roman"/>
                <w:color w:val="000000"/>
              </w:rPr>
              <w:br/>
              <w:t>formulary and transmitted electronically using CEHRT</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r w:rsidR="007A779A" w:rsidRPr="007A779A" w:rsidTr="007A779A">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A779A" w:rsidRPr="007A779A" w:rsidRDefault="007A779A" w:rsidP="007A779A">
            <w:pPr>
              <w:jc w:val="right"/>
              <w:rPr>
                <w:rFonts w:ascii="Calibri" w:eastAsia="Times New Roman" w:hAnsi="Calibri" w:cs="Times New Roman"/>
                <w:b/>
                <w:bCs/>
                <w:color w:val="FFFFFF"/>
              </w:rPr>
            </w:pPr>
            <w:r w:rsidRPr="007A779A">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A779A" w:rsidRPr="007A779A" w:rsidRDefault="007A779A" w:rsidP="007A779A">
            <w:pPr>
              <w:rPr>
                <w:rFonts w:ascii="Calibri" w:eastAsia="Times New Roman" w:hAnsi="Calibri" w:cs="Times New Roman"/>
                <w:color w:val="000000"/>
              </w:rPr>
            </w:pPr>
            <w:r w:rsidRPr="007A779A">
              <w:rPr>
                <w:rFonts w:ascii="Calibri" w:eastAsia="Times New Roman" w:hAnsi="Calibri" w:cs="Times New Roman"/>
                <w:color w:val="000000"/>
              </w:rPr>
              <w:t>The resulting percentage must be more than 50 percent in order for an EP to meet this measure</w:t>
            </w:r>
          </w:p>
        </w:tc>
      </w:tr>
      <w:tr w:rsidR="007A779A" w:rsidRPr="007A779A" w:rsidTr="007A779A">
        <w:trPr>
          <w:trHeight w:val="300"/>
        </w:trPr>
        <w:tc>
          <w:tcPr>
            <w:tcW w:w="1435" w:type="dxa"/>
            <w:vMerge/>
            <w:tcBorders>
              <w:top w:val="nil"/>
              <w:left w:val="single" w:sz="4" w:space="0" w:color="auto"/>
              <w:bottom w:val="single" w:sz="4" w:space="0" w:color="000000"/>
              <w:right w:val="nil"/>
            </w:tcBorders>
            <w:vAlign w:val="center"/>
            <w:hideMark/>
          </w:tcPr>
          <w:p w:rsidR="007A779A" w:rsidRPr="007A779A" w:rsidRDefault="007A779A" w:rsidP="007A779A">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A779A" w:rsidRPr="007A779A" w:rsidRDefault="007A779A" w:rsidP="007A779A">
            <w:pPr>
              <w:rPr>
                <w:rFonts w:ascii="Calibri" w:eastAsia="Times New Roman" w:hAnsi="Calibri" w:cs="Times New Roman"/>
                <w:color w:val="000000"/>
              </w:rPr>
            </w:pPr>
          </w:p>
        </w:tc>
      </w:tr>
    </w:tbl>
    <w:p w:rsidR="00C46D58" w:rsidRDefault="00C46D58"/>
    <w:p w:rsidR="00C00BCD" w:rsidRDefault="00C00BCD"/>
    <w:p w:rsidR="00B440FB" w:rsidRPr="004736F7" w:rsidRDefault="00B440FB" w:rsidP="00B85C07">
      <w:pPr>
        <w:pStyle w:val="Heading3"/>
      </w:pPr>
      <w:bookmarkStart w:id="17" w:name="_Toc390171137"/>
      <w:r>
        <w:t>eRx</w:t>
      </w:r>
      <w:r w:rsidRPr="004736F7">
        <w:t>: Explanation of Measure</w:t>
      </w:r>
      <w:bookmarkEnd w:id="17"/>
    </w:p>
    <w:p w:rsidR="00B440FB" w:rsidRDefault="00B440FB" w:rsidP="00B440FB"/>
    <w:p w:rsidR="00B440FB" w:rsidRDefault="00B440FB" w:rsidP="00566003">
      <w:r>
        <w:t xml:space="preserve">This measure is based on the </w:t>
      </w:r>
      <w:r w:rsidR="00566003">
        <w:t xml:space="preserve">manner in which a medication order was prescribed </w:t>
      </w:r>
      <w:r>
        <w:t xml:space="preserve">by the EP during the reporting period. This measure is </w:t>
      </w:r>
      <w:r w:rsidRPr="009D61E1">
        <w:rPr>
          <w:b/>
        </w:rPr>
        <w:t>not</w:t>
      </w:r>
      <w:r>
        <w:t xml:space="preserve"> based on unique patients nor is it connected to a recorded visit. Instead, the </w:t>
      </w:r>
      <w:r w:rsidR="00566003">
        <w:t>manner in which the medication order</w:t>
      </w:r>
      <w:r>
        <w:t xml:space="preserve"> is </w:t>
      </w:r>
      <w:r w:rsidR="00566003">
        <w:t xml:space="preserve">prescribed and the date of the prescription is </w:t>
      </w:r>
      <w:r>
        <w:t>all that is recorded by this measure</w:t>
      </w:r>
      <w:r w:rsidR="00566003">
        <w:t xml:space="preserve">. </w:t>
      </w:r>
    </w:p>
    <w:p w:rsidR="00B440FB" w:rsidRDefault="00B440FB" w:rsidP="00B440FB"/>
    <w:p w:rsidR="00566003" w:rsidRDefault="00566003" w:rsidP="00B440FB">
      <w:r>
        <w:t xml:space="preserve">This measure has two options for reporting. EP’s who have the ability to </w:t>
      </w:r>
      <w:r w:rsidR="003D6688">
        <w:t>ePrescribe (</w:t>
      </w:r>
      <w:r>
        <w:t>eRx</w:t>
      </w:r>
      <w:r w:rsidR="003D6688">
        <w:t>)</w:t>
      </w:r>
      <w:r>
        <w:t xml:space="preserve"> controlled substances using DrFirst’s Electronic Prescription of Controlled Substances (EPCS) will want to report using the option where all medication orders count towards the denominator. For EP’s who do not have EPCS turned on, </w:t>
      </w:r>
      <w:r w:rsidR="002F4B59">
        <w:t>then the reporting option which excludes controlled substances from the denominator</w:t>
      </w:r>
      <w:r w:rsidR="008971C8">
        <w:t xml:space="preserve"> should be used instead. It is up to the EP to report on the correct option during attestation as values for both options will be presented. </w:t>
      </w:r>
    </w:p>
    <w:p w:rsidR="00566003" w:rsidRDefault="00566003" w:rsidP="00B440FB"/>
    <w:p w:rsidR="00566003" w:rsidRDefault="00B440FB" w:rsidP="00B440FB">
      <w:pPr>
        <w:rPr>
          <w:rFonts w:ascii="Calibri" w:eastAsia="Times New Roman" w:hAnsi="Calibri" w:cs="Times New Roman"/>
          <w:color w:val="000000"/>
        </w:rPr>
      </w:pPr>
      <w:r>
        <w:t xml:space="preserve">By </w:t>
      </w:r>
      <w:r w:rsidR="008971C8">
        <w:t>default</w:t>
      </w:r>
      <w:r>
        <w:t xml:space="preserve">, all orders entered into </w:t>
      </w:r>
      <w:r w:rsidR="008971C8">
        <w:t xml:space="preserve">DrFirst are queried for a drug formulary. As a result, sending the prescription electronically is all that is required in order to have the prescription count towards the numerator. </w:t>
      </w:r>
      <w:r w:rsidR="00566003">
        <w:rPr>
          <w:rFonts w:ascii="Calibri" w:eastAsia="Times New Roman" w:hAnsi="Calibri" w:cs="Times New Roman"/>
          <w:color w:val="000000"/>
        </w:rPr>
        <w:br w:type="page"/>
      </w:r>
    </w:p>
    <w:p w:rsidR="00D20A53" w:rsidRPr="004736F7" w:rsidRDefault="00D20A53" w:rsidP="00D20A53">
      <w:pPr>
        <w:pStyle w:val="Heading3"/>
      </w:pPr>
      <w:bookmarkStart w:id="18" w:name="_Toc390081286"/>
      <w:bookmarkStart w:id="19" w:name="_Toc390171138"/>
      <w:r>
        <w:t>eRx</w:t>
      </w:r>
      <w:r w:rsidRPr="004736F7">
        <w:t xml:space="preserve">: </w:t>
      </w:r>
      <w:r>
        <w:t>Meaningful Use Measures</w:t>
      </w:r>
      <w:bookmarkEnd w:id="18"/>
      <w:bookmarkEnd w:id="19"/>
    </w:p>
    <w:p w:rsidR="00D20A53" w:rsidRPr="00DF721A" w:rsidRDefault="00D20A53" w:rsidP="00D20A53"/>
    <w:p w:rsidR="00D20A53" w:rsidRDefault="00D20A53" w:rsidP="00D20A53">
      <w:r>
        <w:t>There are two line items related to e-Prescribing in the Stage 2 list of Meaningful Use Measures. The line items shown in the list relate to the individual reporting options as follows:</w:t>
      </w:r>
    </w:p>
    <w:p w:rsidR="00D20A53" w:rsidRDefault="00D20A53" w:rsidP="00D20A53"/>
    <w:tbl>
      <w:tblPr>
        <w:tblW w:w="10815" w:type="dxa"/>
        <w:tblInd w:w="93" w:type="dxa"/>
        <w:tblLook w:val="04A0" w:firstRow="1" w:lastRow="0" w:firstColumn="1" w:lastColumn="0" w:noHBand="0" w:noVBand="1"/>
      </w:tblPr>
      <w:tblGrid>
        <w:gridCol w:w="6495"/>
        <w:gridCol w:w="4320"/>
      </w:tblGrid>
      <w:tr w:rsidR="00D20A53" w:rsidRPr="001936A2" w:rsidTr="007C4B61">
        <w:trPr>
          <w:trHeight w:val="315"/>
        </w:trPr>
        <w:tc>
          <w:tcPr>
            <w:tcW w:w="649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D20A53" w:rsidRPr="001936A2" w:rsidRDefault="00D20A53" w:rsidP="007C4B61">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Meaningful Use Measure List</w:t>
            </w:r>
          </w:p>
        </w:tc>
        <w:tc>
          <w:tcPr>
            <w:tcW w:w="4320" w:type="dxa"/>
            <w:tcBorders>
              <w:top w:val="single" w:sz="4" w:space="0" w:color="auto"/>
              <w:left w:val="nil"/>
              <w:bottom w:val="single" w:sz="4" w:space="0" w:color="auto"/>
              <w:right w:val="single" w:sz="4" w:space="0" w:color="auto"/>
            </w:tcBorders>
            <w:shd w:val="clear" w:color="000000" w:fill="4F6228"/>
            <w:noWrap/>
            <w:vAlign w:val="bottom"/>
            <w:hideMark/>
          </w:tcPr>
          <w:p w:rsidR="00D20A53" w:rsidRPr="001936A2" w:rsidRDefault="00D20A53" w:rsidP="007C4B61">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Reporting Option</w:t>
            </w:r>
          </w:p>
        </w:tc>
      </w:tr>
      <w:tr w:rsidR="00D20A53" w:rsidRPr="001936A2" w:rsidTr="007C4B61">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20A53" w:rsidRPr="001936A2" w:rsidRDefault="00D20A53" w:rsidP="007C4B61">
            <w:pPr>
              <w:rPr>
                <w:rFonts w:ascii="Calibri" w:eastAsia="Times New Roman" w:hAnsi="Calibri" w:cs="Times New Roman"/>
                <w:color w:val="000000"/>
              </w:rPr>
            </w:pPr>
            <w:r w:rsidRPr="00D20A53">
              <w:rPr>
                <w:rFonts w:ascii="Calibri" w:eastAsia="Times New Roman" w:hAnsi="Calibri" w:cs="Times New Roman"/>
                <w:color w:val="000000"/>
              </w:rPr>
              <w:t>Electronic Prescribing (eRx) - Controlled Substances Excluded</w:t>
            </w:r>
          </w:p>
        </w:tc>
        <w:tc>
          <w:tcPr>
            <w:tcW w:w="4320" w:type="dxa"/>
            <w:tcBorders>
              <w:top w:val="nil"/>
              <w:left w:val="nil"/>
              <w:bottom w:val="single" w:sz="4" w:space="0" w:color="auto"/>
              <w:right w:val="single" w:sz="4" w:space="0" w:color="auto"/>
            </w:tcBorders>
            <w:shd w:val="clear" w:color="auto" w:fill="auto"/>
            <w:noWrap/>
            <w:vAlign w:val="bottom"/>
            <w:hideMark/>
          </w:tcPr>
          <w:p w:rsidR="00D20A53" w:rsidRPr="001936A2" w:rsidRDefault="006D2F18" w:rsidP="007C4B61">
            <w:pPr>
              <w:rPr>
                <w:rFonts w:ascii="Calibri" w:eastAsia="Times New Roman" w:hAnsi="Calibri" w:cs="Times New Roman"/>
                <w:color w:val="000000"/>
              </w:rPr>
            </w:pPr>
            <w:r>
              <w:rPr>
                <w:rFonts w:ascii="Calibri" w:eastAsia="Times New Roman" w:hAnsi="Calibri" w:cs="Times New Roman"/>
                <w:color w:val="000000"/>
              </w:rPr>
              <w:t>eRx without EPCS</w:t>
            </w:r>
          </w:p>
        </w:tc>
      </w:tr>
      <w:tr w:rsidR="00D20A53" w:rsidRPr="001936A2" w:rsidTr="007C4B61">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20A53" w:rsidRPr="001936A2" w:rsidRDefault="00D20A53" w:rsidP="007C4B61">
            <w:pPr>
              <w:rPr>
                <w:rFonts w:ascii="Calibri" w:eastAsia="Times New Roman" w:hAnsi="Calibri" w:cs="Times New Roman"/>
                <w:color w:val="000000"/>
              </w:rPr>
            </w:pPr>
            <w:r w:rsidRPr="00D20A53">
              <w:rPr>
                <w:rFonts w:ascii="Calibri" w:eastAsia="Times New Roman" w:hAnsi="Calibri" w:cs="Times New Roman"/>
                <w:color w:val="000000"/>
              </w:rPr>
              <w:t>Electronic Prescribing (eRx) - Controlled Substances Included</w:t>
            </w:r>
          </w:p>
        </w:tc>
        <w:tc>
          <w:tcPr>
            <w:tcW w:w="4320" w:type="dxa"/>
            <w:tcBorders>
              <w:top w:val="nil"/>
              <w:left w:val="nil"/>
              <w:bottom w:val="single" w:sz="4" w:space="0" w:color="auto"/>
              <w:right w:val="single" w:sz="4" w:space="0" w:color="auto"/>
            </w:tcBorders>
            <w:shd w:val="clear" w:color="auto" w:fill="auto"/>
            <w:noWrap/>
            <w:vAlign w:val="bottom"/>
            <w:hideMark/>
          </w:tcPr>
          <w:p w:rsidR="00D20A53" w:rsidRPr="001936A2" w:rsidRDefault="00473E01" w:rsidP="007C4B61">
            <w:pPr>
              <w:rPr>
                <w:rFonts w:ascii="Calibri" w:eastAsia="Times New Roman" w:hAnsi="Calibri" w:cs="Times New Roman"/>
                <w:color w:val="000000"/>
              </w:rPr>
            </w:pPr>
            <w:r>
              <w:rPr>
                <w:rFonts w:ascii="Calibri" w:eastAsia="Times New Roman" w:hAnsi="Calibri" w:cs="Times New Roman"/>
                <w:color w:val="000000"/>
              </w:rPr>
              <w:t>eRx with EPCS</w:t>
            </w:r>
          </w:p>
        </w:tc>
      </w:tr>
    </w:tbl>
    <w:p w:rsidR="00D20A53" w:rsidRDefault="00D20A53" w:rsidP="00D20A53"/>
    <w:p w:rsidR="00D20A53" w:rsidRDefault="00D20A53" w:rsidP="00D20A53"/>
    <w:p w:rsidR="00D20A53" w:rsidRDefault="00D20A53" w:rsidP="00D20A53"/>
    <w:p w:rsidR="00D20A53" w:rsidRDefault="00D20A53" w:rsidP="00D20A53">
      <w:r>
        <w:rPr>
          <w:noProof/>
        </w:rPr>
        <w:drawing>
          <wp:inline distT="0" distB="0" distL="0" distR="0">
            <wp:extent cx="6854190" cy="454025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D20A53" w:rsidRDefault="00D20A53">
      <w:r>
        <w:br w:type="page"/>
      </w:r>
    </w:p>
    <w:p w:rsidR="00D20A53" w:rsidRDefault="00D20A53" w:rsidP="00D20A53"/>
    <w:p w:rsidR="00566003" w:rsidRPr="004736F7" w:rsidRDefault="00566003" w:rsidP="00B85C07">
      <w:pPr>
        <w:pStyle w:val="Heading3"/>
      </w:pPr>
      <w:bookmarkStart w:id="20" w:name="_Toc390171139"/>
      <w:r>
        <w:t>eRx</w:t>
      </w:r>
      <w:r w:rsidRPr="004736F7">
        <w:t>: Recording of Numerator in Valant</w:t>
      </w:r>
      <w:bookmarkEnd w:id="20"/>
    </w:p>
    <w:p w:rsidR="00B440FB" w:rsidRDefault="00B440FB" w:rsidP="00B440FB"/>
    <w:p w:rsidR="003D6688" w:rsidRDefault="003D6688" w:rsidP="003D6688">
      <w:r>
        <w:t xml:space="preserve">This measure focuses on creating </w:t>
      </w:r>
      <w:r w:rsidR="000737D6">
        <w:t>medication orders</w:t>
      </w:r>
      <w:r>
        <w:t xml:space="preserve"> using ePrescribing (eRx) as the method of prescribing. </w:t>
      </w:r>
      <w:r w:rsidR="000737D6">
        <w:t xml:space="preserve">For more information about Medication Orders and prescribing in DrFirst beyond what is described below, please see the documentation </w:t>
      </w:r>
      <w:r w:rsidR="000737D6" w:rsidRPr="0094303E">
        <w:rPr>
          <w:highlight w:val="yellow"/>
        </w:rPr>
        <w:t>XXXXX</w:t>
      </w:r>
      <w:r w:rsidR="000737D6">
        <w:t>.</w:t>
      </w:r>
    </w:p>
    <w:p w:rsidR="003D6688" w:rsidRDefault="003D6688" w:rsidP="003D6688"/>
    <w:p w:rsidR="00566003" w:rsidRDefault="000737D6" w:rsidP="00B440FB">
      <w:r>
        <w:t xml:space="preserve">Once a </w:t>
      </w:r>
      <w:r w:rsidR="00B0025D">
        <w:t>Medication Order</w:t>
      </w:r>
      <w:r>
        <w:t xml:space="preserve"> has been </w:t>
      </w:r>
      <w:r w:rsidR="00B0025D">
        <w:t>queued within DrFirst</w:t>
      </w:r>
      <w:r>
        <w:t xml:space="preserve">, the provider has several options to choose from </w:t>
      </w:r>
      <w:r w:rsidR="00B0025D">
        <w:t xml:space="preserve">in which it can be prescribed. The two options which will count towards the numerator for this measure are </w:t>
      </w:r>
      <w:r w:rsidR="00B0025D" w:rsidRPr="00B0025D">
        <w:rPr>
          <w:b/>
        </w:rPr>
        <w:t>Send</w:t>
      </w:r>
      <w:r w:rsidR="00B0025D">
        <w:t xml:space="preserve"> and </w:t>
      </w:r>
      <w:r w:rsidR="00B0025D" w:rsidRPr="00B0025D">
        <w:rPr>
          <w:b/>
        </w:rPr>
        <w:t>Send and Print</w:t>
      </w:r>
      <w:r w:rsidR="00B0025D">
        <w:t xml:space="preserve">. Prescribing the medication using either of these options will eRx the prescription to the patient’s pharmacy and the prescribing provider will receive credit for ePrescribing the order. </w:t>
      </w:r>
    </w:p>
    <w:p w:rsidR="00473E01" w:rsidRDefault="00473E01" w:rsidP="00B440FB"/>
    <w:p w:rsidR="00473E01" w:rsidRDefault="00473E01" w:rsidP="00B440FB">
      <w:r>
        <w:t>If an EP has Electronic Prescription of Controlled Substances (EPCS) active with DrFirst, then the eRx reporting option which includes controlled substances should be used</w:t>
      </w:r>
      <w:r w:rsidRPr="00473E01">
        <w:t xml:space="preserve"> </w:t>
      </w:r>
      <w:r>
        <w:t xml:space="preserve">during attestation. For EP’s not using EPCS, the eRx reporting option which excludes controlled substances should be used during attestation. </w:t>
      </w:r>
    </w:p>
    <w:p w:rsidR="00B0025D" w:rsidRDefault="00B0025D" w:rsidP="00B440FB"/>
    <w:p w:rsidR="00B0025D" w:rsidRPr="00B0025D" w:rsidRDefault="00B0025D" w:rsidP="00B440FB">
      <w:pPr>
        <w:rPr>
          <w:b/>
          <w:color w:val="FF0000"/>
        </w:rPr>
      </w:pPr>
      <w:r w:rsidRPr="00B0025D">
        <w:rPr>
          <w:b/>
          <w:color w:val="FF0000"/>
        </w:rPr>
        <w:t xml:space="preserve">NOTE: The date that the medication order was ePrescribed needs to fall within the reporting period in order for the order to count towards the numerator for this measure. Additionally, the EP needs to be the prescribing provider on the prescription in order </w:t>
      </w:r>
      <w:r w:rsidR="00B51CDC">
        <w:rPr>
          <w:b/>
          <w:color w:val="FF0000"/>
        </w:rPr>
        <w:t xml:space="preserve">to count towards the numerator </w:t>
      </w:r>
      <w:r w:rsidRPr="00B0025D">
        <w:rPr>
          <w:b/>
          <w:color w:val="FF0000"/>
        </w:rPr>
        <w:t>f</w:t>
      </w:r>
      <w:r w:rsidR="00B51CDC">
        <w:rPr>
          <w:b/>
          <w:color w:val="FF0000"/>
        </w:rPr>
        <w:t>or</w:t>
      </w:r>
      <w:r w:rsidRPr="00B0025D">
        <w:rPr>
          <w:b/>
          <w:color w:val="FF0000"/>
        </w:rPr>
        <w:t xml:space="preserve"> that EP. </w:t>
      </w:r>
    </w:p>
    <w:p w:rsidR="00C00BCD" w:rsidRDefault="00C00BCD"/>
    <w:p w:rsidR="009D2905" w:rsidRDefault="00566003">
      <w:r>
        <w:rPr>
          <w:noProof/>
        </w:rPr>
        <w:drawing>
          <wp:inline distT="0" distB="0" distL="0" distR="0" wp14:anchorId="343159A4" wp14:editId="6448C0FE">
            <wp:extent cx="6854190" cy="930275"/>
            <wp:effectExtent l="0" t="0" r="381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4190" cy="930275"/>
                    </a:xfrm>
                    <a:prstGeom prst="rect">
                      <a:avLst/>
                    </a:prstGeom>
                    <a:noFill/>
                    <a:ln>
                      <a:noFill/>
                    </a:ln>
                  </pic:spPr>
                </pic:pic>
              </a:graphicData>
            </a:graphic>
          </wp:inline>
        </w:drawing>
      </w:r>
    </w:p>
    <w:p w:rsidR="009D2905" w:rsidRDefault="009D2905">
      <w:r>
        <w:br w:type="page"/>
      </w:r>
    </w:p>
    <w:p w:rsidR="00DB4A66" w:rsidRDefault="009D2905" w:rsidP="009D2905">
      <w:pPr>
        <w:pStyle w:val="Heading2"/>
      </w:pPr>
      <w:bookmarkStart w:id="21" w:name="_Toc390171140"/>
      <w:r w:rsidRPr="00DB4A66">
        <w:rPr>
          <w:rFonts w:eastAsia="Times New Roman"/>
        </w:rPr>
        <w:t>Stage 2 - Core #3: Demographics</w:t>
      </w:r>
      <w:bookmarkEnd w:id="21"/>
      <w:r>
        <w:t xml:space="preserve"> </w:t>
      </w:r>
    </w:p>
    <w:p w:rsidR="009D2905" w:rsidRDefault="009D2905"/>
    <w:tbl>
      <w:tblPr>
        <w:tblW w:w="10905" w:type="dxa"/>
        <w:tblInd w:w="93" w:type="dxa"/>
        <w:tblLook w:val="04A0" w:firstRow="1" w:lastRow="0" w:firstColumn="1" w:lastColumn="0" w:noHBand="0" w:noVBand="1"/>
      </w:tblPr>
      <w:tblGrid>
        <w:gridCol w:w="1503"/>
        <w:gridCol w:w="9402"/>
      </w:tblGrid>
      <w:tr w:rsidR="00DB4A66" w:rsidRPr="00DB4A66" w:rsidTr="009B3475">
        <w:trPr>
          <w:trHeight w:val="390"/>
        </w:trPr>
        <w:tc>
          <w:tcPr>
            <w:tcW w:w="10905" w:type="dxa"/>
            <w:gridSpan w:val="2"/>
            <w:tcBorders>
              <w:top w:val="single" w:sz="6" w:space="0" w:color="000000"/>
              <w:left w:val="single" w:sz="6" w:space="0" w:color="000000"/>
              <w:bottom w:val="single" w:sz="6" w:space="0" w:color="000000"/>
              <w:right w:val="single" w:sz="6" w:space="0" w:color="000000"/>
            </w:tcBorders>
            <w:shd w:val="clear" w:color="000000" w:fill="1F497D"/>
            <w:noWrap/>
            <w:vAlign w:val="bottom"/>
            <w:hideMark/>
          </w:tcPr>
          <w:p w:rsidR="00DB4A66" w:rsidRPr="009D2905" w:rsidRDefault="00DB4A66" w:rsidP="009D2905">
            <w:pPr>
              <w:rPr>
                <w:b/>
              </w:rPr>
            </w:pPr>
            <w:r w:rsidRPr="009D2905">
              <w:rPr>
                <w:b/>
                <w:color w:val="FFFFFF" w:themeColor="background1"/>
                <w:sz w:val="32"/>
              </w:rPr>
              <w:t>Demographics</w:t>
            </w:r>
          </w:p>
        </w:tc>
      </w:tr>
      <w:tr w:rsidR="00DB4A66" w:rsidRPr="00DB4A66" w:rsidTr="009B3475">
        <w:trPr>
          <w:trHeight w:val="300"/>
        </w:trPr>
        <w:tc>
          <w:tcPr>
            <w:tcW w:w="1503" w:type="dxa"/>
            <w:vMerge w:val="restart"/>
            <w:tcBorders>
              <w:top w:val="single" w:sz="6" w:space="0" w:color="000000"/>
              <w:left w:val="single" w:sz="4" w:space="0" w:color="auto"/>
              <w:bottom w:val="nil"/>
              <w:right w:val="nil"/>
            </w:tcBorders>
            <w:shd w:val="clear" w:color="000000" w:fill="1F497D"/>
            <w:noWrap/>
            <w:vAlign w:val="center"/>
            <w:hideMark/>
          </w:tcPr>
          <w:p w:rsidR="00DB4A66" w:rsidRPr="00DB4A66" w:rsidRDefault="00DB4A66" w:rsidP="00DB4A66">
            <w:pPr>
              <w:jc w:val="right"/>
              <w:rPr>
                <w:rFonts w:ascii="Calibri" w:eastAsia="Times New Roman" w:hAnsi="Calibri" w:cs="Times New Roman"/>
                <w:b/>
                <w:bCs/>
                <w:color w:val="FFFFFF"/>
              </w:rPr>
            </w:pPr>
            <w:r w:rsidRPr="00DB4A66">
              <w:rPr>
                <w:rFonts w:ascii="Calibri" w:eastAsia="Times New Roman" w:hAnsi="Calibri" w:cs="Times New Roman"/>
                <w:b/>
                <w:bCs/>
                <w:color w:val="FFFFFF"/>
              </w:rPr>
              <w:t xml:space="preserve">Objective </w:t>
            </w:r>
          </w:p>
        </w:tc>
        <w:tc>
          <w:tcPr>
            <w:tcW w:w="9402" w:type="dxa"/>
            <w:vMerge w:val="restart"/>
            <w:tcBorders>
              <w:top w:val="single" w:sz="6" w:space="0" w:color="000000"/>
              <w:left w:val="nil"/>
              <w:bottom w:val="nil"/>
              <w:right w:val="single" w:sz="4" w:space="0" w:color="000000"/>
            </w:tcBorders>
            <w:shd w:val="clear" w:color="auto" w:fill="auto"/>
            <w:vAlign w:val="center"/>
            <w:hideMark/>
          </w:tcPr>
          <w:p w:rsidR="00DB4A66" w:rsidRPr="00DB4A66" w:rsidRDefault="00DB4A66" w:rsidP="00DB4A66">
            <w:pPr>
              <w:rPr>
                <w:rFonts w:ascii="Calibri" w:eastAsia="Times New Roman" w:hAnsi="Calibri" w:cs="Times New Roman"/>
                <w:color w:val="000000"/>
              </w:rPr>
            </w:pPr>
            <w:r w:rsidRPr="00DB4A66">
              <w:rPr>
                <w:rFonts w:ascii="Calibri" w:eastAsia="Times New Roman" w:hAnsi="Calibri" w:cs="Times New Roman"/>
                <w:color w:val="000000"/>
              </w:rPr>
              <w:t>Record the following demographics: preferred language, sex, race, ethnicity, date of birth</w:t>
            </w:r>
          </w:p>
        </w:tc>
      </w:tr>
      <w:tr w:rsidR="00DB4A66" w:rsidRPr="00DB4A66" w:rsidTr="00DB4A66">
        <w:trPr>
          <w:trHeight w:val="300"/>
        </w:trPr>
        <w:tc>
          <w:tcPr>
            <w:tcW w:w="1503" w:type="dxa"/>
            <w:vMerge/>
            <w:tcBorders>
              <w:top w:val="nil"/>
              <w:left w:val="single" w:sz="4" w:space="0" w:color="auto"/>
              <w:bottom w:val="nil"/>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nil"/>
              <w:left w:val="nil"/>
              <w:bottom w:val="nil"/>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r w:rsidR="00DB4A66" w:rsidRPr="00DB4A66" w:rsidTr="00DB4A66">
        <w:trPr>
          <w:trHeight w:val="300"/>
        </w:trPr>
        <w:tc>
          <w:tcPr>
            <w:tcW w:w="1503" w:type="dxa"/>
            <w:vMerge/>
            <w:tcBorders>
              <w:top w:val="nil"/>
              <w:left w:val="single" w:sz="4" w:space="0" w:color="auto"/>
              <w:bottom w:val="nil"/>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nil"/>
              <w:left w:val="nil"/>
              <w:bottom w:val="nil"/>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r w:rsidR="00DB4A66" w:rsidRPr="00DB4A66" w:rsidTr="00DB4A66">
        <w:trPr>
          <w:trHeight w:val="300"/>
        </w:trPr>
        <w:tc>
          <w:tcPr>
            <w:tcW w:w="1503"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DB4A66" w:rsidRPr="00DB4A66" w:rsidRDefault="00DB4A66" w:rsidP="00DB4A66">
            <w:pPr>
              <w:jc w:val="right"/>
              <w:rPr>
                <w:rFonts w:ascii="Calibri" w:eastAsia="Times New Roman" w:hAnsi="Calibri" w:cs="Times New Roman"/>
                <w:b/>
                <w:bCs/>
                <w:color w:val="FFFFFF"/>
              </w:rPr>
            </w:pPr>
            <w:r w:rsidRPr="00DB4A66">
              <w:rPr>
                <w:rFonts w:ascii="Calibri" w:eastAsia="Times New Roman" w:hAnsi="Calibri" w:cs="Times New Roman"/>
                <w:b/>
                <w:bCs/>
                <w:color w:val="FFFFFF"/>
              </w:rPr>
              <w:t xml:space="preserve">Measure </w:t>
            </w:r>
          </w:p>
        </w:tc>
        <w:tc>
          <w:tcPr>
            <w:tcW w:w="9402" w:type="dxa"/>
            <w:vMerge w:val="restart"/>
            <w:tcBorders>
              <w:top w:val="single" w:sz="4" w:space="0" w:color="auto"/>
              <w:left w:val="nil"/>
              <w:bottom w:val="single" w:sz="4" w:space="0" w:color="000000"/>
              <w:right w:val="single" w:sz="4" w:space="0" w:color="000000"/>
            </w:tcBorders>
            <w:shd w:val="clear" w:color="auto" w:fill="auto"/>
            <w:vAlign w:val="center"/>
            <w:hideMark/>
          </w:tcPr>
          <w:p w:rsidR="00DB4A66" w:rsidRPr="00DB4A66" w:rsidRDefault="00DB4A66" w:rsidP="00DB4A66">
            <w:pPr>
              <w:rPr>
                <w:rFonts w:ascii="Calibri" w:eastAsia="Times New Roman" w:hAnsi="Calibri" w:cs="Times New Roman"/>
                <w:color w:val="000000"/>
              </w:rPr>
            </w:pPr>
            <w:r w:rsidRPr="00DB4A66">
              <w:rPr>
                <w:rFonts w:ascii="Calibri" w:eastAsia="Times New Roman" w:hAnsi="Calibri" w:cs="Times New Roman"/>
                <w:color w:val="000000"/>
              </w:rPr>
              <w:t>More than 80 percent of all unique patients seen by the EP have demographics recorded as structured data</w:t>
            </w:r>
          </w:p>
        </w:tc>
      </w:tr>
      <w:tr w:rsidR="00DB4A66" w:rsidRPr="00DB4A66" w:rsidTr="00DB4A66">
        <w:trPr>
          <w:trHeight w:val="300"/>
        </w:trPr>
        <w:tc>
          <w:tcPr>
            <w:tcW w:w="1503" w:type="dxa"/>
            <w:vMerge/>
            <w:tcBorders>
              <w:top w:val="single" w:sz="4" w:space="0" w:color="auto"/>
              <w:left w:val="single" w:sz="4" w:space="0" w:color="auto"/>
              <w:bottom w:val="single" w:sz="4" w:space="0" w:color="000000"/>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single" w:sz="4" w:space="0" w:color="auto"/>
              <w:left w:val="nil"/>
              <w:bottom w:val="single" w:sz="4" w:space="0" w:color="000000"/>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r w:rsidR="00DB4A66" w:rsidRPr="00DB4A66" w:rsidTr="00DB4A66">
        <w:trPr>
          <w:trHeight w:val="300"/>
        </w:trPr>
        <w:tc>
          <w:tcPr>
            <w:tcW w:w="1503" w:type="dxa"/>
            <w:vMerge/>
            <w:tcBorders>
              <w:top w:val="single" w:sz="4" w:space="0" w:color="auto"/>
              <w:left w:val="single" w:sz="4" w:space="0" w:color="auto"/>
              <w:bottom w:val="single" w:sz="4" w:space="0" w:color="000000"/>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single" w:sz="4" w:space="0" w:color="auto"/>
              <w:left w:val="nil"/>
              <w:bottom w:val="single" w:sz="4" w:space="0" w:color="000000"/>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r w:rsidR="00DB4A66" w:rsidRPr="00DB4A66" w:rsidTr="00DB4A66">
        <w:trPr>
          <w:trHeight w:val="300"/>
        </w:trPr>
        <w:tc>
          <w:tcPr>
            <w:tcW w:w="1503" w:type="dxa"/>
            <w:vMerge w:val="restart"/>
            <w:tcBorders>
              <w:top w:val="nil"/>
              <w:left w:val="single" w:sz="4" w:space="0" w:color="auto"/>
              <w:bottom w:val="single" w:sz="4" w:space="0" w:color="000000"/>
              <w:right w:val="nil"/>
            </w:tcBorders>
            <w:shd w:val="clear" w:color="000000" w:fill="1F497D"/>
            <w:noWrap/>
            <w:vAlign w:val="center"/>
            <w:hideMark/>
          </w:tcPr>
          <w:p w:rsidR="00DB4A66" w:rsidRPr="00DB4A66" w:rsidRDefault="00DB4A66" w:rsidP="00DB4A66">
            <w:pPr>
              <w:jc w:val="right"/>
              <w:rPr>
                <w:rFonts w:ascii="Calibri" w:eastAsia="Times New Roman" w:hAnsi="Calibri" w:cs="Times New Roman"/>
                <w:b/>
                <w:bCs/>
                <w:color w:val="FFFFFF"/>
              </w:rPr>
            </w:pPr>
            <w:r w:rsidRPr="00DB4A66">
              <w:rPr>
                <w:rFonts w:ascii="Calibri" w:eastAsia="Times New Roman" w:hAnsi="Calibri" w:cs="Times New Roman"/>
                <w:b/>
                <w:bCs/>
                <w:color w:val="FFFFFF"/>
              </w:rPr>
              <w:t xml:space="preserve">Exclusion </w:t>
            </w:r>
          </w:p>
        </w:tc>
        <w:tc>
          <w:tcPr>
            <w:tcW w:w="9402" w:type="dxa"/>
            <w:vMerge w:val="restart"/>
            <w:tcBorders>
              <w:top w:val="single" w:sz="4" w:space="0" w:color="auto"/>
              <w:left w:val="nil"/>
              <w:bottom w:val="single" w:sz="4" w:space="0" w:color="000000"/>
              <w:right w:val="single" w:sz="4" w:space="0" w:color="000000"/>
            </w:tcBorders>
            <w:shd w:val="clear" w:color="auto" w:fill="auto"/>
            <w:vAlign w:val="center"/>
            <w:hideMark/>
          </w:tcPr>
          <w:p w:rsidR="00DB4A66" w:rsidRPr="00DB4A66" w:rsidRDefault="00DB4A66" w:rsidP="00DB4A66">
            <w:pPr>
              <w:rPr>
                <w:rFonts w:ascii="Calibri" w:eastAsia="Times New Roman" w:hAnsi="Calibri" w:cs="Times New Roman"/>
                <w:color w:val="000000"/>
              </w:rPr>
            </w:pPr>
            <w:r w:rsidRPr="00DB4A66">
              <w:rPr>
                <w:rFonts w:ascii="Calibri" w:eastAsia="Times New Roman" w:hAnsi="Calibri" w:cs="Times New Roman"/>
                <w:color w:val="000000"/>
              </w:rPr>
              <w:t>No exclusion</w:t>
            </w:r>
          </w:p>
        </w:tc>
      </w:tr>
      <w:tr w:rsidR="00DB4A66" w:rsidRPr="00DB4A66" w:rsidTr="00DB4A66">
        <w:trPr>
          <w:trHeight w:val="300"/>
        </w:trPr>
        <w:tc>
          <w:tcPr>
            <w:tcW w:w="1503" w:type="dxa"/>
            <w:vMerge/>
            <w:tcBorders>
              <w:top w:val="nil"/>
              <w:left w:val="single" w:sz="4" w:space="0" w:color="auto"/>
              <w:bottom w:val="single" w:sz="4" w:space="0" w:color="000000"/>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single" w:sz="4" w:space="0" w:color="auto"/>
              <w:left w:val="nil"/>
              <w:bottom w:val="single" w:sz="4" w:space="0" w:color="000000"/>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r w:rsidR="00DB4A66" w:rsidRPr="00DB4A66" w:rsidTr="00DB4A66">
        <w:trPr>
          <w:trHeight w:val="300"/>
        </w:trPr>
        <w:tc>
          <w:tcPr>
            <w:tcW w:w="1503" w:type="dxa"/>
            <w:vMerge/>
            <w:tcBorders>
              <w:top w:val="nil"/>
              <w:left w:val="single" w:sz="4" w:space="0" w:color="auto"/>
              <w:bottom w:val="single" w:sz="4" w:space="0" w:color="000000"/>
              <w:right w:val="nil"/>
            </w:tcBorders>
            <w:vAlign w:val="center"/>
            <w:hideMark/>
          </w:tcPr>
          <w:p w:rsidR="00DB4A66" w:rsidRPr="00DB4A66" w:rsidRDefault="00DB4A66" w:rsidP="00DB4A66">
            <w:pPr>
              <w:rPr>
                <w:rFonts w:ascii="Calibri" w:eastAsia="Times New Roman" w:hAnsi="Calibri" w:cs="Times New Roman"/>
                <w:b/>
                <w:bCs/>
                <w:color w:val="FFFFFF"/>
              </w:rPr>
            </w:pPr>
          </w:p>
        </w:tc>
        <w:tc>
          <w:tcPr>
            <w:tcW w:w="9402" w:type="dxa"/>
            <w:vMerge/>
            <w:tcBorders>
              <w:top w:val="single" w:sz="4" w:space="0" w:color="auto"/>
              <w:left w:val="nil"/>
              <w:bottom w:val="single" w:sz="4" w:space="0" w:color="000000"/>
              <w:right w:val="single" w:sz="4" w:space="0" w:color="000000"/>
            </w:tcBorders>
            <w:vAlign w:val="center"/>
            <w:hideMark/>
          </w:tcPr>
          <w:p w:rsidR="00DB4A66" w:rsidRPr="00DB4A66" w:rsidRDefault="00DB4A66" w:rsidP="00DB4A66">
            <w:pPr>
              <w:rPr>
                <w:rFonts w:ascii="Calibri" w:eastAsia="Times New Roman" w:hAnsi="Calibri" w:cs="Times New Roman"/>
                <w:color w:val="000000"/>
              </w:rPr>
            </w:pPr>
          </w:p>
        </w:tc>
      </w:tr>
    </w:tbl>
    <w:p w:rsidR="00C00BCD" w:rsidRDefault="00C00BCD"/>
    <w:p w:rsidR="007E7AC3" w:rsidRDefault="007E7AC3"/>
    <w:tbl>
      <w:tblPr>
        <w:tblW w:w="10905" w:type="dxa"/>
        <w:tblInd w:w="93" w:type="dxa"/>
        <w:tblLook w:val="04A0" w:firstRow="1" w:lastRow="0" w:firstColumn="1" w:lastColumn="0" w:noHBand="0" w:noVBand="1"/>
      </w:tblPr>
      <w:tblGrid>
        <w:gridCol w:w="1435"/>
        <w:gridCol w:w="9470"/>
      </w:tblGrid>
      <w:tr w:rsidR="007E7AC3" w:rsidRPr="007E7AC3" w:rsidTr="007E7AC3">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E7AC3" w:rsidRPr="007E7AC3" w:rsidRDefault="007E7AC3" w:rsidP="007E7AC3">
            <w:pPr>
              <w:rPr>
                <w:rFonts w:ascii="Calibri" w:eastAsia="Times New Roman" w:hAnsi="Calibri" w:cs="Times New Roman"/>
                <w:b/>
                <w:bCs/>
                <w:color w:val="FFFFFF"/>
                <w:sz w:val="28"/>
                <w:szCs w:val="28"/>
              </w:rPr>
            </w:pPr>
            <w:r w:rsidRPr="007E7AC3">
              <w:rPr>
                <w:rFonts w:ascii="Calibri" w:eastAsia="Times New Roman" w:hAnsi="Calibri" w:cs="Times New Roman"/>
                <w:b/>
                <w:bCs/>
                <w:color w:val="FFFFFF"/>
                <w:sz w:val="28"/>
                <w:szCs w:val="28"/>
              </w:rPr>
              <w:t>Demographics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Number of unique patients seen by the EP during the EHR reporting period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The number of patients in the denominator who have all the elements of demographics (or a specific notation if the patient declined to provide one or more elements or if recording an element is contrary to state law) recorded as structured data</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The resulting percentage must be more than 80 percent in order for an EP to meet this measure</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bl>
    <w:p w:rsidR="007E7AC3" w:rsidRDefault="007E7AC3"/>
    <w:p w:rsidR="007E7AC3" w:rsidRDefault="007E7AC3"/>
    <w:p w:rsidR="004736F7" w:rsidRDefault="004736F7"/>
    <w:p w:rsidR="00D74C28" w:rsidRPr="004736F7" w:rsidRDefault="00D74C28" w:rsidP="00B85C07">
      <w:pPr>
        <w:pStyle w:val="Heading3"/>
      </w:pPr>
      <w:bookmarkStart w:id="22" w:name="_Toc390171141"/>
      <w:r w:rsidRPr="004736F7">
        <w:t>Demographics: Explanation of Measure</w:t>
      </w:r>
      <w:bookmarkEnd w:id="22"/>
    </w:p>
    <w:p w:rsidR="004736F7" w:rsidRDefault="004736F7" w:rsidP="00D74C28"/>
    <w:p w:rsidR="00D74C28" w:rsidRDefault="00D74C28" w:rsidP="00D74C28">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D74C28" w:rsidRDefault="00D74C28" w:rsidP="00D74C28"/>
    <w:p w:rsidR="00D74C28" w:rsidRDefault="00D74C28" w:rsidP="00D74C28">
      <w:r>
        <w:t xml:space="preserve">Recording the Demographics for a patient can occur before, during or after the reporting period. This means that it does not matter when the Demographics are recorded so long as it is done prior to generating the measures for submission to CMS. Additionally, once the Demographics have been recorded for a patient, then that patient will always appear in the numerator for an EP that has a recorded visit with that patient during the reporting period. </w:t>
      </w:r>
    </w:p>
    <w:p w:rsidR="00D74C28" w:rsidRDefault="00D74C28" w:rsidP="00D74C28"/>
    <w:p w:rsidR="00D74C28" w:rsidRDefault="00D74C28" w:rsidP="00D74C28">
      <w:r>
        <w:t xml:space="preserve">Recording the Demographics is not tied to an individual EP within a practice. All EP’s within a practice will receive credit for a patient who have their Demographics recorded so long as that patient has a recorded visit with the EP during the reporting period. This means that, once the Demographics for a patient have been recorded, any EP who has a recorded visit with that patient during the reporting period will have that patient appear in both the numerator and denominator for this particular measure. </w:t>
      </w:r>
    </w:p>
    <w:p w:rsidR="003D076F" w:rsidRDefault="003D076F">
      <w:r>
        <w:br w:type="page"/>
      </w:r>
    </w:p>
    <w:p w:rsidR="000D7BCF" w:rsidRPr="004736F7" w:rsidRDefault="000D7BCF" w:rsidP="000D7BCF">
      <w:pPr>
        <w:pStyle w:val="Heading3"/>
      </w:pPr>
      <w:bookmarkStart w:id="23" w:name="_Toc390081302"/>
      <w:bookmarkStart w:id="24" w:name="_Toc390171142"/>
      <w:r w:rsidRPr="004736F7">
        <w:t xml:space="preserve">Demographics: </w:t>
      </w:r>
      <w:r>
        <w:t>Meaningful Use Measures</w:t>
      </w:r>
      <w:bookmarkEnd w:id="23"/>
      <w:bookmarkEnd w:id="24"/>
    </w:p>
    <w:p w:rsidR="000D7BCF" w:rsidRPr="00DF721A" w:rsidRDefault="000D7BCF" w:rsidP="000D7BCF"/>
    <w:p w:rsidR="000D7BCF" w:rsidRDefault="000D7BCF" w:rsidP="000D7BCF">
      <w:r>
        <w:t xml:space="preserve">There is a single line item related to Demographics in the Stage 2 list of Meaningful Use Measures. The name of this line item is </w:t>
      </w:r>
      <w:r>
        <w:rPr>
          <w:b/>
        </w:rPr>
        <w:t>Demographics</w:t>
      </w:r>
      <w:r w:rsidRPr="00FD0136">
        <w:t>.</w:t>
      </w:r>
    </w:p>
    <w:p w:rsidR="000D7BCF" w:rsidRDefault="000D7BCF" w:rsidP="000D7BCF"/>
    <w:p w:rsidR="000D7BCF" w:rsidRDefault="000D7BCF" w:rsidP="000D7BCF">
      <w:r>
        <w:rPr>
          <w:noProof/>
        </w:rPr>
        <w:drawing>
          <wp:inline distT="0" distB="0" distL="0" distR="0">
            <wp:extent cx="6854190" cy="454025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0D7BCF" w:rsidRDefault="000D7BCF" w:rsidP="000D7BCF"/>
    <w:p w:rsidR="003D076F" w:rsidRPr="004736F7" w:rsidRDefault="000D7BCF" w:rsidP="000D7BCF">
      <w:pPr>
        <w:pStyle w:val="Heading3"/>
      </w:pPr>
      <w:r>
        <w:br w:type="page"/>
      </w:r>
      <w:bookmarkStart w:id="25" w:name="_Toc390171143"/>
      <w:r w:rsidR="003D076F" w:rsidRPr="004736F7">
        <w:t>Demographics: Recording of Numerator in Valant</w:t>
      </w:r>
      <w:bookmarkEnd w:id="25"/>
    </w:p>
    <w:p w:rsidR="004736F7" w:rsidRDefault="004736F7"/>
    <w:p w:rsidR="0090691A" w:rsidRDefault="003D076F">
      <w:r>
        <w:t>There are several fields which need to be recorded for a patient that relate to their Demographics in terms of this measure. These fields are</w:t>
      </w:r>
      <w:r w:rsidR="00424522">
        <w:t>:</w:t>
      </w:r>
      <w:r w:rsidR="0069767E">
        <w:rPr>
          <w:rFonts w:ascii="Calibri" w:eastAsia="Times New Roman" w:hAnsi="Calibri" w:cs="Times New Roman"/>
          <w:b/>
          <w:color w:val="000000"/>
        </w:rPr>
        <w:t xml:space="preserve"> Date of B</w:t>
      </w:r>
      <w:r w:rsidRPr="0069767E">
        <w:rPr>
          <w:rFonts w:ascii="Calibri" w:eastAsia="Times New Roman" w:hAnsi="Calibri" w:cs="Times New Roman"/>
          <w:b/>
          <w:color w:val="000000"/>
        </w:rPr>
        <w:t>irth</w:t>
      </w:r>
      <w:r w:rsidR="00424522">
        <w:rPr>
          <w:rFonts w:ascii="Calibri" w:eastAsia="Times New Roman" w:hAnsi="Calibri" w:cs="Times New Roman"/>
          <w:b/>
          <w:color w:val="000000"/>
        </w:rPr>
        <w:t>, Sex, P</w:t>
      </w:r>
      <w:r w:rsidR="00424522" w:rsidRPr="0069767E">
        <w:rPr>
          <w:rFonts w:ascii="Calibri" w:eastAsia="Times New Roman" w:hAnsi="Calibri" w:cs="Times New Roman"/>
          <w:b/>
          <w:color w:val="000000"/>
        </w:rPr>
        <w:t xml:space="preserve">referred </w:t>
      </w:r>
      <w:r w:rsidR="00424522">
        <w:rPr>
          <w:rFonts w:ascii="Calibri" w:eastAsia="Times New Roman" w:hAnsi="Calibri" w:cs="Times New Roman"/>
          <w:b/>
          <w:color w:val="000000"/>
        </w:rPr>
        <w:t>L</w:t>
      </w:r>
      <w:r w:rsidR="00424522" w:rsidRPr="0069767E">
        <w:rPr>
          <w:rFonts w:ascii="Calibri" w:eastAsia="Times New Roman" w:hAnsi="Calibri" w:cs="Times New Roman"/>
          <w:b/>
          <w:color w:val="000000"/>
        </w:rPr>
        <w:t xml:space="preserve">anguage, </w:t>
      </w:r>
      <w:r w:rsidR="00424522">
        <w:rPr>
          <w:rFonts w:ascii="Calibri" w:eastAsia="Times New Roman" w:hAnsi="Calibri" w:cs="Times New Roman"/>
          <w:b/>
          <w:color w:val="000000"/>
        </w:rPr>
        <w:t xml:space="preserve">Race, </w:t>
      </w:r>
      <w:r w:rsidR="00424522">
        <w:rPr>
          <w:rFonts w:ascii="Calibri" w:eastAsia="Times New Roman" w:hAnsi="Calibri" w:cs="Times New Roman"/>
          <w:color w:val="000000"/>
        </w:rPr>
        <w:t xml:space="preserve">and </w:t>
      </w:r>
      <w:r w:rsidR="00424522">
        <w:rPr>
          <w:rFonts w:ascii="Calibri" w:eastAsia="Times New Roman" w:hAnsi="Calibri" w:cs="Times New Roman"/>
          <w:b/>
          <w:color w:val="000000"/>
        </w:rPr>
        <w:t>Ethnicity</w:t>
      </w:r>
      <w:r>
        <w:rPr>
          <w:rFonts w:ascii="Calibri" w:eastAsia="Times New Roman" w:hAnsi="Calibri" w:cs="Times New Roman"/>
          <w:color w:val="000000"/>
        </w:rPr>
        <w:t xml:space="preserve">. Each item listed is required to have a value in order for a patient to be considered for the numerator. </w:t>
      </w:r>
      <w:r w:rsidR="004F3ECC">
        <w:t xml:space="preserve">Accessing the fields required for Demographics can be achieved by going to </w:t>
      </w:r>
      <w:r w:rsidR="004F3ECC" w:rsidRPr="004F3ECC">
        <w:rPr>
          <w:b/>
        </w:rPr>
        <w:t>Persons and Institutions: Patients</w:t>
      </w:r>
      <w:r w:rsidR="004F3ECC">
        <w:t xml:space="preserve">. </w:t>
      </w:r>
    </w:p>
    <w:p w:rsidR="00CF0D11" w:rsidRDefault="00CF0D11"/>
    <w:p w:rsidR="00CF0D11" w:rsidRDefault="00CF0D11">
      <w:r>
        <w:t xml:space="preserve">For more information relating to Race, Ethnicity, and Preferred Language beyond what is mentioned in this document, please refer to the documentation located here </w:t>
      </w:r>
      <w:r w:rsidRPr="00CF0D11">
        <w:rPr>
          <w:highlight w:val="yellow"/>
        </w:rPr>
        <w:t>XXXXXXX</w:t>
      </w:r>
      <w:r>
        <w:t>.</w:t>
      </w:r>
    </w:p>
    <w:p w:rsidR="0090691A" w:rsidRDefault="0090691A"/>
    <w:p w:rsidR="004F3ECC" w:rsidRDefault="0090691A" w:rsidP="0090691A">
      <w:pPr>
        <w:jc w:val="center"/>
      </w:pPr>
      <w:r>
        <w:rPr>
          <w:noProof/>
        </w:rPr>
        <w:drawing>
          <wp:inline distT="0" distB="0" distL="0" distR="0" wp14:anchorId="5620B700" wp14:editId="401955F7">
            <wp:extent cx="2950210" cy="17887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0210" cy="1788795"/>
                    </a:xfrm>
                    <a:prstGeom prst="rect">
                      <a:avLst/>
                    </a:prstGeom>
                    <a:noFill/>
                    <a:ln>
                      <a:noFill/>
                    </a:ln>
                  </pic:spPr>
                </pic:pic>
              </a:graphicData>
            </a:graphic>
          </wp:inline>
        </w:drawing>
      </w:r>
    </w:p>
    <w:p w:rsidR="004F3ECC" w:rsidRDefault="004F3ECC" w:rsidP="004F3ECC"/>
    <w:p w:rsidR="004F3ECC" w:rsidRDefault="004F3ECC" w:rsidP="004F3ECC"/>
    <w:p w:rsidR="00E7657C" w:rsidRDefault="00E7657C" w:rsidP="004F3ECC"/>
    <w:p w:rsidR="00E7657C" w:rsidRDefault="00E7657C" w:rsidP="004F3ECC"/>
    <w:p w:rsidR="004736F7" w:rsidRDefault="004736F7" w:rsidP="004F3ECC"/>
    <w:p w:rsidR="004736F7" w:rsidRPr="004736F7" w:rsidRDefault="004736F7" w:rsidP="00B85C07">
      <w:pPr>
        <w:pStyle w:val="Heading4"/>
      </w:pPr>
      <w:bookmarkStart w:id="26" w:name="_Toc390171144"/>
      <w:r w:rsidRPr="004736F7">
        <w:t>Date of Birth</w:t>
      </w:r>
      <w:bookmarkEnd w:id="26"/>
    </w:p>
    <w:p w:rsidR="004736F7" w:rsidRDefault="004736F7" w:rsidP="004F3ECC"/>
    <w:p w:rsidR="004F3ECC" w:rsidRDefault="00E8706D" w:rsidP="004F3ECC">
      <w:r>
        <w:t xml:space="preserve">To set the </w:t>
      </w:r>
      <w:r w:rsidR="0069767E">
        <w:rPr>
          <w:b/>
        </w:rPr>
        <w:t>Date of B</w:t>
      </w:r>
      <w:r w:rsidRPr="00E8706D">
        <w:rPr>
          <w:b/>
        </w:rPr>
        <w:t>irth</w:t>
      </w:r>
      <w:r>
        <w:t xml:space="preserve"> for a patient, select the patient from the list and navigate to the </w:t>
      </w:r>
      <w:r w:rsidRPr="00E8706D">
        <w:rPr>
          <w:b/>
        </w:rPr>
        <w:t>Demographics</w:t>
      </w:r>
      <w:r>
        <w:t xml:space="preserve"> tab. The date of birth field is located on the left side under the Main Phone. The field is called </w:t>
      </w:r>
      <w:r w:rsidRPr="00E8706D">
        <w:rPr>
          <w:b/>
        </w:rPr>
        <w:t>Birthdate</w:t>
      </w:r>
      <w:r>
        <w:t xml:space="preserve">. The date is in MM/DD/YYYY format and can be entered either by using the date picker tool or through manually entry. </w:t>
      </w:r>
    </w:p>
    <w:p w:rsidR="00E8706D" w:rsidRDefault="00E8706D" w:rsidP="004F3ECC"/>
    <w:p w:rsidR="002938D1" w:rsidRDefault="00E8706D" w:rsidP="00E8706D">
      <w:pPr>
        <w:jc w:val="center"/>
      </w:pPr>
      <w:r>
        <w:rPr>
          <w:noProof/>
        </w:rPr>
        <w:drawing>
          <wp:inline distT="0" distB="0" distL="0" distR="0" wp14:anchorId="2703ABD7" wp14:editId="52E4190B">
            <wp:extent cx="395287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2933700"/>
                    </a:xfrm>
                    <a:prstGeom prst="rect">
                      <a:avLst/>
                    </a:prstGeom>
                    <a:noFill/>
                    <a:ln>
                      <a:noFill/>
                    </a:ln>
                  </pic:spPr>
                </pic:pic>
              </a:graphicData>
            </a:graphic>
          </wp:inline>
        </w:drawing>
      </w:r>
      <w:r w:rsidR="002938D1">
        <w:br w:type="page"/>
      </w:r>
    </w:p>
    <w:p w:rsidR="004736F7" w:rsidRPr="004736F7" w:rsidRDefault="004736F7" w:rsidP="00B85C07">
      <w:pPr>
        <w:pStyle w:val="Heading4"/>
      </w:pPr>
      <w:bookmarkStart w:id="27" w:name="_Toc390171145"/>
      <w:r w:rsidRPr="004736F7">
        <w:t>Sex</w:t>
      </w:r>
      <w:bookmarkEnd w:id="27"/>
    </w:p>
    <w:p w:rsidR="004736F7" w:rsidRDefault="004736F7" w:rsidP="002938D1"/>
    <w:p w:rsidR="002938D1" w:rsidRDefault="002938D1" w:rsidP="002938D1">
      <w:r>
        <w:t xml:space="preserve">To set the </w:t>
      </w:r>
      <w:r>
        <w:rPr>
          <w:b/>
        </w:rPr>
        <w:t>Sex</w:t>
      </w:r>
      <w:r>
        <w:t xml:space="preserve"> for a patient, select the patient from the list and navigate to the </w:t>
      </w:r>
      <w:r w:rsidRPr="00E8706D">
        <w:rPr>
          <w:b/>
        </w:rPr>
        <w:t>Demographics</w:t>
      </w:r>
      <w:r>
        <w:t xml:space="preserve"> tab. The field relating to Sex is located to the </w:t>
      </w:r>
      <w:r w:rsidR="008829E7">
        <w:t>left side under the option to record SSN</w:t>
      </w:r>
      <w:r>
        <w:t xml:space="preserve">. CMS only allows two options for Sex: </w:t>
      </w:r>
      <w:r w:rsidRPr="00775672">
        <w:rPr>
          <w:b/>
        </w:rPr>
        <w:t>Male</w:t>
      </w:r>
      <w:r>
        <w:t xml:space="preserve"> or </w:t>
      </w:r>
      <w:r w:rsidRPr="00775672">
        <w:rPr>
          <w:b/>
        </w:rPr>
        <w:t>Female</w:t>
      </w:r>
      <w:r>
        <w:t>. A patient must have one of these two options selected in order</w:t>
      </w:r>
      <w:r w:rsidRPr="002938D1">
        <w:t xml:space="preserve"> </w:t>
      </w:r>
      <w:r w:rsidR="00775672">
        <w:t>for them</w:t>
      </w:r>
      <w:r>
        <w:t xml:space="preserve"> to count towards the numerator for this measure. A p</w:t>
      </w:r>
      <w:r w:rsidR="008829E7">
        <w:t xml:space="preserve">atient cannot have both option selected; CMS only allows for a patient to be a single Sex. </w:t>
      </w:r>
    </w:p>
    <w:p w:rsidR="0069767E" w:rsidRDefault="0069767E" w:rsidP="004F3ECC"/>
    <w:p w:rsidR="0069767E" w:rsidRDefault="002938D1" w:rsidP="002938D1">
      <w:pPr>
        <w:jc w:val="center"/>
      </w:pPr>
      <w:r>
        <w:rPr>
          <w:noProof/>
        </w:rPr>
        <w:drawing>
          <wp:inline distT="0" distB="0" distL="0" distR="0" wp14:anchorId="13A18ED8" wp14:editId="37F1B1C3">
            <wp:extent cx="3536914" cy="2639833"/>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838" cy="2639777"/>
                    </a:xfrm>
                    <a:prstGeom prst="rect">
                      <a:avLst/>
                    </a:prstGeom>
                    <a:noFill/>
                    <a:ln>
                      <a:noFill/>
                    </a:ln>
                  </pic:spPr>
                </pic:pic>
              </a:graphicData>
            </a:graphic>
          </wp:inline>
        </w:drawing>
      </w:r>
    </w:p>
    <w:p w:rsidR="004736F7" w:rsidRDefault="004736F7" w:rsidP="0069767E"/>
    <w:p w:rsidR="004736F7" w:rsidRDefault="004736F7" w:rsidP="0069767E">
      <w:pPr>
        <w:rPr>
          <w:u w:val="single"/>
        </w:rPr>
      </w:pPr>
    </w:p>
    <w:p w:rsidR="008829E7" w:rsidRPr="004736F7" w:rsidRDefault="004736F7" w:rsidP="00B85C07">
      <w:pPr>
        <w:pStyle w:val="Heading4"/>
      </w:pPr>
      <w:bookmarkStart w:id="28" w:name="_Toc390171146"/>
      <w:r w:rsidRPr="004736F7">
        <w:t>Preferred Language</w:t>
      </w:r>
      <w:bookmarkEnd w:id="28"/>
    </w:p>
    <w:p w:rsidR="002938D1" w:rsidRDefault="002938D1" w:rsidP="0069767E"/>
    <w:p w:rsidR="00F43900" w:rsidRDefault="0069767E" w:rsidP="004F3ECC">
      <w:r>
        <w:t xml:space="preserve">To set the </w:t>
      </w:r>
      <w:r>
        <w:rPr>
          <w:b/>
        </w:rPr>
        <w:t>Preferred Language</w:t>
      </w:r>
      <w:r>
        <w:t xml:space="preserve"> for a patient, select the patient from the list and navigate to the </w:t>
      </w:r>
      <w:r w:rsidR="00F43900">
        <w:rPr>
          <w:b/>
        </w:rPr>
        <w:t>Misc.</w:t>
      </w:r>
      <w:r>
        <w:t xml:space="preserve"> tab. </w:t>
      </w:r>
      <w:r w:rsidR="00F43900">
        <w:t xml:space="preserve">The </w:t>
      </w:r>
      <w:r w:rsidR="00F43900" w:rsidRPr="00F43900">
        <w:rPr>
          <w:b/>
        </w:rPr>
        <w:t>Preferred Language</w:t>
      </w:r>
      <w:r w:rsidR="00F43900">
        <w:t xml:space="preserve"> field is the second item listed on the page. Under MU 2014, there are now over 180 options for language in which to choose from. Additionally, there is the option for ‘Declined to Specify’ if the patient chose not to give their Preferred Language. </w:t>
      </w:r>
    </w:p>
    <w:p w:rsidR="00F43900" w:rsidRDefault="00F43900" w:rsidP="004F3ECC"/>
    <w:p w:rsidR="004F3ECC" w:rsidRDefault="00F43900" w:rsidP="004F3ECC">
      <w:r>
        <w:t>The Preferred Language can be set for a patient by selecting the language from the drop down list. Alternatively, typing the name of the preferred language will limit the options to only those that match the text provided.</w:t>
      </w:r>
      <w:r w:rsidR="00E81B41">
        <w:t xml:space="preserve"> CMS uses ISO 639-2 as the coding standard for the representation of names of l</w:t>
      </w:r>
      <w:r w:rsidR="00E81B41" w:rsidRPr="00E81B41">
        <w:t>anguages</w:t>
      </w:r>
      <w:r w:rsidR="00E81B41">
        <w:t>.</w:t>
      </w:r>
    </w:p>
    <w:p w:rsidR="00F43900" w:rsidRDefault="00F43900" w:rsidP="004F3ECC"/>
    <w:p w:rsidR="00F43900" w:rsidRPr="00F43900" w:rsidRDefault="00F43900" w:rsidP="004F3ECC">
      <w:pPr>
        <w:rPr>
          <w:b/>
          <w:color w:val="FF0000"/>
        </w:rPr>
      </w:pPr>
      <w:r w:rsidRPr="00F43900">
        <w:rPr>
          <w:b/>
          <w:color w:val="FF0000"/>
        </w:rPr>
        <w:t xml:space="preserve">NOTE: For convenience, the common Preferred Language options that were </w:t>
      </w:r>
      <w:r>
        <w:rPr>
          <w:b/>
          <w:color w:val="FF0000"/>
        </w:rPr>
        <w:t>required under</w:t>
      </w:r>
      <w:r w:rsidRPr="00F43900">
        <w:rPr>
          <w:b/>
          <w:color w:val="FF0000"/>
        </w:rPr>
        <w:t xml:space="preserve"> MU 2011 have been included at the start of the list of languages. These items include Chines</w:t>
      </w:r>
      <w:r>
        <w:rPr>
          <w:b/>
          <w:color w:val="FF0000"/>
        </w:rPr>
        <w:t>e</w:t>
      </w:r>
      <w:r w:rsidRPr="00F43900">
        <w:rPr>
          <w:b/>
          <w:color w:val="FF0000"/>
        </w:rPr>
        <w:t xml:space="preserve">, English, French, German, Italian, Japanese, Korean, Portuguese, Russian, Spanish, and Declined to Specify. After these items, the remainder of the list is organized alphabetically by the name of the language. </w:t>
      </w:r>
    </w:p>
    <w:p w:rsidR="004F3ECC" w:rsidRDefault="004F3ECC" w:rsidP="004F3ECC"/>
    <w:p w:rsidR="00802BEA" w:rsidRDefault="00367C5C" w:rsidP="004F3ECC">
      <w:r>
        <w:rPr>
          <w:noProof/>
        </w:rPr>
        <w:drawing>
          <wp:inline distT="0" distB="0" distL="0" distR="0" wp14:anchorId="4E3D4FA5" wp14:editId="21254390">
            <wp:extent cx="6854190" cy="18129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4190" cy="1812925"/>
                    </a:xfrm>
                    <a:prstGeom prst="rect">
                      <a:avLst/>
                    </a:prstGeom>
                    <a:noFill/>
                    <a:ln>
                      <a:noFill/>
                    </a:ln>
                  </pic:spPr>
                </pic:pic>
              </a:graphicData>
            </a:graphic>
          </wp:inline>
        </w:drawing>
      </w:r>
      <w:r w:rsidR="00802BEA">
        <w:br w:type="page"/>
      </w:r>
    </w:p>
    <w:p w:rsidR="00594106" w:rsidRPr="004736F7" w:rsidRDefault="00594106" w:rsidP="00594106">
      <w:pPr>
        <w:pStyle w:val="Heading4"/>
      </w:pPr>
      <w:bookmarkStart w:id="29" w:name="_Toc389651140"/>
      <w:bookmarkStart w:id="30" w:name="_Toc390171147"/>
      <w:r w:rsidRPr="004736F7">
        <w:t>Race</w:t>
      </w:r>
      <w:bookmarkEnd w:id="29"/>
      <w:bookmarkEnd w:id="30"/>
    </w:p>
    <w:p w:rsidR="00594106" w:rsidRDefault="00594106" w:rsidP="00594106"/>
    <w:p w:rsidR="00594106" w:rsidRDefault="00594106" w:rsidP="00594106">
      <w:r>
        <w:t xml:space="preserve">To set the </w:t>
      </w:r>
      <w:r>
        <w:rPr>
          <w:b/>
        </w:rPr>
        <w:t>Race</w:t>
      </w:r>
      <w:r>
        <w:t xml:space="preserve"> for a patient, select the patient from the list and navigate to the </w:t>
      </w:r>
      <w:r>
        <w:rPr>
          <w:b/>
        </w:rPr>
        <w:t>Misc.</w:t>
      </w:r>
      <w:r>
        <w:t xml:space="preserve"> tab. The </w:t>
      </w:r>
      <w:r>
        <w:rPr>
          <w:b/>
        </w:rPr>
        <w:t>Race</w:t>
      </w:r>
      <w:r>
        <w:t xml:space="preserve"> field is the third item listed on the page. Under MU 2014, multiple races can now be selected for a patient. Additionally, there is now an option for ‘Declined to Specify’. At least one race must be chosen for a patient or the option ‘Declined to Specify’ must be selected in order for the patient to count towards the numerator for this measure. </w:t>
      </w:r>
    </w:p>
    <w:p w:rsidR="00594106" w:rsidRDefault="00594106" w:rsidP="00594106"/>
    <w:p w:rsidR="00594106" w:rsidRDefault="00594106" w:rsidP="00594106">
      <w:r>
        <w:rPr>
          <w:noProof/>
        </w:rPr>
        <w:drawing>
          <wp:inline distT="0" distB="0" distL="0" distR="0" wp14:anchorId="2D9D9DE4" wp14:editId="12BEFE9C">
            <wp:extent cx="6854088" cy="1463040"/>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9299"/>
                    <a:stretch/>
                  </pic:blipFill>
                  <pic:spPr bwMode="auto">
                    <a:xfrm>
                      <a:off x="0" y="0"/>
                      <a:ext cx="6854190" cy="1463062"/>
                    </a:xfrm>
                    <a:prstGeom prst="rect">
                      <a:avLst/>
                    </a:prstGeom>
                    <a:noFill/>
                    <a:ln>
                      <a:noFill/>
                    </a:ln>
                    <a:extLst>
                      <a:ext uri="{53640926-AAD7-44D8-BBD7-CCE9431645EC}">
                        <a14:shadowObscured xmlns:a14="http://schemas.microsoft.com/office/drawing/2010/main"/>
                      </a:ext>
                    </a:extLst>
                  </pic:spPr>
                </pic:pic>
              </a:graphicData>
            </a:graphic>
          </wp:inline>
        </w:drawing>
      </w:r>
    </w:p>
    <w:p w:rsidR="00594106" w:rsidRDefault="00594106" w:rsidP="00594106"/>
    <w:p w:rsidR="00594106" w:rsidRDefault="00594106" w:rsidP="00594106"/>
    <w:p w:rsidR="00594106" w:rsidRDefault="00594106" w:rsidP="00594106"/>
    <w:p w:rsidR="00594106" w:rsidRDefault="00594106" w:rsidP="00594106">
      <w:r>
        <w:t xml:space="preserve">To select a Race for a patient, typing the name of the Race will present a drop down of the options that can be selected. The options that are available for race under MU 2014 are: </w:t>
      </w:r>
      <w:r w:rsidRPr="00802BEA">
        <w:rPr>
          <w:b/>
        </w:rPr>
        <w:t>American Indian or Alaska Native, Asian, Black or African American, Native Hawaiian or Other Pacific Islander, White</w:t>
      </w:r>
      <w:r>
        <w:t>. Typing the name of the Race will limit the options to only those that match the text provided.</w:t>
      </w:r>
    </w:p>
    <w:p w:rsidR="00594106" w:rsidRDefault="00594106" w:rsidP="00594106"/>
    <w:p w:rsidR="00594106" w:rsidRDefault="00594106" w:rsidP="00594106">
      <w:r>
        <w:rPr>
          <w:noProof/>
        </w:rPr>
        <w:drawing>
          <wp:inline distT="0" distB="0" distL="0" distR="0" wp14:anchorId="443A64CA" wp14:editId="0F39631E">
            <wp:extent cx="6854084" cy="148689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b="17983"/>
                    <a:stretch/>
                  </pic:blipFill>
                  <pic:spPr bwMode="auto">
                    <a:xfrm>
                      <a:off x="0" y="0"/>
                      <a:ext cx="6854190" cy="1486916"/>
                    </a:xfrm>
                    <a:prstGeom prst="rect">
                      <a:avLst/>
                    </a:prstGeom>
                    <a:noFill/>
                    <a:ln>
                      <a:noFill/>
                    </a:ln>
                    <a:extLst>
                      <a:ext uri="{53640926-AAD7-44D8-BBD7-CCE9431645EC}">
                        <a14:shadowObscured xmlns:a14="http://schemas.microsoft.com/office/drawing/2010/main"/>
                      </a:ext>
                    </a:extLst>
                  </pic:spPr>
                </pic:pic>
              </a:graphicData>
            </a:graphic>
          </wp:inline>
        </w:drawing>
      </w:r>
    </w:p>
    <w:p w:rsidR="00594106" w:rsidRDefault="00594106" w:rsidP="00594106"/>
    <w:p w:rsidR="00594106" w:rsidRDefault="00594106" w:rsidP="00594106"/>
    <w:p w:rsidR="00594106" w:rsidRDefault="00594106" w:rsidP="00594106"/>
    <w:p w:rsidR="00594106" w:rsidRDefault="00594106" w:rsidP="00594106"/>
    <w:p w:rsidR="00594106" w:rsidRDefault="00594106" w:rsidP="00594106">
      <w:r>
        <w:t xml:space="preserve">Selecting a </w:t>
      </w:r>
      <w:r w:rsidRPr="00802BEA">
        <w:t>Race</w:t>
      </w:r>
      <w:r>
        <w:t xml:space="preserve"> for the listed option will result in that </w:t>
      </w:r>
      <w:r w:rsidRPr="00802BEA">
        <w:t>Race</w:t>
      </w:r>
      <w:r>
        <w:t xml:space="preserve"> being assigned to the patient. Multiple Races can be selected in this manner. To remove a selected Race, click the ‘X’ icon to the right of the displayed Race. </w:t>
      </w:r>
    </w:p>
    <w:p w:rsidR="00594106" w:rsidRDefault="00594106" w:rsidP="00594106"/>
    <w:p w:rsidR="00594106" w:rsidRPr="00802BEA" w:rsidRDefault="00594106" w:rsidP="00594106">
      <w:pPr>
        <w:rPr>
          <w:b/>
          <w:color w:val="FF0000"/>
        </w:rPr>
      </w:pPr>
      <w:r w:rsidRPr="00802BEA">
        <w:rPr>
          <w:b/>
          <w:color w:val="FF0000"/>
        </w:rPr>
        <w:t xml:space="preserve">NOTE: Any number of Race options can be selected for a patient. If the option ‘Declined to Specify’ is selected, no other Race options can be included. If ‘Declined to Specify’ has been selected, the system will prevent saving until either all other Race options are removed or the </w:t>
      </w:r>
      <w:r>
        <w:rPr>
          <w:b/>
          <w:color w:val="FF0000"/>
        </w:rPr>
        <w:t>‘</w:t>
      </w:r>
      <w:r w:rsidRPr="00802BEA">
        <w:rPr>
          <w:b/>
          <w:color w:val="FF0000"/>
        </w:rPr>
        <w:t>Declined t</w:t>
      </w:r>
      <w:r>
        <w:rPr>
          <w:b/>
          <w:color w:val="FF0000"/>
        </w:rPr>
        <w:t>o S</w:t>
      </w:r>
      <w:r w:rsidRPr="00802BEA">
        <w:rPr>
          <w:b/>
          <w:color w:val="FF0000"/>
        </w:rPr>
        <w:t>pecify</w:t>
      </w:r>
      <w:r>
        <w:rPr>
          <w:b/>
          <w:color w:val="FF0000"/>
        </w:rPr>
        <w:t>’</w:t>
      </w:r>
      <w:r w:rsidRPr="00802BEA">
        <w:rPr>
          <w:b/>
          <w:color w:val="FF0000"/>
        </w:rPr>
        <w:t xml:space="preserve"> option is removed from the Race field. </w:t>
      </w:r>
    </w:p>
    <w:p w:rsidR="00594106" w:rsidRDefault="00594106" w:rsidP="00594106">
      <w:r>
        <w:rPr>
          <w:noProof/>
        </w:rPr>
        <w:drawing>
          <wp:inline distT="0" distB="0" distL="0" distR="0" wp14:anchorId="279C1F30" wp14:editId="2B652B23">
            <wp:extent cx="6854088" cy="147099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18860"/>
                    <a:stretch/>
                  </pic:blipFill>
                  <pic:spPr bwMode="auto">
                    <a:xfrm>
                      <a:off x="0" y="0"/>
                      <a:ext cx="6854190" cy="147101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594106" w:rsidRPr="004736F7" w:rsidRDefault="00594106" w:rsidP="00594106">
      <w:pPr>
        <w:pStyle w:val="Heading4"/>
      </w:pPr>
      <w:bookmarkStart w:id="31" w:name="_Toc389651141"/>
      <w:bookmarkStart w:id="32" w:name="_Toc390171148"/>
      <w:r w:rsidRPr="004736F7">
        <w:t>Ethnicity</w:t>
      </w:r>
      <w:bookmarkEnd w:id="31"/>
      <w:bookmarkEnd w:id="32"/>
    </w:p>
    <w:p w:rsidR="004736F7" w:rsidRPr="004736F7" w:rsidRDefault="004736F7" w:rsidP="00B85C07">
      <w:pPr>
        <w:pStyle w:val="Heading4"/>
      </w:pPr>
    </w:p>
    <w:p w:rsidR="004736F7" w:rsidRDefault="004736F7" w:rsidP="002938D1"/>
    <w:p w:rsidR="002938D1" w:rsidRDefault="002938D1" w:rsidP="002938D1">
      <w:r>
        <w:t xml:space="preserve">To set the </w:t>
      </w:r>
      <w:r w:rsidR="009B3475">
        <w:rPr>
          <w:b/>
        </w:rPr>
        <w:t>Ethnicity</w:t>
      </w:r>
      <w:r>
        <w:t xml:space="preserve"> for a patient, select the patient from the list and navigate to the </w:t>
      </w:r>
      <w:r>
        <w:rPr>
          <w:b/>
        </w:rPr>
        <w:t>Misc.</w:t>
      </w:r>
      <w:r>
        <w:t xml:space="preserve"> tab. The </w:t>
      </w:r>
      <w:r w:rsidR="00775672">
        <w:rPr>
          <w:b/>
        </w:rPr>
        <w:t>Ethnicity</w:t>
      </w:r>
      <w:r w:rsidR="00775672">
        <w:t xml:space="preserve"> </w:t>
      </w:r>
      <w:r>
        <w:t xml:space="preserve">field is the </w:t>
      </w:r>
      <w:r w:rsidR="00775672">
        <w:t>fourth</w:t>
      </w:r>
      <w:r>
        <w:t xml:space="preserve"> item listed on the page. Under MU 2014, </w:t>
      </w:r>
      <w:r w:rsidR="00775672">
        <w:t xml:space="preserve">there are two options for Ethnicity allowed: </w:t>
      </w:r>
      <w:r w:rsidR="00775672" w:rsidRPr="00775672">
        <w:rPr>
          <w:b/>
        </w:rPr>
        <w:t>Hispanic</w:t>
      </w:r>
      <w:r w:rsidR="00775672">
        <w:t xml:space="preserve"> or </w:t>
      </w:r>
      <w:r w:rsidR="00B31582" w:rsidRPr="00B31582">
        <w:rPr>
          <w:b/>
        </w:rPr>
        <w:t>Not Hispanic or Latino</w:t>
      </w:r>
      <w:r>
        <w:t xml:space="preserve">. Additionally, there is now an option for ‘Declined to Specify’. At least one </w:t>
      </w:r>
      <w:r w:rsidR="00B31582">
        <w:t>Ethnicity option</w:t>
      </w:r>
      <w:r>
        <w:t xml:space="preserve"> must be chosen for a patient or the option ‘Declined to Specify’ must be selected in order for the patient to counts towards the numerator for this measure. </w:t>
      </w:r>
    </w:p>
    <w:p w:rsidR="002938D1" w:rsidRDefault="002938D1" w:rsidP="004F3ECC"/>
    <w:p w:rsidR="002938D1" w:rsidRDefault="002938D1" w:rsidP="004F3ECC">
      <w:r>
        <w:rPr>
          <w:noProof/>
        </w:rPr>
        <w:drawing>
          <wp:inline distT="0" distB="0" distL="0" distR="0" wp14:anchorId="6334A81E" wp14:editId="76226EE5">
            <wp:extent cx="6854190" cy="18129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4190" cy="1812925"/>
                    </a:xfrm>
                    <a:prstGeom prst="rect">
                      <a:avLst/>
                    </a:prstGeom>
                    <a:noFill/>
                    <a:ln>
                      <a:noFill/>
                    </a:ln>
                  </pic:spPr>
                </pic:pic>
              </a:graphicData>
            </a:graphic>
          </wp:inline>
        </w:drawing>
      </w:r>
    </w:p>
    <w:p w:rsidR="009D2905" w:rsidRDefault="007E7AC3" w:rsidP="009D2905">
      <w:pPr>
        <w:pStyle w:val="Heading2"/>
      </w:pPr>
      <w:r>
        <w:br w:type="page"/>
      </w:r>
      <w:bookmarkStart w:id="33" w:name="_Toc390171149"/>
      <w:r w:rsidR="009D2905" w:rsidRPr="00B85C07">
        <w:t>Stage 2 - Core #4: Vital Signs</w:t>
      </w:r>
      <w:bookmarkEnd w:id="33"/>
      <w:r w:rsidR="009D2905">
        <w:t xml:space="preserve"> </w:t>
      </w:r>
    </w:p>
    <w:p w:rsidR="007E7AC3" w:rsidRDefault="007E7AC3" w:rsidP="004F3ECC"/>
    <w:tbl>
      <w:tblPr>
        <w:tblW w:w="10905" w:type="dxa"/>
        <w:tblInd w:w="93" w:type="dxa"/>
        <w:tblLook w:val="04A0" w:firstRow="1" w:lastRow="0" w:firstColumn="1" w:lastColumn="0" w:noHBand="0" w:noVBand="1"/>
      </w:tblPr>
      <w:tblGrid>
        <w:gridCol w:w="1340"/>
        <w:gridCol w:w="9565"/>
      </w:tblGrid>
      <w:tr w:rsidR="000D7DFB" w:rsidRPr="000D7DFB" w:rsidTr="000D7DFB">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0D7DFB" w:rsidRPr="009D2905" w:rsidRDefault="000D7DFB" w:rsidP="009D2905">
            <w:pPr>
              <w:rPr>
                <w:b/>
              </w:rPr>
            </w:pPr>
            <w:r w:rsidRPr="009D2905">
              <w:rPr>
                <w:b/>
                <w:color w:val="FFFFFF" w:themeColor="background1"/>
                <w:sz w:val="32"/>
              </w:rPr>
              <w:t>Vital Signs</w:t>
            </w:r>
          </w:p>
        </w:tc>
      </w:tr>
      <w:tr w:rsidR="000D7DFB" w:rsidRPr="000D7DFB" w:rsidTr="000D7DFB">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0D7DFB" w:rsidRPr="000D7DFB" w:rsidRDefault="000D7DFB" w:rsidP="000D7DFB">
            <w:pPr>
              <w:jc w:val="right"/>
              <w:rPr>
                <w:rFonts w:ascii="Calibri" w:eastAsia="Times New Roman" w:hAnsi="Calibri" w:cs="Times New Roman"/>
                <w:b/>
                <w:bCs/>
                <w:color w:val="FFFFFF"/>
              </w:rPr>
            </w:pPr>
            <w:r w:rsidRPr="000D7DFB">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0D7DFB" w:rsidRP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Record and chart changes in the following vital signs: height/length and weight (no age limit); blood pressure (ages 3 and over); calculate and display body mass index (BMI); and plot and display growth charts for patients 0-20 years, including BMI.</w:t>
            </w:r>
          </w:p>
        </w:tc>
      </w:tr>
      <w:tr w:rsidR="000D7DFB" w:rsidRPr="000D7DFB" w:rsidTr="000D7DFB">
        <w:trPr>
          <w:trHeight w:val="300"/>
        </w:trPr>
        <w:tc>
          <w:tcPr>
            <w:tcW w:w="1340" w:type="dxa"/>
            <w:vMerge/>
            <w:tcBorders>
              <w:top w:val="nil"/>
              <w:left w:val="single" w:sz="4" w:space="0" w:color="auto"/>
              <w:bottom w:val="nil"/>
              <w:right w:val="nil"/>
            </w:tcBorders>
            <w:vAlign w:val="center"/>
            <w:hideMark/>
          </w:tcPr>
          <w:p w:rsidR="000D7DFB" w:rsidRPr="000D7DFB" w:rsidRDefault="000D7DFB" w:rsidP="000D7DFB">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0D7DFB" w:rsidRPr="000D7DFB" w:rsidRDefault="000D7DFB" w:rsidP="000D7DFB">
            <w:pPr>
              <w:rPr>
                <w:rFonts w:ascii="Calibri" w:eastAsia="Times New Roman" w:hAnsi="Calibri" w:cs="Times New Roman"/>
                <w:color w:val="000000"/>
              </w:rPr>
            </w:pPr>
          </w:p>
        </w:tc>
      </w:tr>
      <w:tr w:rsidR="000D7DFB" w:rsidRPr="000D7DFB" w:rsidTr="000D7DFB">
        <w:trPr>
          <w:trHeight w:val="300"/>
        </w:trPr>
        <w:tc>
          <w:tcPr>
            <w:tcW w:w="1340" w:type="dxa"/>
            <w:vMerge/>
            <w:tcBorders>
              <w:top w:val="nil"/>
              <w:left w:val="single" w:sz="4" w:space="0" w:color="auto"/>
              <w:bottom w:val="nil"/>
              <w:right w:val="nil"/>
            </w:tcBorders>
            <w:vAlign w:val="center"/>
            <w:hideMark/>
          </w:tcPr>
          <w:p w:rsidR="000D7DFB" w:rsidRPr="000D7DFB" w:rsidRDefault="000D7DFB" w:rsidP="000D7DFB">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0D7DFB" w:rsidRPr="000D7DFB" w:rsidRDefault="000D7DFB" w:rsidP="000D7DFB">
            <w:pPr>
              <w:rPr>
                <w:rFonts w:ascii="Calibri" w:eastAsia="Times New Roman" w:hAnsi="Calibri" w:cs="Times New Roman"/>
                <w:color w:val="000000"/>
              </w:rPr>
            </w:pPr>
          </w:p>
        </w:tc>
      </w:tr>
      <w:tr w:rsidR="000D7DFB" w:rsidRPr="000D7DFB" w:rsidTr="000D7DFB">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0D7DFB" w:rsidRPr="000D7DFB" w:rsidRDefault="000D7DFB" w:rsidP="000D7DFB">
            <w:pPr>
              <w:jc w:val="right"/>
              <w:rPr>
                <w:rFonts w:ascii="Calibri" w:eastAsia="Times New Roman" w:hAnsi="Calibri" w:cs="Times New Roman"/>
                <w:b/>
                <w:bCs/>
                <w:color w:val="FFFFFF"/>
              </w:rPr>
            </w:pPr>
            <w:r w:rsidRPr="000D7DFB">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0D7DFB" w:rsidRP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More than 80 percent of all unique patients seen by the EP have blood pressure (for patients age 3 and over only) and/or height and weight (for all ages) recorded as structured data</w:t>
            </w:r>
          </w:p>
        </w:tc>
      </w:tr>
      <w:tr w:rsidR="000D7DFB" w:rsidRPr="000D7DFB" w:rsidTr="000D7DFB">
        <w:trPr>
          <w:trHeight w:val="300"/>
        </w:trPr>
        <w:tc>
          <w:tcPr>
            <w:tcW w:w="1340" w:type="dxa"/>
            <w:vMerge/>
            <w:tcBorders>
              <w:top w:val="single" w:sz="4" w:space="0" w:color="auto"/>
              <w:left w:val="single" w:sz="4" w:space="0" w:color="auto"/>
              <w:bottom w:val="single" w:sz="4" w:space="0" w:color="000000"/>
              <w:right w:val="nil"/>
            </w:tcBorders>
            <w:vAlign w:val="center"/>
            <w:hideMark/>
          </w:tcPr>
          <w:p w:rsidR="000D7DFB" w:rsidRPr="000D7DFB" w:rsidRDefault="000D7DFB" w:rsidP="000D7DF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D7DFB" w:rsidRPr="000D7DFB" w:rsidRDefault="000D7DFB" w:rsidP="000D7DFB">
            <w:pPr>
              <w:rPr>
                <w:rFonts w:ascii="Calibri" w:eastAsia="Times New Roman" w:hAnsi="Calibri" w:cs="Times New Roman"/>
                <w:color w:val="000000"/>
              </w:rPr>
            </w:pPr>
          </w:p>
        </w:tc>
      </w:tr>
      <w:tr w:rsidR="000D7DFB" w:rsidRPr="000D7DFB" w:rsidTr="000D7DFB">
        <w:trPr>
          <w:trHeight w:val="300"/>
        </w:trPr>
        <w:tc>
          <w:tcPr>
            <w:tcW w:w="1340" w:type="dxa"/>
            <w:vMerge/>
            <w:tcBorders>
              <w:top w:val="single" w:sz="4" w:space="0" w:color="auto"/>
              <w:left w:val="single" w:sz="4" w:space="0" w:color="auto"/>
              <w:bottom w:val="single" w:sz="4" w:space="0" w:color="000000"/>
              <w:right w:val="nil"/>
            </w:tcBorders>
            <w:vAlign w:val="center"/>
            <w:hideMark/>
          </w:tcPr>
          <w:p w:rsidR="000D7DFB" w:rsidRPr="000D7DFB" w:rsidRDefault="000D7DFB" w:rsidP="000D7DF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D7DFB" w:rsidRPr="000D7DFB" w:rsidRDefault="000D7DFB" w:rsidP="000D7DFB">
            <w:pPr>
              <w:rPr>
                <w:rFonts w:ascii="Calibri" w:eastAsia="Times New Roman" w:hAnsi="Calibri" w:cs="Times New Roman"/>
                <w:color w:val="000000"/>
              </w:rPr>
            </w:pPr>
          </w:p>
        </w:tc>
      </w:tr>
      <w:tr w:rsidR="000D7DFB" w:rsidRPr="000D7DFB" w:rsidTr="000D7DFB">
        <w:trPr>
          <w:trHeight w:val="300"/>
        </w:trPr>
        <w:tc>
          <w:tcPr>
            <w:tcW w:w="1340" w:type="dxa"/>
            <w:tcBorders>
              <w:top w:val="nil"/>
              <w:left w:val="single" w:sz="4" w:space="0" w:color="auto"/>
              <w:bottom w:val="nil"/>
              <w:right w:val="nil"/>
            </w:tcBorders>
            <w:shd w:val="clear" w:color="000000" w:fill="1F497D"/>
            <w:vAlign w:val="center"/>
            <w:hideMark/>
          </w:tcPr>
          <w:p w:rsidR="000D7DFB" w:rsidRPr="000D7DFB" w:rsidRDefault="000D7DFB" w:rsidP="000D7DFB">
            <w:pPr>
              <w:jc w:val="right"/>
              <w:rPr>
                <w:rFonts w:ascii="Calibri" w:eastAsia="Times New Roman" w:hAnsi="Calibri" w:cs="Times New Roman"/>
                <w:b/>
                <w:bCs/>
                <w:color w:val="FFFFFF"/>
              </w:rPr>
            </w:pPr>
            <w:r w:rsidRPr="000D7DFB">
              <w:rPr>
                <w:rFonts w:ascii="Calibri" w:eastAsia="Times New Roman" w:hAnsi="Calibri" w:cs="Times New Roman"/>
                <w:b/>
                <w:bCs/>
                <w:color w:val="FFFFFF"/>
              </w:rPr>
              <w:t xml:space="preserve">Exclusion </w:t>
            </w:r>
          </w:p>
        </w:tc>
        <w:tc>
          <w:tcPr>
            <w:tcW w:w="956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 xml:space="preserve">Any EP who: </w:t>
            </w:r>
          </w:p>
          <w:p w:rsid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(1) Sees no patients 3 years or older is excluded from recording blood pressure.</w:t>
            </w:r>
          </w:p>
          <w:p w:rsid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 xml:space="preserve">(2) Believes that all 3 vital signs of height/length, weight, and blood pressure have no relevance to their scope of practice is excluded from recording them. </w:t>
            </w:r>
          </w:p>
          <w:p w:rsid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 xml:space="preserve">(3) Believes that height/length and weight are relevant to their scope of practice, but blood pressure is not, is excluded from recording blood pressure. </w:t>
            </w:r>
          </w:p>
          <w:p w:rsidR="000D7DFB" w:rsidRPr="000D7DFB" w:rsidRDefault="000D7DFB" w:rsidP="000D7DFB">
            <w:pPr>
              <w:rPr>
                <w:rFonts w:ascii="Calibri" w:eastAsia="Times New Roman" w:hAnsi="Calibri" w:cs="Times New Roman"/>
                <w:color w:val="000000"/>
              </w:rPr>
            </w:pPr>
            <w:r w:rsidRPr="000D7DFB">
              <w:rPr>
                <w:rFonts w:ascii="Calibri" w:eastAsia="Times New Roman" w:hAnsi="Calibri" w:cs="Times New Roman"/>
                <w:color w:val="000000"/>
              </w:rPr>
              <w:t>(4) Believes that blood pressure is relevant to their scope of practice, but height/length and weight are not, is excluded from recording height/length and weight</w:t>
            </w:r>
          </w:p>
        </w:tc>
      </w:tr>
    </w:tbl>
    <w:p w:rsidR="00C46D58" w:rsidRDefault="00C46D58"/>
    <w:p w:rsidR="007E7AC3" w:rsidRDefault="007E7AC3"/>
    <w:tbl>
      <w:tblPr>
        <w:tblW w:w="10905" w:type="dxa"/>
        <w:tblInd w:w="93" w:type="dxa"/>
        <w:tblLook w:val="04A0" w:firstRow="1" w:lastRow="0" w:firstColumn="1" w:lastColumn="0" w:noHBand="0" w:noVBand="1"/>
      </w:tblPr>
      <w:tblGrid>
        <w:gridCol w:w="1435"/>
        <w:gridCol w:w="9470"/>
      </w:tblGrid>
      <w:tr w:rsidR="007E7AC3" w:rsidRPr="007E7AC3" w:rsidTr="007E7AC3">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E7AC3" w:rsidRPr="007E7AC3" w:rsidRDefault="007E7AC3" w:rsidP="00A7593F">
            <w:pPr>
              <w:rPr>
                <w:rFonts w:ascii="Calibri" w:eastAsia="Times New Roman" w:hAnsi="Calibri" w:cs="Times New Roman"/>
                <w:b/>
                <w:bCs/>
                <w:color w:val="FFFFFF"/>
                <w:sz w:val="28"/>
                <w:szCs w:val="28"/>
              </w:rPr>
            </w:pPr>
            <w:r w:rsidRPr="007E7AC3">
              <w:rPr>
                <w:rFonts w:ascii="Calibri" w:eastAsia="Times New Roman" w:hAnsi="Calibri" w:cs="Times New Roman"/>
                <w:b/>
                <w:bCs/>
                <w:color w:val="FFFFFF"/>
                <w:sz w:val="28"/>
                <w:szCs w:val="28"/>
              </w:rPr>
              <w:t>Vital Signs: Height, Weight, and Blood Pressure all within scope</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Number of unique patients seen by the EP during the EHR reporting period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 xml:space="preserve">Patients 3 years of age or older in the denominator for whom height/length, weight, and blood pressure are recorded. </w:t>
            </w:r>
          </w:p>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Patients younger than 3 years of age in the denominator for whom height/length and weight are recorded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The resulting percentage must be more than 80 percent in order for an EP to meet this measure</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bl>
    <w:p w:rsidR="007E7AC3" w:rsidRDefault="007E7AC3"/>
    <w:tbl>
      <w:tblPr>
        <w:tblW w:w="10905" w:type="dxa"/>
        <w:tblInd w:w="93" w:type="dxa"/>
        <w:tblLook w:val="04A0" w:firstRow="1" w:lastRow="0" w:firstColumn="1" w:lastColumn="0" w:noHBand="0" w:noVBand="1"/>
      </w:tblPr>
      <w:tblGrid>
        <w:gridCol w:w="1435"/>
        <w:gridCol w:w="9470"/>
      </w:tblGrid>
      <w:tr w:rsidR="007E7AC3" w:rsidRPr="007E7AC3" w:rsidTr="007E7AC3">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E7AC3" w:rsidRPr="007E7AC3" w:rsidRDefault="007E7AC3" w:rsidP="007E7AC3">
            <w:pPr>
              <w:rPr>
                <w:rFonts w:ascii="Calibri" w:eastAsia="Times New Roman" w:hAnsi="Calibri" w:cs="Times New Roman"/>
                <w:b/>
                <w:bCs/>
                <w:color w:val="FFFFFF"/>
                <w:sz w:val="28"/>
                <w:szCs w:val="28"/>
              </w:rPr>
            </w:pPr>
            <w:r w:rsidRPr="007E7AC3">
              <w:rPr>
                <w:rFonts w:ascii="Calibri" w:eastAsia="Times New Roman" w:hAnsi="Calibri" w:cs="Times New Roman"/>
                <w:b/>
                <w:bCs/>
                <w:color w:val="FFFFFF"/>
                <w:sz w:val="28"/>
                <w:szCs w:val="28"/>
              </w:rPr>
              <w:t>Vital Signs: Height and Weight only within scope of practice</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Number of unique patients seen by the EP during the EHR reporting period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Patients in the denominator for whom height/length and weight are recorded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The resulting percentage must be more than 80 percent in order for an EP to meet this measure</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bl>
    <w:p w:rsidR="007E7AC3" w:rsidRDefault="007E7AC3"/>
    <w:tbl>
      <w:tblPr>
        <w:tblW w:w="10905" w:type="dxa"/>
        <w:tblInd w:w="93" w:type="dxa"/>
        <w:tblLook w:val="04A0" w:firstRow="1" w:lastRow="0" w:firstColumn="1" w:lastColumn="0" w:noHBand="0" w:noVBand="1"/>
      </w:tblPr>
      <w:tblGrid>
        <w:gridCol w:w="1435"/>
        <w:gridCol w:w="9470"/>
      </w:tblGrid>
      <w:tr w:rsidR="007E7AC3" w:rsidRPr="007E7AC3" w:rsidTr="007E7AC3">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E7AC3" w:rsidRPr="007E7AC3" w:rsidRDefault="007E7AC3" w:rsidP="007E7AC3">
            <w:pPr>
              <w:rPr>
                <w:rFonts w:ascii="Calibri" w:eastAsia="Times New Roman" w:hAnsi="Calibri" w:cs="Times New Roman"/>
                <w:b/>
                <w:bCs/>
                <w:color w:val="FFFFFF"/>
                <w:sz w:val="28"/>
                <w:szCs w:val="28"/>
              </w:rPr>
            </w:pPr>
            <w:r w:rsidRPr="007E7AC3">
              <w:rPr>
                <w:rFonts w:ascii="Calibri" w:eastAsia="Times New Roman" w:hAnsi="Calibri" w:cs="Times New Roman"/>
                <w:b/>
                <w:bCs/>
                <w:color w:val="FFFFFF"/>
                <w:sz w:val="28"/>
                <w:szCs w:val="28"/>
              </w:rPr>
              <w:t>Vital Signs: Blood Pressure only within scope of practice</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Number of unique patients 3 years of age or older seen by the EP during the EHR reporting period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Patients in the denominator for whom blood pressure is recorded</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r w:rsidR="007E7AC3" w:rsidRPr="007E7AC3" w:rsidTr="007E7AC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E7AC3" w:rsidRPr="007E7AC3" w:rsidRDefault="007E7AC3" w:rsidP="007E7AC3">
            <w:pPr>
              <w:jc w:val="right"/>
              <w:rPr>
                <w:rFonts w:ascii="Calibri" w:eastAsia="Times New Roman" w:hAnsi="Calibri" w:cs="Times New Roman"/>
                <w:b/>
                <w:bCs/>
                <w:color w:val="FFFFFF"/>
              </w:rPr>
            </w:pPr>
            <w:r w:rsidRPr="007E7AC3">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7E7AC3" w:rsidRPr="007E7AC3" w:rsidRDefault="007E7AC3" w:rsidP="007E7AC3">
            <w:pPr>
              <w:rPr>
                <w:rFonts w:ascii="Calibri" w:eastAsia="Times New Roman" w:hAnsi="Calibri" w:cs="Times New Roman"/>
                <w:color w:val="000000"/>
              </w:rPr>
            </w:pPr>
            <w:r w:rsidRPr="007E7AC3">
              <w:rPr>
                <w:rFonts w:ascii="Calibri" w:eastAsia="Times New Roman" w:hAnsi="Calibri" w:cs="Times New Roman"/>
                <w:color w:val="000000"/>
              </w:rPr>
              <w:t>The resulting percentage must be more than 80 percent in order for an EP to meet this measure</w:t>
            </w:r>
          </w:p>
        </w:tc>
      </w:tr>
      <w:tr w:rsidR="007E7AC3" w:rsidRPr="007E7AC3" w:rsidTr="007E7AC3">
        <w:trPr>
          <w:trHeight w:val="300"/>
        </w:trPr>
        <w:tc>
          <w:tcPr>
            <w:tcW w:w="1435" w:type="dxa"/>
            <w:vMerge/>
            <w:tcBorders>
              <w:top w:val="nil"/>
              <w:left w:val="single" w:sz="4" w:space="0" w:color="auto"/>
              <w:bottom w:val="single" w:sz="4" w:space="0" w:color="000000"/>
              <w:right w:val="nil"/>
            </w:tcBorders>
            <w:vAlign w:val="center"/>
            <w:hideMark/>
          </w:tcPr>
          <w:p w:rsidR="007E7AC3" w:rsidRPr="007E7AC3" w:rsidRDefault="007E7AC3" w:rsidP="007E7AC3">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7E7AC3" w:rsidRPr="007E7AC3" w:rsidRDefault="007E7AC3" w:rsidP="007E7AC3">
            <w:pPr>
              <w:rPr>
                <w:rFonts w:ascii="Calibri" w:eastAsia="Times New Roman" w:hAnsi="Calibri" w:cs="Times New Roman"/>
                <w:color w:val="000000"/>
              </w:rPr>
            </w:pPr>
          </w:p>
        </w:tc>
      </w:tr>
    </w:tbl>
    <w:p w:rsidR="007E7AC3" w:rsidRDefault="007E7AC3"/>
    <w:p w:rsidR="00A34217" w:rsidRPr="004736F7" w:rsidRDefault="0058367B" w:rsidP="00B85C07">
      <w:pPr>
        <w:pStyle w:val="Heading3"/>
      </w:pPr>
      <w:bookmarkStart w:id="34" w:name="_Toc390171150"/>
      <w:r>
        <w:t>Vital Signs</w:t>
      </w:r>
      <w:r w:rsidR="00A34217" w:rsidRPr="004736F7">
        <w:t>: Explanation of Measure</w:t>
      </w:r>
      <w:bookmarkEnd w:id="34"/>
    </w:p>
    <w:p w:rsidR="00A34217" w:rsidRDefault="00A34217" w:rsidP="00A34217"/>
    <w:p w:rsidR="00A34217" w:rsidRDefault="00702C24" w:rsidP="00702C24">
      <w:r>
        <w:t>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the age of the patient to count towards the denominator varies based on which option is used for reporting.</w:t>
      </w:r>
    </w:p>
    <w:p w:rsidR="00A34217" w:rsidRDefault="00A34217" w:rsidP="00A34217"/>
    <w:p w:rsidR="00702C24" w:rsidRDefault="00A34217" w:rsidP="00A34217">
      <w:r>
        <w:t xml:space="preserve">This measure has </w:t>
      </w:r>
      <w:r w:rsidR="00702C24">
        <w:t>three different</w:t>
      </w:r>
      <w:r>
        <w:t xml:space="preserve"> options for reporting. </w:t>
      </w:r>
      <w:r w:rsidR="002132A9">
        <w:t>If an EP determines that measuring patient’s Height/Weight</w:t>
      </w:r>
      <w:r w:rsidR="00B02F39">
        <w:t>,</w:t>
      </w:r>
      <w:r w:rsidR="002132A9">
        <w:t xml:space="preserve"> as well as Blood Pressure</w:t>
      </w:r>
      <w:r w:rsidR="00B02F39">
        <w:t>,</w:t>
      </w:r>
      <w:r w:rsidR="002132A9">
        <w:t xml:space="preserve"> </w:t>
      </w:r>
      <w:r w:rsidR="00B02F39">
        <w:t>is</w:t>
      </w:r>
      <w:r w:rsidR="002132A9">
        <w:t xml:space="preserve"> within the scope of their work, then patients 3 years of age and older need to have Height/Weight and Blood Pressure all recorded. For patients under 3 years of age, only Height/Weight needs to be recorded. </w:t>
      </w:r>
    </w:p>
    <w:p w:rsidR="002132A9" w:rsidRDefault="002132A9" w:rsidP="00A34217"/>
    <w:p w:rsidR="00702C24" w:rsidRDefault="002132A9" w:rsidP="00A34217">
      <w:r>
        <w:t xml:space="preserve">If an EP determines that measuring </w:t>
      </w:r>
      <w:r w:rsidR="006A5AA9">
        <w:t>a patient’s Blood Pressure is not relevant to the scope of their work, but recording their</w:t>
      </w:r>
      <w:r>
        <w:t xml:space="preserve"> Height/Weight </w:t>
      </w:r>
      <w:r w:rsidR="006A5AA9">
        <w:t>is</w:t>
      </w:r>
      <w:r>
        <w:t>, then</w:t>
      </w:r>
      <w:r w:rsidR="006A5AA9">
        <w:t xml:space="preserve"> all patients need to have their</w:t>
      </w:r>
      <w:r>
        <w:t xml:space="preserve"> Height/Weight recorded.</w:t>
      </w:r>
      <w:r w:rsidR="006A5AA9">
        <w:t xml:space="preserve"> If measuring the Blood Pressure, as well as Height/Weight, is relevant for even a single patient seen by the EP during the reporting period, then this reporting option cannot be used. Instead, the first option must be reported instead. </w:t>
      </w:r>
    </w:p>
    <w:p w:rsidR="006A5AA9" w:rsidRDefault="006A5AA9" w:rsidP="00A34217"/>
    <w:p w:rsidR="006A5AA9" w:rsidRDefault="006A5AA9" w:rsidP="006A5AA9">
      <w:r>
        <w:t>If an EP determines that measuring a patient’s Height/Weight is not relevant to the scope of their work, but recording their Blood Pressure is, then all patients 3 years of age and older need to have their Blood Pressure recorded. If measuring the Height/Weight, as well as</w:t>
      </w:r>
      <w:r w:rsidRPr="006A5AA9">
        <w:t xml:space="preserve"> </w:t>
      </w:r>
      <w:r>
        <w:t xml:space="preserve">Blood Pressure, is relevant for even a single patient seen by the EP during the reporting period, then this reporting option cannot be used. Instead, the first option must be reported instead. </w:t>
      </w:r>
    </w:p>
    <w:p w:rsidR="006A5AA9" w:rsidRDefault="006A5AA9" w:rsidP="00A34217"/>
    <w:p w:rsidR="006A5AA9" w:rsidRDefault="006A5AA9" w:rsidP="00A34217">
      <w:r>
        <w:t xml:space="preserve">Finally, if </w:t>
      </w:r>
      <w:r w:rsidR="00402570">
        <w:t>both</w:t>
      </w:r>
      <w:r>
        <w:t xml:space="preserve"> Height/Weight</w:t>
      </w:r>
      <w:r w:rsidR="00B02F39">
        <w:t>,</w:t>
      </w:r>
      <w:r>
        <w:t xml:space="preserve"> as well as Blood Pressure</w:t>
      </w:r>
      <w:r w:rsidR="00B02F39">
        <w:t>,</w:t>
      </w:r>
      <w:r>
        <w:t xml:space="preserve"> </w:t>
      </w:r>
      <w:r w:rsidR="00B02F39">
        <w:t>is</w:t>
      </w:r>
      <w:r>
        <w:t xml:space="preserve"> not relevant to the scope of an EP’s work during the reporting period, then the provider can exclude themselves from reporting on this measure entirely. </w:t>
      </w:r>
    </w:p>
    <w:p w:rsidR="006A5AA9" w:rsidRDefault="006A5AA9" w:rsidP="00A34217"/>
    <w:p w:rsidR="00A34217" w:rsidRDefault="00A34217" w:rsidP="00A34217">
      <w:r>
        <w:t xml:space="preserve">It is up to the EP to report on the correct option during attestation as values for </w:t>
      </w:r>
      <w:r w:rsidR="00402570">
        <w:t>each</w:t>
      </w:r>
      <w:r>
        <w:t xml:space="preserve"> option will be presented. </w:t>
      </w:r>
      <w:r w:rsidR="00C64B6D">
        <w:t xml:space="preserve">An EP must report on a single option for a given reporting period, so it is important that the correct option is used. An EP cannot pick and choose which patients belong to a reporting option. Instead, all patients seen by the EP during a reporting period must count towards the same option. </w:t>
      </w:r>
    </w:p>
    <w:p w:rsidR="00A34217" w:rsidRDefault="00A34217" w:rsidP="00A34217"/>
    <w:p w:rsidR="00B06190" w:rsidRDefault="00B06190" w:rsidP="00B06190">
      <w:r>
        <w:t xml:space="preserve">Recording the Vital Signs for a patient is not tied to an individual EP within a practice. All EP’s within a practice will receive credit for a patient who has their Vital Signs recorded so long as that patient has a recorded visit with the EP during the reporting period. This means that, once the Smoking Status for a patient has been recorded, any EP who has a recorded visit with that patient during the reporting period will have that patient appear in both the numerator and denominator for this particular measure. </w:t>
      </w:r>
    </w:p>
    <w:p w:rsidR="00605E0A" w:rsidRDefault="00605E0A" w:rsidP="00605E0A">
      <w:pPr>
        <w:rPr>
          <w:b/>
          <w:sz w:val="28"/>
        </w:rPr>
      </w:pPr>
      <w:r>
        <w:rPr>
          <w:b/>
          <w:sz w:val="28"/>
        </w:rPr>
        <w:br w:type="page"/>
      </w:r>
    </w:p>
    <w:p w:rsidR="00921C0E" w:rsidRPr="004736F7" w:rsidRDefault="00921C0E" w:rsidP="00921C0E">
      <w:pPr>
        <w:pStyle w:val="Heading3"/>
      </w:pPr>
      <w:bookmarkStart w:id="35" w:name="_Toc390081311"/>
      <w:bookmarkStart w:id="36" w:name="_Toc390171151"/>
      <w:r>
        <w:t>Vital Signs</w:t>
      </w:r>
      <w:r w:rsidRPr="004736F7">
        <w:t xml:space="preserve">: </w:t>
      </w:r>
      <w:r>
        <w:t>Meaningful Use Measures</w:t>
      </w:r>
      <w:bookmarkEnd w:id="35"/>
      <w:bookmarkEnd w:id="36"/>
    </w:p>
    <w:p w:rsidR="00921C0E" w:rsidRPr="00DF721A" w:rsidRDefault="00921C0E" w:rsidP="00921C0E"/>
    <w:p w:rsidR="00F60CF0" w:rsidRDefault="00921C0E" w:rsidP="00F60CF0">
      <w:r>
        <w:t xml:space="preserve">There are a total of </w:t>
      </w:r>
      <w:r w:rsidR="00F60CF0">
        <w:t>three</w:t>
      </w:r>
      <w:r>
        <w:t xml:space="preserve"> line items item relat</w:t>
      </w:r>
      <w:r w:rsidR="00F60CF0">
        <w:t>ed to Vital Signs in the Stage 2</w:t>
      </w:r>
      <w:r>
        <w:t xml:space="preserve"> list of Meaningful Use Measures. </w:t>
      </w:r>
      <w:r w:rsidR="00F60CF0">
        <w:t>The line items shown in the list relate to the individual reporting options as follows:</w:t>
      </w:r>
    </w:p>
    <w:p w:rsidR="00921C0E" w:rsidRDefault="00921C0E" w:rsidP="00921C0E"/>
    <w:tbl>
      <w:tblPr>
        <w:tblW w:w="5000" w:type="pct"/>
        <w:tblLook w:val="04A0" w:firstRow="1" w:lastRow="0" w:firstColumn="1" w:lastColumn="0" w:noHBand="0" w:noVBand="1"/>
      </w:tblPr>
      <w:tblGrid>
        <w:gridCol w:w="5174"/>
        <w:gridCol w:w="5842"/>
      </w:tblGrid>
      <w:tr w:rsidR="00921C0E" w:rsidRPr="00B56CD2" w:rsidTr="007C4B61">
        <w:trPr>
          <w:trHeight w:val="315"/>
        </w:trPr>
        <w:tc>
          <w:tcPr>
            <w:tcW w:w="1821" w:type="pct"/>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921C0E" w:rsidRPr="00B56CD2" w:rsidRDefault="00921C0E" w:rsidP="007C4B61">
            <w:pPr>
              <w:rPr>
                <w:rFonts w:ascii="Calibri" w:eastAsia="Times New Roman" w:hAnsi="Calibri" w:cs="Times New Roman"/>
                <w:b/>
                <w:bCs/>
                <w:color w:val="FFFFFF"/>
                <w:sz w:val="24"/>
                <w:szCs w:val="24"/>
              </w:rPr>
            </w:pPr>
            <w:r w:rsidRPr="00B56CD2">
              <w:rPr>
                <w:rFonts w:ascii="Calibri" w:eastAsia="Times New Roman" w:hAnsi="Calibri" w:cs="Times New Roman"/>
                <w:b/>
                <w:bCs/>
                <w:color w:val="FFFFFF"/>
                <w:sz w:val="24"/>
                <w:szCs w:val="24"/>
              </w:rPr>
              <w:t>Meaningful Use Measure List</w:t>
            </w:r>
          </w:p>
        </w:tc>
        <w:tc>
          <w:tcPr>
            <w:tcW w:w="3179" w:type="pct"/>
            <w:tcBorders>
              <w:top w:val="single" w:sz="4" w:space="0" w:color="auto"/>
              <w:left w:val="nil"/>
              <w:bottom w:val="single" w:sz="4" w:space="0" w:color="auto"/>
              <w:right w:val="single" w:sz="4" w:space="0" w:color="auto"/>
            </w:tcBorders>
            <w:shd w:val="clear" w:color="000000" w:fill="4F6228"/>
            <w:noWrap/>
            <w:vAlign w:val="bottom"/>
            <w:hideMark/>
          </w:tcPr>
          <w:p w:rsidR="00921C0E" w:rsidRPr="00B56CD2" w:rsidRDefault="00921C0E" w:rsidP="007C4B61">
            <w:pPr>
              <w:rPr>
                <w:rFonts w:ascii="Calibri" w:eastAsia="Times New Roman" w:hAnsi="Calibri" w:cs="Times New Roman"/>
                <w:b/>
                <w:bCs/>
                <w:color w:val="FFFFFF"/>
                <w:sz w:val="24"/>
                <w:szCs w:val="24"/>
              </w:rPr>
            </w:pPr>
            <w:r w:rsidRPr="00B56CD2">
              <w:rPr>
                <w:rFonts w:ascii="Calibri" w:eastAsia="Times New Roman" w:hAnsi="Calibri" w:cs="Times New Roman"/>
                <w:b/>
                <w:bCs/>
                <w:color w:val="FFFFFF"/>
                <w:sz w:val="24"/>
                <w:szCs w:val="24"/>
              </w:rPr>
              <w:t>Reporting Option</w:t>
            </w:r>
          </w:p>
        </w:tc>
      </w:tr>
      <w:tr w:rsidR="00921C0E" w:rsidRPr="00B56CD2" w:rsidTr="007C4B61">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- 2014 Onward - (Height, Weight, BMI)</w:t>
            </w:r>
          </w:p>
        </w:tc>
        <w:tc>
          <w:tcPr>
            <w:tcW w:w="3179" w:type="pct"/>
            <w:tcBorders>
              <w:top w:val="nil"/>
              <w:left w:val="nil"/>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Height and Weight only within scope of practice</w:t>
            </w:r>
          </w:p>
        </w:tc>
      </w:tr>
      <w:tr w:rsidR="00921C0E" w:rsidRPr="00B56CD2" w:rsidTr="007C4B61">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- 2014 Onward - (Blood Pressure)</w:t>
            </w:r>
          </w:p>
        </w:tc>
        <w:tc>
          <w:tcPr>
            <w:tcW w:w="3179" w:type="pct"/>
            <w:tcBorders>
              <w:top w:val="nil"/>
              <w:left w:val="nil"/>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Blood Pressure only within scope of practice</w:t>
            </w:r>
          </w:p>
        </w:tc>
      </w:tr>
      <w:tr w:rsidR="00921C0E" w:rsidRPr="00B56CD2" w:rsidTr="007C4B61">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- 2014 Onward - (Height, Weight, BMI, Blood Pressure)</w:t>
            </w:r>
          </w:p>
        </w:tc>
        <w:tc>
          <w:tcPr>
            <w:tcW w:w="3179" w:type="pct"/>
            <w:tcBorders>
              <w:top w:val="nil"/>
              <w:left w:val="nil"/>
              <w:bottom w:val="single" w:sz="4" w:space="0" w:color="auto"/>
              <w:right w:val="single" w:sz="4" w:space="0" w:color="auto"/>
            </w:tcBorders>
            <w:shd w:val="clear" w:color="auto" w:fill="auto"/>
            <w:noWrap/>
            <w:vAlign w:val="bottom"/>
            <w:hideMark/>
          </w:tcPr>
          <w:p w:rsidR="00921C0E" w:rsidRPr="00B56CD2" w:rsidRDefault="00921C0E" w:rsidP="007C4B61">
            <w:pPr>
              <w:rPr>
                <w:rFonts w:ascii="Calibri" w:eastAsia="Times New Roman" w:hAnsi="Calibri" w:cs="Times New Roman"/>
                <w:color w:val="000000"/>
              </w:rPr>
            </w:pPr>
            <w:r w:rsidRPr="00B56CD2">
              <w:rPr>
                <w:rFonts w:ascii="Calibri" w:eastAsia="Times New Roman" w:hAnsi="Calibri" w:cs="Times New Roman"/>
                <w:color w:val="000000"/>
              </w:rPr>
              <w:t>Vital Signs: Height, Weight, and Blood Pressure all within scope of practice</w:t>
            </w:r>
          </w:p>
        </w:tc>
      </w:tr>
    </w:tbl>
    <w:p w:rsidR="00921C0E" w:rsidRDefault="00921C0E" w:rsidP="00921C0E"/>
    <w:p w:rsidR="00921C0E" w:rsidRDefault="00921C0E" w:rsidP="00921C0E"/>
    <w:p w:rsidR="00921C0E" w:rsidRDefault="00F60CF0" w:rsidP="00921C0E">
      <w:r>
        <w:rPr>
          <w:noProof/>
        </w:rPr>
        <w:drawing>
          <wp:inline distT="0" distB="0" distL="0" distR="0">
            <wp:extent cx="6854190" cy="454025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921C0E" w:rsidRDefault="00921C0E" w:rsidP="00921C0E">
      <w:pPr>
        <w:rPr>
          <w:b/>
          <w:sz w:val="28"/>
        </w:rPr>
      </w:pPr>
      <w:r>
        <w:rPr>
          <w:b/>
          <w:sz w:val="28"/>
        </w:rPr>
        <w:br w:type="page"/>
      </w:r>
    </w:p>
    <w:p w:rsidR="00605E0A" w:rsidRPr="00B342CA" w:rsidRDefault="00605E0A" w:rsidP="00B85C07">
      <w:pPr>
        <w:pStyle w:val="Heading3"/>
      </w:pPr>
      <w:bookmarkStart w:id="37" w:name="_Toc390171152"/>
      <w:r>
        <w:t>Vital Signs</w:t>
      </w:r>
      <w:r w:rsidRPr="00B342CA">
        <w:t>: Recording of Numerator in Valant</w:t>
      </w:r>
      <w:bookmarkEnd w:id="37"/>
    </w:p>
    <w:p w:rsidR="00605E0A" w:rsidRDefault="00605E0A" w:rsidP="00605E0A"/>
    <w:p w:rsidR="00E30EE7" w:rsidRDefault="00E30EE7" w:rsidP="00E30EE7">
      <w:r>
        <w:t xml:space="preserve">There are two methods of recording Vital Signs: using the </w:t>
      </w:r>
      <w:r w:rsidRPr="00162DD0">
        <w:rPr>
          <w:b/>
        </w:rPr>
        <w:t>Measurements</w:t>
      </w:r>
      <w:r>
        <w:t xml:space="preserve"> tab in the </w:t>
      </w:r>
      <w:r w:rsidRPr="00162DD0">
        <w:rPr>
          <w:b/>
        </w:rPr>
        <w:t>Patient Chart</w:t>
      </w:r>
      <w:r>
        <w:rPr>
          <w:b/>
        </w:rPr>
        <w:t xml:space="preserve"> </w:t>
      </w:r>
      <w:r>
        <w:t xml:space="preserve">or utilizing the </w:t>
      </w:r>
      <w:r w:rsidRPr="00162DD0">
        <w:rPr>
          <w:b/>
        </w:rPr>
        <w:t xml:space="preserve">Vital Signs </w:t>
      </w:r>
      <w:r w:rsidRPr="00162DD0">
        <w:t>tab</w:t>
      </w:r>
      <w:r>
        <w:t xml:space="preserve"> in </w:t>
      </w:r>
      <w:r w:rsidRPr="00162DD0">
        <w:rPr>
          <w:b/>
        </w:rPr>
        <w:t>Mobile Notes</w:t>
      </w:r>
      <w:r>
        <w:t>. Note that the BMI will automatically be calculated for a patient once Height and Weight values have been recorded into their record. The Height and Weight values must have the same date in order for BMI to calculate.</w:t>
      </w:r>
    </w:p>
    <w:p w:rsidR="00162DD0" w:rsidRDefault="00162DD0" w:rsidP="00605E0A"/>
    <w:p w:rsidR="00B06190" w:rsidRDefault="00B06190" w:rsidP="00605E0A"/>
    <w:p w:rsidR="00043618" w:rsidRPr="00043618" w:rsidRDefault="00A7006A" w:rsidP="00B85C07">
      <w:pPr>
        <w:pStyle w:val="Heading4"/>
      </w:pPr>
      <w:bookmarkStart w:id="38" w:name="_Toc390171153"/>
      <w:r>
        <w:t xml:space="preserve">Vital Signs: </w:t>
      </w:r>
      <w:r w:rsidR="00043618" w:rsidRPr="00043618">
        <w:t>Patient Chart</w:t>
      </w:r>
      <w:r>
        <w:t xml:space="preserve"> &gt; Measurements</w:t>
      </w:r>
      <w:bookmarkEnd w:id="38"/>
    </w:p>
    <w:p w:rsidR="00043618" w:rsidRDefault="00043618" w:rsidP="00605E0A"/>
    <w:p w:rsidR="00043618" w:rsidRDefault="00D04C45" w:rsidP="00605E0A">
      <w:r>
        <w:t xml:space="preserve">To record Height/Weight and Blood Pressure for a patient using their chart, </w:t>
      </w:r>
      <w:r w:rsidR="00B06190">
        <w:t xml:space="preserve">the </w:t>
      </w:r>
      <w:r w:rsidR="00B06190" w:rsidRPr="00B06190">
        <w:rPr>
          <w:b/>
        </w:rPr>
        <w:t>Measurements</w:t>
      </w:r>
      <w:r w:rsidR="00B06190">
        <w:t xml:space="preserve"> tab must be accessed and the </w:t>
      </w:r>
      <w:r w:rsidR="00B06190" w:rsidRPr="00B06190">
        <w:rPr>
          <w:b/>
        </w:rPr>
        <w:t>New Measurement</w:t>
      </w:r>
      <w:r w:rsidR="00B06190">
        <w:t xml:space="preserve"> button clicked. </w:t>
      </w:r>
    </w:p>
    <w:p w:rsidR="00043618" w:rsidRDefault="00043618" w:rsidP="00605E0A"/>
    <w:p w:rsidR="00162DD0" w:rsidRDefault="00043618" w:rsidP="00605E0A">
      <w:r>
        <w:rPr>
          <w:noProof/>
        </w:rPr>
        <w:drawing>
          <wp:inline distT="0" distB="0" distL="0" distR="0" wp14:anchorId="22054BE4" wp14:editId="403D37AE">
            <wp:extent cx="6854190" cy="6756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4190" cy="675640"/>
                    </a:xfrm>
                    <a:prstGeom prst="rect">
                      <a:avLst/>
                    </a:prstGeom>
                    <a:noFill/>
                    <a:ln>
                      <a:noFill/>
                    </a:ln>
                  </pic:spPr>
                </pic:pic>
              </a:graphicData>
            </a:graphic>
          </wp:inline>
        </w:drawing>
      </w:r>
    </w:p>
    <w:p w:rsidR="00B85E28" w:rsidRDefault="00B85E28" w:rsidP="00605E0A"/>
    <w:p w:rsidR="00707350" w:rsidRDefault="00707350" w:rsidP="00605E0A"/>
    <w:p w:rsidR="00707350" w:rsidRDefault="00B06190" w:rsidP="00605E0A">
      <w:r>
        <w:t xml:space="preserve">In the Add Measurement dialogue window, </w:t>
      </w:r>
      <w:r w:rsidR="005C38F8">
        <w:t xml:space="preserve">the </w:t>
      </w:r>
      <w:r w:rsidRPr="005C38F8">
        <w:rPr>
          <w:b/>
        </w:rPr>
        <w:t>Measurement Type</w:t>
      </w:r>
      <w:r w:rsidR="005C38F8" w:rsidRPr="005C38F8">
        <w:rPr>
          <w:b/>
        </w:rPr>
        <w:t xml:space="preserve"> </w:t>
      </w:r>
      <w:r w:rsidR="005C38F8">
        <w:t xml:space="preserve">field can be used to select the Vital Sign being recorded. Once a Measurement Type has been selected, the </w:t>
      </w:r>
      <w:r w:rsidR="005C38F8" w:rsidRPr="005C38F8">
        <w:rPr>
          <w:b/>
        </w:rPr>
        <w:t>Value</w:t>
      </w:r>
      <w:r w:rsidR="005C38F8">
        <w:t xml:space="preserve"> field must now be used to enter the result for that Vital Sign. The Value being recorded changes depending on which Vital Sign has been selected. </w:t>
      </w:r>
      <w:r w:rsidR="005C38F8" w:rsidRPr="005C38F8">
        <w:rPr>
          <w:b/>
        </w:rPr>
        <w:t>Height</w:t>
      </w:r>
      <w:r w:rsidR="005C38F8">
        <w:t xml:space="preserve"> is recorded in inches (in). </w:t>
      </w:r>
      <w:r w:rsidR="005C38F8" w:rsidRPr="005C38F8">
        <w:rPr>
          <w:b/>
        </w:rPr>
        <w:t>Weight</w:t>
      </w:r>
      <w:r w:rsidR="005C38F8">
        <w:t xml:space="preserve"> is recorded in pounds (lbs). </w:t>
      </w:r>
      <w:r w:rsidR="005C38F8" w:rsidRPr="005C38F8">
        <w:rPr>
          <w:b/>
        </w:rPr>
        <w:t>Blood Pressure</w:t>
      </w:r>
      <w:r w:rsidR="005C38F8">
        <w:t xml:space="preserve"> is recorded in millimeters of mercury (mm[Hg]). </w:t>
      </w:r>
    </w:p>
    <w:p w:rsidR="00707350" w:rsidRDefault="00707350"/>
    <w:p w:rsidR="00707350" w:rsidRDefault="00213647" w:rsidP="00707350">
      <w:pPr>
        <w:jc w:val="center"/>
      </w:pPr>
      <w:r>
        <w:rPr>
          <w:noProof/>
        </w:rPr>
        <w:drawing>
          <wp:inline distT="0" distB="0" distL="0" distR="0" wp14:anchorId="078DDD7D" wp14:editId="6876BEA1">
            <wp:extent cx="4222143" cy="2988316"/>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412" cy="2988506"/>
                    </a:xfrm>
                    <a:prstGeom prst="rect">
                      <a:avLst/>
                    </a:prstGeom>
                    <a:noFill/>
                    <a:ln>
                      <a:noFill/>
                    </a:ln>
                  </pic:spPr>
                </pic:pic>
              </a:graphicData>
            </a:graphic>
          </wp:inline>
        </w:drawing>
      </w:r>
    </w:p>
    <w:p w:rsidR="00707350" w:rsidRDefault="00707350"/>
    <w:p w:rsidR="00707350" w:rsidRDefault="00707350"/>
    <w:p w:rsidR="00CE4463" w:rsidRDefault="005C38F8">
      <w:r>
        <w:t xml:space="preserve">Once a Vital Sign has been entered and </w:t>
      </w:r>
      <w:r w:rsidR="00D37923">
        <w:t>recorded into the patient chart</w:t>
      </w:r>
      <w:r w:rsidR="00213647">
        <w:t xml:space="preserve">, the value can be seen in the table under the Measurements tab. </w:t>
      </w:r>
      <w:r w:rsidR="00D37923">
        <w:t xml:space="preserve"> </w:t>
      </w:r>
      <w:r>
        <w:t xml:space="preserve"> </w:t>
      </w:r>
    </w:p>
    <w:p w:rsidR="00CE4463" w:rsidRDefault="00CE4463"/>
    <w:p w:rsidR="00A7006A" w:rsidRDefault="005C38F8">
      <w:r>
        <w:rPr>
          <w:noProof/>
        </w:rPr>
        <w:drawing>
          <wp:inline distT="0" distB="0" distL="0" distR="0" wp14:anchorId="2E7C0580" wp14:editId="66EBBF43">
            <wp:extent cx="6854190" cy="715645"/>
            <wp:effectExtent l="0" t="0" r="381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4190" cy="715645"/>
                    </a:xfrm>
                    <a:prstGeom prst="rect">
                      <a:avLst/>
                    </a:prstGeom>
                    <a:noFill/>
                    <a:ln>
                      <a:noFill/>
                    </a:ln>
                  </pic:spPr>
                </pic:pic>
              </a:graphicData>
            </a:graphic>
          </wp:inline>
        </w:drawing>
      </w:r>
      <w:r w:rsidR="00A7006A">
        <w:br w:type="page"/>
      </w:r>
    </w:p>
    <w:p w:rsidR="00A7006A" w:rsidRPr="00043618" w:rsidRDefault="00A7006A" w:rsidP="00B85C07">
      <w:pPr>
        <w:pStyle w:val="Heading4"/>
      </w:pPr>
      <w:bookmarkStart w:id="39" w:name="_Toc390171154"/>
      <w:r>
        <w:t>Vital Signs: Mobile Notes</w:t>
      </w:r>
      <w:bookmarkEnd w:id="39"/>
    </w:p>
    <w:p w:rsidR="00A7006A" w:rsidRDefault="00A7006A" w:rsidP="00A7006A"/>
    <w:p w:rsidR="00A7006A" w:rsidRDefault="00A7006A" w:rsidP="00A7006A">
      <w:r>
        <w:t xml:space="preserve">To record Height/Weight and Blood Pressure for a patient using </w:t>
      </w:r>
      <w:r w:rsidR="004A5D3E">
        <w:t>Mobile Notes</w:t>
      </w:r>
      <w:r>
        <w:t xml:space="preserve">, </w:t>
      </w:r>
      <w:r w:rsidR="004A5D3E">
        <w:t xml:space="preserve">a template must be selected that contains the Vital Signs tab. Templates which include Vital Signs </w:t>
      </w:r>
      <w:r w:rsidR="00C93B5A">
        <w:t>includes</w:t>
      </w:r>
      <w:r w:rsidR="004A5D3E">
        <w:t xml:space="preserve">: Psychiatric Progress Note, DBP Progress Note, </w:t>
      </w:r>
      <w:r w:rsidR="004A5D3E" w:rsidRPr="004A5D3E">
        <w:t>Structured Therapy Progress Note</w:t>
      </w:r>
      <w:r w:rsidR="004A5D3E">
        <w:t>, Intake Note, Child Intake Note, and DBP Intake Note.</w:t>
      </w:r>
    </w:p>
    <w:p w:rsidR="00A7006A" w:rsidRDefault="00A7006A" w:rsidP="00A7006A"/>
    <w:p w:rsidR="00707350" w:rsidRDefault="004A5D3E">
      <w:r>
        <w:rPr>
          <w:noProof/>
        </w:rPr>
        <w:drawing>
          <wp:inline distT="0" distB="0" distL="0" distR="0" wp14:anchorId="7D155D48" wp14:editId="37A87B3C">
            <wp:extent cx="6854190" cy="75565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4190" cy="755650"/>
                    </a:xfrm>
                    <a:prstGeom prst="rect">
                      <a:avLst/>
                    </a:prstGeom>
                    <a:noFill/>
                    <a:ln>
                      <a:noFill/>
                    </a:ln>
                  </pic:spPr>
                </pic:pic>
              </a:graphicData>
            </a:graphic>
          </wp:inline>
        </w:drawing>
      </w:r>
    </w:p>
    <w:p w:rsidR="00707350" w:rsidRDefault="00707350"/>
    <w:p w:rsidR="00707350" w:rsidRDefault="00707350"/>
    <w:p w:rsidR="004A5D3E" w:rsidRDefault="004A5D3E">
      <w:r>
        <w:t xml:space="preserve">Selecting the Vital Signs tab will bring up the section showing the previous and current Vital Signs for this patient. The current Vital Signs can be updated by clicking on the </w:t>
      </w:r>
      <w:r w:rsidRPr="004A5D3E">
        <w:rPr>
          <w:b/>
        </w:rPr>
        <w:t>Edit Vitals</w:t>
      </w:r>
      <w:r>
        <w:t xml:space="preserve"> button. </w:t>
      </w:r>
    </w:p>
    <w:p w:rsidR="004A5D3E" w:rsidRDefault="004A5D3E"/>
    <w:p w:rsidR="00707350" w:rsidRDefault="004A5D3E">
      <w:r>
        <w:rPr>
          <w:noProof/>
        </w:rPr>
        <w:drawing>
          <wp:inline distT="0" distB="0" distL="0" distR="0" wp14:anchorId="558C6BD0" wp14:editId="0710DB30">
            <wp:extent cx="6854190" cy="16617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4190" cy="1661795"/>
                    </a:xfrm>
                    <a:prstGeom prst="rect">
                      <a:avLst/>
                    </a:prstGeom>
                    <a:noFill/>
                    <a:ln>
                      <a:noFill/>
                    </a:ln>
                  </pic:spPr>
                </pic:pic>
              </a:graphicData>
            </a:graphic>
          </wp:inline>
        </w:drawing>
      </w:r>
    </w:p>
    <w:p w:rsidR="00707350" w:rsidRDefault="00707350"/>
    <w:p w:rsidR="004A5D3E" w:rsidRDefault="004A5D3E"/>
    <w:p w:rsidR="004A5D3E" w:rsidRDefault="004A5D3E">
      <w:r>
        <w:t xml:space="preserve">Using the fields for BP, Height, and Weight, the Vital Signs for the patient can be recorded and saved into their chart. </w:t>
      </w:r>
    </w:p>
    <w:p w:rsidR="00707350" w:rsidRDefault="00707350"/>
    <w:p w:rsidR="009D2905" w:rsidRDefault="00C93B5A" w:rsidP="001D7875">
      <w:pPr>
        <w:jc w:val="center"/>
      </w:pPr>
      <w:r>
        <w:rPr>
          <w:noProof/>
        </w:rPr>
        <w:drawing>
          <wp:inline distT="0" distB="0" distL="0" distR="0" wp14:anchorId="718B72CF" wp14:editId="0DC05734">
            <wp:extent cx="5502302" cy="370472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124" cy="3704603"/>
                    </a:xfrm>
                    <a:prstGeom prst="rect">
                      <a:avLst/>
                    </a:prstGeom>
                    <a:noFill/>
                    <a:ln>
                      <a:noFill/>
                    </a:ln>
                  </pic:spPr>
                </pic:pic>
              </a:graphicData>
            </a:graphic>
          </wp:inline>
        </w:drawing>
      </w:r>
      <w:r w:rsidR="009D2905">
        <w:br w:type="page"/>
      </w:r>
    </w:p>
    <w:p w:rsidR="00CB6279" w:rsidRDefault="009D2905" w:rsidP="009D2905">
      <w:pPr>
        <w:pStyle w:val="Heading2"/>
      </w:pPr>
      <w:bookmarkStart w:id="40" w:name="_Toc390171155"/>
      <w:r w:rsidRPr="00DA0921">
        <w:rPr>
          <w:rFonts w:eastAsia="Times New Roman"/>
        </w:rPr>
        <w:t>Stage 2 - Core #5: Smoking Status</w:t>
      </w:r>
      <w:bookmarkEnd w:id="40"/>
      <w:r>
        <w:t xml:space="preserve"> </w:t>
      </w:r>
    </w:p>
    <w:p w:rsidR="009D2905" w:rsidRDefault="009D2905" w:rsidP="009D2905"/>
    <w:tbl>
      <w:tblPr>
        <w:tblW w:w="10905" w:type="dxa"/>
        <w:tblInd w:w="93" w:type="dxa"/>
        <w:tblLook w:val="04A0" w:firstRow="1" w:lastRow="0" w:firstColumn="1" w:lastColumn="0" w:noHBand="0" w:noVBand="1"/>
      </w:tblPr>
      <w:tblGrid>
        <w:gridCol w:w="1340"/>
        <w:gridCol w:w="9565"/>
      </w:tblGrid>
      <w:tr w:rsidR="00DA0921" w:rsidRPr="00DA0921" w:rsidTr="00DA0921">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DA0921" w:rsidRPr="009D2905" w:rsidRDefault="00DA0921" w:rsidP="009D2905">
            <w:pPr>
              <w:rPr>
                <w:b/>
              </w:rPr>
            </w:pPr>
            <w:r w:rsidRPr="009D2905">
              <w:rPr>
                <w:b/>
                <w:color w:val="FFFFFF" w:themeColor="background1"/>
                <w:sz w:val="32"/>
              </w:rPr>
              <w:t>Smoking Status</w:t>
            </w:r>
          </w:p>
        </w:tc>
      </w:tr>
      <w:tr w:rsidR="00DA0921" w:rsidRPr="00DA0921" w:rsidTr="00DA0921">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Record smoking status for patients 13 years old or older</w:t>
            </w:r>
          </w:p>
        </w:tc>
      </w:tr>
      <w:tr w:rsidR="00DA0921" w:rsidRPr="00DA0921" w:rsidTr="00DA0921">
        <w:trPr>
          <w:trHeight w:val="300"/>
        </w:trPr>
        <w:tc>
          <w:tcPr>
            <w:tcW w:w="1340" w:type="dxa"/>
            <w:vMerge/>
            <w:tcBorders>
              <w:top w:val="nil"/>
              <w:left w:val="single" w:sz="4" w:space="0" w:color="auto"/>
              <w:bottom w:val="nil"/>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340" w:type="dxa"/>
            <w:vMerge/>
            <w:tcBorders>
              <w:top w:val="nil"/>
              <w:left w:val="single" w:sz="4" w:space="0" w:color="auto"/>
              <w:bottom w:val="nil"/>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More than 80 percent of all unique patients 13 years old or older seen by the EP have smoking status recorded as structured data</w:t>
            </w:r>
          </w:p>
        </w:tc>
      </w:tr>
      <w:tr w:rsidR="00DA0921" w:rsidRPr="00DA0921" w:rsidTr="00DA0921">
        <w:trPr>
          <w:trHeight w:val="300"/>
        </w:trPr>
        <w:tc>
          <w:tcPr>
            <w:tcW w:w="1340" w:type="dxa"/>
            <w:vMerge/>
            <w:tcBorders>
              <w:top w:val="single" w:sz="4" w:space="0" w:color="auto"/>
              <w:left w:val="single" w:sz="4" w:space="0" w:color="auto"/>
              <w:bottom w:val="single" w:sz="4" w:space="0" w:color="000000"/>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340" w:type="dxa"/>
            <w:vMerge/>
            <w:tcBorders>
              <w:top w:val="single" w:sz="4" w:space="0" w:color="auto"/>
              <w:left w:val="single" w:sz="4" w:space="0" w:color="auto"/>
              <w:bottom w:val="single" w:sz="4" w:space="0" w:color="000000"/>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340" w:type="dxa"/>
            <w:vMerge w:val="restart"/>
            <w:tcBorders>
              <w:top w:val="nil"/>
              <w:left w:val="single" w:sz="4" w:space="0" w:color="auto"/>
              <w:bottom w:val="nil"/>
              <w:right w:val="nil"/>
            </w:tcBorders>
            <w:shd w:val="clear" w:color="000000" w:fill="1F497D"/>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Any EP that neither sees nor admits any patients 13 years old or older</w:t>
            </w:r>
          </w:p>
        </w:tc>
      </w:tr>
      <w:tr w:rsidR="00DA0921" w:rsidRPr="00DA0921" w:rsidTr="00DA0921">
        <w:trPr>
          <w:trHeight w:val="300"/>
        </w:trPr>
        <w:tc>
          <w:tcPr>
            <w:tcW w:w="1340" w:type="dxa"/>
            <w:vMerge/>
            <w:tcBorders>
              <w:top w:val="nil"/>
              <w:left w:val="single" w:sz="4" w:space="0" w:color="auto"/>
              <w:bottom w:val="nil"/>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340" w:type="dxa"/>
            <w:vMerge/>
            <w:tcBorders>
              <w:top w:val="nil"/>
              <w:left w:val="single" w:sz="4" w:space="0" w:color="auto"/>
              <w:bottom w:val="nil"/>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bl>
    <w:p w:rsidR="00CB6279" w:rsidRDefault="00CB6279"/>
    <w:tbl>
      <w:tblPr>
        <w:tblW w:w="10905" w:type="dxa"/>
        <w:tblInd w:w="93" w:type="dxa"/>
        <w:tblLook w:val="04A0" w:firstRow="1" w:lastRow="0" w:firstColumn="1" w:lastColumn="0" w:noHBand="0" w:noVBand="1"/>
      </w:tblPr>
      <w:tblGrid>
        <w:gridCol w:w="1435"/>
        <w:gridCol w:w="9470"/>
      </w:tblGrid>
      <w:tr w:rsidR="00DA0921" w:rsidRPr="00DA0921" w:rsidTr="00DA0921">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DA0921" w:rsidRPr="00DA0921" w:rsidRDefault="00DA0921" w:rsidP="00DA0921">
            <w:pPr>
              <w:rPr>
                <w:rFonts w:ascii="Calibri" w:eastAsia="Times New Roman" w:hAnsi="Calibri" w:cs="Times New Roman"/>
                <w:b/>
                <w:bCs/>
                <w:color w:val="FFFFFF"/>
                <w:sz w:val="28"/>
                <w:szCs w:val="28"/>
              </w:rPr>
            </w:pPr>
            <w:r w:rsidRPr="00DA0921">
              <w:rPr>
                <w:rFonts w:ascii="Calibri" w:eastAsia="Times New Roman" w:hAnsi="Calibri" w:cs="Times New Roman"/>
                <w:b/>
                <w:bCs/>
                <w:color w:val="FFFFFF"/>
                <w:sz w:val="28"/>
                <w:szCs w:val="28"/>
              </w:rPr>
              <w:t>Record Smoking Status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DA0921" w:rsidRPr="00DA0921" w:rsidTr="00DA0921">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Number of unique patients age 13 or older seen by the EP during the EHR reporting period</w:t>
            </w:r>
          </w:p>
        </w:tc>
      </w:tr>
      <w:tr w:rsidR="00DA0921" w:rsidRPr="00DA0921" w:rsidTr="00DA0921">
        <w:trPr>
          <w:trHeight w:val="300"/>
        </w:trPr>
        <w:tc>
          <w:tcPr>
            <w:tcW w:w="1435" w:type="dxa"/>
            <w:vMerge/>
            <w:tcBorders>
              <w:top w:val="nil"/>
              <w:left w:val="single" w:sz="4" w:space="0" w:color="auto"/>
              <w:bottom w:val="single" w:sz="4" w:space="0" w:color="000000"/>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The number of patients in the denominator with smoking status recorded as structured data</w:t>
            </w:r>
          </w:p>
        </w:tc>
      </w:tr>
      <w:tr w:rsidR="00DA0921" w:rsidRPr="00DA0921" w:rsidTr="00DA0921">
        <w:trPr>
          <w:trHeight w:val="300"/>
        </w:trPr>
        <w:tc>
          <w:tcPr>
            <w:tcW w:w="1435" w:type="dxa"/>
            <w:vMerge/>
            <w:tcBorders>
              <w:top w:val="nil"/>
              <w:left w:val="single" w:sz="4" w:space="0" w:color="auto"/>
              <w:bottom w:val="single" w:sz="4" w:space="0" w:color="000000"/>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r w:rsidR="00DA0921" w:rsidRPr="00DA0921" w:rsidTr="00DA0921">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DA0921" w:rsidRPr="00DA0921" w:rsidRDefault="00DA0921" w:rsidP="00DA0921">
            <w:pPr>
              <w:jc w:val="right"/>
              <w:rPr>
                <w:rFonts w:ascii="Calibri" w:eastAsia="Times New Roman" w:hAnsi="Calibri" w:cs="Times New Roman"/>
                <w:b/>
                <w:bCs/>
                <w:color w:val="FFFFFF"/>
              </w:rPr>
            </w:pPr>
            <w:r w:rsidRPr="00DA0921">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DA0921" w:rsidRPr="00DA0921" w:rsidRDefault="00DA0921" w:rsidP="00DA0921">
            <w:pPr>
              <w:rPr>
                <w:rFonts w:ascii="Calibri" w:eastAsia="Times New Roman" w:hAnsi="Calibri" w:cs="Times New Roman"/>
                <w:color w:val="000000"/>
              </w:rPr>
            </w:pPr>
            <w:r w:rsidRPr="00DA0921">
              <w:rPr>
                <w:rFonts w:ascii="Calibri" w:eastAsia="Times New Roman" w:hAnsi="Calibri" w:cs="Times New Roman"/>
                <w:color w:val="000000"/>
              </w:rPr>
              <w:t>The resulting percentage must be more than 80 percent in order for an EP to meet this measure</w:t>
            </w:r>
          </w:p>
        </w:tc>
      </w:tr>
      <w:tr w:rsidR="00DA0921" w:rsidRPr="00DA0921" w:rsidTr="00DA0921">
        <w:trPr>
          <w:trHeight w:val="300"/>
        </w:trPr>
        <w:tc>
          <w:tcPr>
            <w:tcW w:w="1435" w:type="dxa"/>
            <w:vMerge/>
            <w:tcBorders>
              <w:top w:val="nil"/>
              <w:left w:val="single" w:sz="4" w:space="0" w:color="auto"/>
              <w:bottom w:val="single" w:sz="4" w:space="0" w:color="000000"/>
              <w:right w:val="nil"/>
            </w:tcBorders>
            <w:vAlign w:val="center"/>
            <w:hideMark/>
          </w:tcPr>
          <w:p w:rsidR="00DA0921" w:rsidRPr="00DA0921" w:rsidRDefault="00DA0921" w:rsidP="00DA0921">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DA0921" w:rsidRPr="00DA0921" w:rsidRDefault="00DA0921" w:rsidP="00DA0921">
            <w:pPr>
              <w:rPr>
                <w:rFonts w:ascii="Calibri" w:eastAsia="Times New Roman" w:hAnsi="Calibri" w:cs="Times New Roman"/>
                <w:color w:val="000000"/>
              </w:rPr>
            </w:pPr>
          </w:p>
        </w:tc>
      </w:tr>
    </w:tbl>
    <w:p w:rsidR="00CB6279" w:rsidRDefault="00CB6279"/>
    <w:p w:rsidR="00136D9D" w:rsidRDefault="00136D9D"/>
    <w:p w:rsidR="00CB6279" w:rsidRPr="00B342CA" w:rsidRDefault="00F634C7" w:rsidP="00B85C07">
      <w:pPr>
        <w:pStyle w:val="Heading3"/>
      </w:pPr>
      <w:bookmarkStart w:id="41" w:name="_Toc390171156"/>
      <w:r w:rsidRPr="00B342CA">
        <w:t xml:space="preserve">Smoking Status: </w:t>
      </w:r>
      <w:r w:rsidR="00136D9D" w:rsidRPr="00B342CA">
        <w:t>Explanation of Measure</w:t>
      </w:r>
      <w:bookmarkEnd w:id="41"/>
    </w:p>
    <w:p w:rsidR="00B342CA" w:rsidRDefault="00B342CA"/>
    <w:p w:rsidR="00CB6279" w:rsidRDefault="00136D9D">
      <w:r>
        <w:t xml:space="preserve">This measure is based on unique patients </w:t>
      </w:r>
      <w:r w:rsidR="00064E87">
        <w:t xml:space="preserve">with a recorded visit </w:t>
      </w:r>
      <w:r>
        <w:t xml:space="preserve">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only applies to patients who were of age 13 years or older during the reporting period. For the purposes of calculation, patients younger than 13 at the start of the reporting period will </w:t>
      </w:r>
      <w:r w:rsidRPr="00136D9D">
        <w:rPr>
          <w:b/>
          <w:u w:val="single"/>
        </w:rPr>
        <w:t>not</w:t>
      </w:r>
      <w:r>
        <w:t xml:space="preserve"> be included in the denominator even if they turned 13 during the course of the reporting period. </w:t>
      </w:r>
    </w:p>
    <w:p w:rsidR="00136D9D" w:rsidRDefault="00136D9D"/>
    <w:p w:rsidR="006C6EC0" w:rsidRDefault="00136D9D" w:rsidP="00136D9D">
      <w:r>
        <w:t xml:space="preserve">Recording the Smoking Status for a patient can occur before, during or after the reporting period. This means that </w:t>
      </w:r>
      <w:r w:rsidR="006C6EC0">
        <w:t>it does not matter when the Smoking Status is recorded so long as it is done prior to generating the measures for submission to CMS. Additionally, once the Smoking Status has been recorded for a patient</w:t>
      </w:r>
      <w:r w:rsidR="004A3CDF">
        <w:t xml:space="preserve">, then that patient will always appear in the numerator for an EP that has a recorded visit with that patient during the reporting period. </w:t>
      </w:r>
    </w:p>
    <w:p w:rsidR="006C6EC0" w:rsidRDefault="006C6EC0" w:rsidP="00136D9D"/>
    <w:p w:rsidR="00136D9D" w:rsidRDefault="004A3CDF" w:rsidP="00136D9D">
      <w:r>
        <w:t>R</w:t>
      </w:r>
      <w:r w:rsidR="006C6EC0">
        <w:t>ecording the Smoking Status is not tied to an individual EP</w:t>
      </w:r>
      <w:r>
        <w:t xml:space="preserve"> within a practice</w:t>
      </w:r>
      <w:r w:rsidR="006C6EC0">
        <w:t xml:space="preserve">. All EP’s within a practice will receive credit for a patient who has their Smoking Status recorded so long as that patient has a recorded visit with the EP during the reporting period. </w:t>
      </w:r>
      <w:r>
        <w:t xml:space="preserve">This means that, once the Smoking Status for a patient has been recorded, any EP who has a recorded visit with that patient during the reporting period will have that patient appear in both the numerator and denominator for this particular measure. </w:t>
      </w:r>
    </w:p>
    <w:p w:rsidR="00064E87" w:rsidRDefault="00064E87" w:rsidP="00136D9D"/>
    <w:p w:rsidR="00F634C7" w:rsidRDefault="00F634C7" w:rsidP="00136D9D"/>
    <w:p w:rsidR="00064E87" w:rsidRDefault="00064E87" w:rsidP="00136D9D"/>
    <w:p w:rsidR="00F634C7" w:rsidRDefault="00F634C7" w:rsidP="00064E87">
      <w:pPr>
        <w:rPr>
          <w:b/>
          <w:u w:val="single"/>
        </w:rPr>
      </w:pPr>
      <w:r>
        <w:rPr>
          <w:b/>
          <w:u w:val="single"/>
        </w:rPr>
        <w:br w:type="page"/>
      </w:r>
    </w:p>
    <w:p w:rsidR="00D268A7" w:rsidRPr="004736F7" w:rsidRDefault="00D268A7" w:rsidP="00D268A7">
      <w:pPr>
        <w:pStyle w:val="Heading3"/>
      </w:pPr>
      <w:bookmarkStart w:id="42" w:name="_Toc390081317"/>
      <w:bookmarkStart w:id="43" w:name="_Toc390171157"/>
      <w:r>
        <w:t>Smoking Status</w:t>
      </w:r>
      <w:r w:rsidRPr="004736F7">
        <w:t xml:space="preserve">: </w:t>
      </w:r>
      <w:r>
        <w:t>Meaningful Use Measures</w:t>
      </w:r>
      <w:bookmarkEnd w:id="42"/>
      <w:bookmarkEnd w:id="43"/>
    </w:p>
    <w:p w:rsidR="00D268A7" w:rsidRPr="00DF721A" w:rsidRDefault="00D268A7" w:rsidP="00D268A7"/>
    <w:p w:rsidR="00D268A7" w:rsidRDefault="00D268A7" w:rsidP="00D268A7">
      <w:r>
        <w:t xml:space="preserve">There is a single line item related to Smoking Status in the Stage 2 list of Meaningful Use Measures. The name of this line item is </w:t>
      </w:r>
      <w:r>
        <w:rPr>
          <w:b/>
        </w:rPr>
        <w:t>Smoking Status</w:t>
      </w:r>
      <w:r w:rsidRPr="00FD0136">
        <w:t>.</w:t>
      </w:r>
    </w:p>
    <w:p w:rsidR="00D268A7" w:rsidRDefault="00D268A7" w:rsidP="00D268A7"/>
    <w:p w:rsidR="00D268A7" w:rsidRDefault="00D268A7" w:rsidP="00D268A7"/>
    <w:p w:rsidR="00D268A7" w:rsidRDefault="00D268A7" w:rsidP="00D268A7">
      <w:r>
        <w:rPr>
          <w:noProof/>
        </w:rPr>
        <w:drawing>
          <wp:inline distT="0" distB="0" distL="0" distR="0">
            <wp:extent cx="6854190" cy="454025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D268A7" w:rsidRDefault="00D268A7" w:rsidP="00D268A7"/>
    <w:p w:rsidR="00064E87" w:rsidRPr="00B342CA" w:rsidRDefault="00D268A7" w:rsidP="00D268A7">
      <w:pPr>
        <w:pStyle w:val="Heading3"/>
      </w:pPr>
      <w:r>
        <w:br w:type="page"/>
      </w:r>
      <w:bookmarkStart w:id="44" w:name="_Toc390171158"/>
      <w:r w:rsidR="00F634C7" w:rsidRPr="00B342CA">
        <w:t xml:space="preserve">Smoking Status: </w:t>
      </w:r>
      <w:r w:rsidR="00064E87" w:rsidRPr="00B342CA">
        <w:t>Recording of Numerator in Valant</w:t>
      </w:r>
      <w:bookmarkEnd w:id="44"/>
    </w:p>
    <w:p w:rsidR="00B342CA" w:rsidRDefault="00B342CA"/>
    <w:p w:rsidR="00CB6279" w:rsidRDefault="0063104E">
      <w:r>
        <w:t xml:space="preserve">Once a patient has a recorded visit with an EP, the Smoking Status for that patient needs to be recorded into </w:t>
      </w:r>
      <w:r w:rsidR="00F634C7">
        <w:t>the patient’s</w:t>
      </w:r>
      <w:r>
        <w:t xml:space="preserve"> chart</w:t>
      </w:r>
      <w:r w:rsidR="00F634C7">
        <w:t xml:space="preserve"> in</w:t>
      </w:r>
      <w:r w:rsidR="00F31D9D">
        <w:t xml:space="preserve"> order for the patient to count</w:t>
      </w:r>
      <w:r w:rsidR="00F634C7">
        <w:t xml:space="preserve"> towards the numerator for this measure. </w:t>
      </w:r>
      <w:r w:rsidR="00D33DAA">
        <w:t xml:space="preserve">To record Smoking Status in the patient chart, the </w:t>
      </w:r>
      <w:r w:rsidR="00D33DAA" w:rsidRPr="00140E2C">
        <w:rPr>
          <w:b/>
        </w:rPr>
        <w:t>Measurements</w:t>
      </w:r>
      <w:r w:rsidR="00D33DAA">
        <w:t xml:space="preserve"> tab must be accessed. This can be done by opening the chart and clicking on the </w:t>
      </w:r>
      <w:r w:rsidR="00D33DAA" w:rsidRPr="00140E2C">
        <w:rPr>
          <w:b/>
        </w:rPr>
        <w:t>Measurements</w:t>
      </w:r>
      <w:r w:rsidR="00D33DAA">
        <w:t xml:space="preserve"> tab located at the top of the chart. </w:t>
      </w:r>
    </w:p>
    <w:p w:rsidR="00CB6279" w:rsidRDefault="00CB6279"/>
    <w:p w:rsidR="00CB6279" w:rsidRDefault="00D33DAA">
      <w:r>
        <w:rPr>
          <w:noProof/>
        </w:rPr>
        <w:drawing>
          <wp:inline distT="0" distB="0" distL="0" distR="0" wp14:anchorId="2B2CA0AC" wp14:editId="6A1CBD66">
            <wp:extent cx="6854190" cy="12484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4190" cy="1248410"/>
                    </a:xfrm>
                    <a:prstGeom prst="rect">
                      <a:avLst/>
                    </a:prstGeom>
                    <a:noFill/>
                    <a:ln>
                      <a:noFill/>
                    </a:ln>
                  </pic:spPr>
                </pic:pic>
              </a:graphicData>
            </a:graphic>
          </wp:inline>
        </w:drawing>
      </w:r>
    </w:p>
    <w:p w:rsidR="00CB6279" w:rsidRDefault="00CB6279"/>
    <w:p w:rsidR="00D33DAA" w:rsidRDefault="00140E2C">
      <w:r>
        <w:t xml:space="preserve">Once in the </w:t>
      </w:r>
      <w:r w:rsidRPr="00140E2C">
        <w:rPr>
          <w:b/>
        </w:rPr>
        <w:t>Measurements</w:t>
      </w:r>
      <w:r>
        <w:t xml:space="preserve"> section of the chart, clicking on the </w:t>
      </w:r>
      <w:r w:rsidRPr="00140E2C">
        <w:rPr>
          <w:b/>
        </w:rPr>
        <w:t>New Measurement</w:t>
      </w:r>
      <w:r>
        <w:t xml:space="preserve"> button located in the upper right corner of the page will allow the user to record a new measurement into the </w:t>
      </w:r>
      <w:r w:rsidR="00F31D9D">
        <w:t xml:space="preserve">chart </w:t>
      </w:r>
      <w:r>
        <w:t xml:space="preserve">for this patient. </w:t>
      </w:r>
    </w:p>
    <w:p w:rsidR="00D33DAA" w:rsidRDefault="00D33DAA"/>
    <w:p w:rsidR="00D33DAA" w:rsidRDefault="00140E2C">
      <w:r>
        <w:rPr>
          <w:noProof/>
        </w:rPr>
        <w:drawing>
          <wp:inline distT="0" distB="0" distL="0" distR="0" wp14:anchorId="6B9AE6DE" wp14:editId="3097B34F">
            <wp:extent cx="6854190" cy="10890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4190" cy="1089025"/>
                    </a:xfrm>
                    <a:prstGeom prst="rect">
                      <a:avLst/>
                    </a:prstGeom>
                    <a:noFill/>
                    <a:ln>
                      <a:noFill/>
                    </a:ln>
                  </pic:spPr>
                </pic:pic>
              </a:graphicData>
            </a:graphic>
          </wp:inline>
        </w:drawing>
      </w:r>
    </w:p>
    <w:p w:rsidR="00D33DAA" w:rsidRDefault="00D33DAA"/>
    <w:p w:rsidR="0075291C" w:rsidRDefault="0075291C"/>
    <w:p w:rsidR="00CB6279" w:rsidRDefault="00140E2C">
      <w:r>
        <w:t xml:space="preserve">Clicking on the </w:t>
      </w:r>
      <w:r w:rsidRPr="00140E2C">
        <w:rPr>
          <w:b/>
        </w:rPr>
        <w:t>New Measurement</w:t>
      </w:r>
      <w:r>
        <w:t xml:space="preserve"> button will result in the </w:t>
      </w:r>
      <w:r w:rsidRPr="00140E2C">
        <w:rPr>
          <w:b/>
        </w:rPr>
        <w:t>Add Measurement</w:t>
      </w:r>
      <w:r>
        <w:t xml:space="preserve"> window opening. To record a new Smoking Status, the </w:t>
      </w:r>
      <w:r w:rsidRPr="00140E2C">
        <w:rPr>
          <w:b/>
        </w:rPr>
        <w:t>Measurement Type</w:t>
      </w:r>
      <w:r>
        <w:t xml:space="preserve"> field must </w:t>
      </w:r>
      <w:r w:rsidR="0075291C">
        <w:t>be used.</w:t>
      </w:r>
      <w:r w:rsidR="0075291C" w:rsidRPr="0075291C">
        <w:t xml:space="preserve"> </w:t>
      </w:r>
      <w:r w:rsidR="0075291C">
        <w:t xml:space="preserve">Clicking on the arrow will present a drop down list of all of the available measurements that can be recorded for this patient. </w:t>
      </w:r>
      <w:r w:rsidR="00F31D9D">
        <w:t xml:space="preserve">The option for </w:t>
      </w:r>
      <w:r w:rsidR="0075291C" w:rsidRPr="0075291C">
        <w:rPr>
          <w:b/>
        </w:rPr>
        <w:t>Smoking Status</w:t>
      </w:r>
      <w:r w:rsidR="0075291C">
        <w:t xml:space="preserve"> should be selected from the </w:t>
      </w:r>
      <w:r w:rsidR="00F31D9D">
        <w:t>list.</w:t>
      </w:r>
    </w:p>
    <w:p w:rsidR="00CB6279" w:rsidRDefault="0075291C" w:rsidP="0075291C">
      <w:pPr>
        <w:jc w:val="center"/>
      </w:pPr>
      <w:r>
        <w:rPr>
          <w:noProof/>
        </w:rPr>
        <w:drawing>
          <wp:inline distT="0" distB="0" distL="0" distR="0" wp14:anchorId="46C69D50" wp14:editId="4C8DE811">
            <wp:extent cx="47625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140E2C" w:rsidRDefault="00140E2C"/>
    <w:p w:rsidR="00140E2C" w:rsidRDefault="00F30C29">
      <w:r>
        <w:t xml:space="preserve">Once </w:t>
      </w:r>
      <w:r w:rsidRPr="00F30C29">
        <w:rPr>
          <w:b/>
        </w:rPr>
        <w:t>Smoking Status</w:t>
      </w:r>
      <w:r>
        <w:t xml:space="preserve"> has been selected for the </w:t>
      </w:r>
      <w:r w:rsidRPr="00F30C29">
        <w:rPr>
          <w:b/>
        </w:rPr>
        <w:t>Measurement Type</w:t>
      </w:r>
      <w:r>
        <w:t xml:space="preserve">, the next step is to record the value for this measurement. </w:t>
      </w:r>
      <w:r w:rsidR="002C49CB">
        <w:t xml:space="preserve">Using the </w:t>
      </w:r>
      <w:r w:rsidR="002C49CB" w:rsidRPr="002C49CB">
        <w:rPr>
          <w:b/>
        </w:rPr>
        <w:t>Value</w:t>
      </w:r>
      <w:r w:rsidR="002C49CB">
        <w:t xml:space="preserve"> field, select the Smoking Status for this patient. The options listed are defined by CMS for the Meaningful Use program. One of the items in the list must be selected in order to count towards recording the Smoking Status for a patient. </w:t>
      </w:r>
    </w:p>
    <w:p w:rsidR="00140E2C" w:rsidRDefault="00140E2C"/>
    <w:p w:rsidR="00140E2C" w:rsidRDefault="002C49CB" w:rsidP="002C49CB">
      <w:pPr>
        <w:jc w:val="center"/>
      </w:pPr>
      <w:r>
        <w:rPr>
          <w:noProof/>
        </w:rPr>
        <w:drawing>
          <wp:inline distT="0" distB="0" distL="0" distR="0" wp14:anchorId="7B0CC47D" wp14:editId="33DAFA54">
            <wp:extent cx="4763135" cy="3347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3347720"/>
                    </a:xfrm>
                    <a:prstGeom prst="rect">
                      <a:avLst/>
                    </a:prstGeom>
                    <a:noFill/>
                    <a:ln>
                      <a:noFill/>
                    </a:ln>
                  </pic:spPr>
                </pic:pic>
              </a:graphicData>
            </a:graphic>
          </wp:inline>
        </w:drawing>
      </w:r>
    </w:p>
    <w:p w:rsidR="00140E2C" w:rsidRDefault="00140E2C"/>
    <w:p w:rsidR="00140E2C" w:rsidRDefault="00140E2C" w:rsidP="0075291C">
      <w:pPr>
        <w:jc w:val="center"/>
      </w:pPr>
    </w:p>
    <w:p w:rsidR="00B16040" w:rsidRDefault="00B16040" w:rsidP="0075291C">
      <w:pPr>
        <w:jc w:val="center"/>
      </w:pPr>
    </w:p>
    <w:p w:rsidR="002C49CB" w:rsidRDefault="002C49CB" w:rsidP="0075291C">
      <w:pPr>
        <w:jc w:val="center"/>
      </w:pPr>
    </w:p>
    <w:p w:rsidR="00CB6279" w:rsidRDefault="002C49CB">
      <w:r>
        <w:t xml:space="preserve">Once a </w:t>
      </w:r>
      <w:r w:rsidRPr="002C49CB">
        <w:rPr>
          <w:b/>
        </w:rPr>
        <w:t>Value</w:t>
      </w:r>
      <w:r>
        <w:t xml:space="preserve"> has been selected for </w:t>
      </w:r>
      <w:r w:rsidRPr="002C49CB">
        <w:rPr>
          <w:b/>
        </w:rPr>
        <w:t>Smoking Status</w:t>
      </w:r>
      <w:r>
        <w:t xml:space="preserve">, clicking the </w:t>
      </w:r>
      <w:r w:rsidRPr="002C49CB">
        <w:rPr>
          <w:b/>
        </w:rPr>
        <w:t>OK</w:t>
      </w:r>
      <w:r>
        <w:t xml:space="preserve"> button will enter the Smoking Status into the list of Measurements for this patient. Assuming this patient has a recorded visit with the EP, this patient will count towards the numerator for the Smoking Status measure for Stage 2 under Meaningful Use 2014. </w:t>
      </w:r>
      <w:r w:rsidR="00B16040">
        <w:t xml:space="preserve">No further work is required and this patient will always be included in the numerator for any EP who has a recorded visit with this patient during the reporting period. </w:t>
      </w:r>
    </w:p>
    <w:p w:rsidR="00CB6279" w:rsidRDefault="00CB6279"/>
    <w:p w:rsidR="009D2905" w:rsidRDefault="002C49CB">
      <w:r>
        <w:rPr>
          <w:noProof/>
        </w:rPr>
        <w:drawing>
          <wp:inline distT="0" distB="0" distL="0" distR="0" wp14:anchorId="72C23936" wp14:editId="2019BE83">
            <wp:extent cx="6854190" cy="11449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4190" cy="1144905"/>
                    </a:xfrm>
                    <a:prstGeom prst="rect">
                      <a:avLst/>
                    </a:prstGeom>
                    <a:noFill/>
                    <a:ln>
                      <a:noFill/>
                    </a:ln>
                  </pic:spPr>
                </pic:pic>
              </a:graphicData>
            </a:graphic>
          </wp:inline>
        </w:drawing>
      </w:r>
    </w:p>
    <w:p w:rsidR="002C49CB" w:rsidRDefault="002C49CB">
      <w:r>
        <w:br w:type="page"/>
      </w:r>
    </w:p>
    <w:p w:rsidR="002C49CB" w:rsidRDefault="002C49CB">
      <w:pPr>
        <w:rPr>
          <w:noProof/>
        </w:rPr>
      </w:pPr>
      <w:r>
        <w:rPr>
          <w:noProof/>
        </w:rPr>
        <w:t xml:space="preserve">If a </w:t>
      </w:r>
      <w:r w:rsidRPr="001E03C8">
        <w:rPr>
          <w:b/>
          <w:noProof/>
        </w:rPr>
        <w:t>Smoking Status</w:t>
      </w:r>
      <w:r>
        <w:rPr>
          <w:noProof/>
        </w:rPr>
        <w:t xml:space="preserve"> was entered incorrectly, the value can be changed by selecting the </w:t>
      </w:r>
      <w:r w:rsidRPr="001E03C8">
        <w:rPr>
          <w:b/>
          <w:noProof/>
        </w:rPr>
        <w:t>Measurement</w:t>
      </w:r>
      <w:r>
        <w:rPr>
          <w:noProof/>
        </w:rPr>
        <w:t xml:space="preserve"> from the table above and the using the </w:t>
      </w:r>
      <w:r w:rsidRPr="001E03C8">
        <w:rPr>
          <w:b/>
          <w:noProof/>
        </w:rPr>
        <w:t>Action</w:t>
      </w:r>
      <w:r>
        <w:rPr>
          <w:noProof/>
        </w:rPr>
        <w:t xml:space="preserve"> button on the </w:t>
      </w:r>
      <w:r w:rsidR="001E03C8">
        <w:rPr>
          <w:noProof/>
        </w:rPr>
        <w:t xml:space="preserve">details below. The value can be changed by using the </w:t>
      </w:r>
      <w:r w:rsidR="001E03C8" w:rsidRPr="001E03C8">
        <w:rPr>
          <w:b/>
          <w:noProof/>
        </w:rPr>
        <w:t>Edit</w:t>
      </w:r>
      <w:r w:rsidR="001E03C8">
        <w:rPr>
          <w:noProof/>
        </w:rPr>
        <w:t xml:space="preserve"> option or the entry can be removed by using the </w:t>
      </w:r>
      <w:r w:rsidR="001E03C8" w:rsidRPr="001E03C8">
        <w:rPr>
          <w:b/>
          <w:noProof/>
        </w:rPr>
        <w:t>Inactivate</w:t>
      </w:r>
      <w:r w:rsidR="001E03C8">
        <w:rPr>
          <w:noProof/>
        </w:rPr>
        <w:t xml:space="preserve"> option. The </w:t>
      </w:r>
      <w:r w:rsidR="001E03C8" w:rsidRPr="001E03C8">
        <w:rPr>
          <w:b/>
          <w:noProof/>
        </w:rPr>
        <w:t>History</w:t>
      </w:r>
      <w:r w:rsidR="001E03C8">
        <w:rPr>
          <w:noProof/>
        </w:rPr>
        <w:t xml:space="preserve"> option displays the audit record for all of the changes that were made for this particular entry.</w:t>
      </w:r>
    </w:p>
    <w:p w:rsidR="002C49CB" w:rsidRDefault="002C49CB">
      <w:pPr>
        <w:rPr>
          <w:noProof/>
        </w:rPr>
      </w:pPr>
    </w:p>
    <w:p w:rsidR="002C49CB" w:rsidRDefault="002C49CB">
      <w:pPr>
        <w:rPr>
          <w:noProof/>
        </w:rPr>
      </w:pPr>
    </w:p>
    <w:p w:rsidR="009D2905" w:rsidRDefault="002C49CB">
      <w:r>
        <w:rPr>
          <w:noProof/>
        </w:rPr>
        <w:drawing>
          <wp:inline distT="0" distB="0" distL="0" distR="0" wp14:anchorId="16AE5EAA" wp14:editId="3A7266A4">
            <wp:extent cx="6854190" cy="25044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4190" cy="2504440"/>
                    </a:xfrm>
                    <a:prstGeom prst="rect">
                      <a:avLst/>
                    </a:prstGeom>
                    <a:noFill/>
                    <a:ln>
                      <a:noFill/>
                    </a:ln>
                  </pic:spPr>
                </pic:pic>
              </a:graphicData>
            </a:graphic>
          </wp:inline>
        </w:drawing>
      </w:r>
    </w:p>
    <w:p w:rsidR="009D2905" w:rsidRDefault="009D2905">
      <w:r>
        <w:br w:type="page"/>
      </w:r>
    </w:p>
    <w:p w:rsidR="001E03C8" w:rsidRDefault="009D2905" w:rsidP="009D2905">
      <w:pPr>
        <w:pStyle w:val="Heading2"/>
        <w:rPr>
          <w:rFonts w:eastAsia="Times New Roman"/>
        </w:rPr>
      </w:pPr>
      <w:bookmarkStart w:id="45" w:name="_Toc390171159"/>
      <w:r w:rsidRPr="00412666">
        <w:rPr>
          <w:rFonts w:eastAsia="Times New Roman"/>
        </w:rPr>
        <w:t>Stage 2 - Core #6: Clinical Decision Support</w:t>
      </w:r>
      <w:r>
        <w:rPr>
          <w:rFonts w:eastAsia="Times New Roman"/>
        </w:rPr>
        <w:t xml:space="preserve"> (CDS)</w:t>
      </w:r>
      <w:bookmarkEnd w:id="45"/>
    </w:p>
    <w:p w:rsidR="009D2905" w:rsidRDefault="009D2905"/>
    <w:tbl>
      <w:tblPr>
        <w:tblW w:w="10815" w:type="dxa"/>
        <w:tblInd w:w="93" w:type="dxa"/>
        <w:tblLook w:val="04A0" w:firstRow="1" w:lastRow="0" w:firstColumn="1" w:lastColumn="0" w:noHBand="0" w:noVBand="1"/>
      </w:tblPr>
      <w:tblGrid>
        <w:gridCol w:w="1340"/>
        <w:gridCol w:w="9475"/>
      </w:tblGrid>
      <w:tr w:rsidR="00412666" w:rsidRPr="00412666" w:rsidTr="00412666">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412666" w:rsidRPr="009D2905" w:rsidRDefault="00412666" w:rsidP="009D2905">
            <w:pPr>
              <w:rPr>
                <w:b/>
              </w:rPr>
            </w:pPr>
            <w:r w:rsidRPr="009D2905">
              <w:rPr>
                <w:b/>
                <w:color w:val="FFFFFF" w:themeColor="background1"/>
                <w:sz w:val="32"/>
              </w:rPr>
              <w:t>Clinical Decision Support (CDS)</w:t>
            </w:r>
          </w:p>
        </w:tc>
      </w:tr>
      <w:tr w:rsidR="00412666" w:rsidRPr="00412666" w:rsidTr="00412666">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412666" w:rsidRPr="00412666" w:rsidRDefault="00412666" w:rsidP="00412666">
            <w:pPr>
              <w:jc w:val="right"/>
              <w:rPr>
                <w:rFonts w:ascii="Calibri" w:eastAsia="Times New Roman" w:hAnsi="Calibri" w:cs="Times New Roman"/>
                <w:b/>
                <w:bCs/>
                <w:color w:val="FFFFFF"/>
              </w:rPr>
            </w:pPr>
            <w:r w:rsidRPr="00412666">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412666" w:rsidRPr="00412666" w:rsidRDefault="00412666" w:rsidP="00412666">
            <w:pPr>
              <w:rPr>
                <w:rFonts w:ascii="Calibri" w:eastAsia="Times New Roman" w:hAnsi="Calibri" w:cs="Times New Roman"/>
                <w:color w:val="000000"/>
              </w:rPr>
            </w:pPr>
            <w:r w:rsidRPr="00412666">
              <w:rPr>
                <w:rFonts w:ascii="Calibri" w:eastAsia="Times New Roman" w:hAnsi="Calibri" w:cs="Times New Roman"/>
                <w:color w:val="000000"/>
              </w:rPr>
              <w:t>Use clinical decision support to improve performance on high-priority health conditions</w:t>
            </w:r>
          </w:p>
        </w:tc>
      </w:tr>
      <w:tr w:rsidR="00412666" w:rsidRPr="00412666" w:rsidTr="00412666">
        <w:trPr>
          <w:trHeight w:val="300"/>
        </w:trPr>
        <w:tc>
          <w:tcPr>
            <w:tcW w:w="1340" w:type="dxa"/>
            <w:vMerge/>
            <w:tcBorders>
              <w:top w:val="nil"/>
              <w:left w:val="single" w:sz="4" w:space="0" w:color="auto"/>
              <w:bottom w:val="nil"/>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r w:rsidR="00412666" w:rsidRPr="00412666" w:rsidTr="00412666">
        <w:trPr>
          <w:trHeight w:val="300"/>
        </w:trPr>
        <w:tc>
          <w:tcPr>
            <w:tcW w:w="1340" w:type="dxa"/>
            <w:vMerge/>
            <w:tcBorders>
              <w:top w:val="nil"/>
              <w:left w:val="single" w:sz="4" w:space="0" w:color="auto"/>
              <w:bottom w:val="nil"/>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r w:rsidR="00412666" w:rsidRPr="00412666" w:rsidTr="00412666">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412666" w:rsidRPr="00412666" w:rsidRDefault="00412666" w:rsidP="00412666">
            <w:pPr>
              <w:jc w:val="right"/>
              <w:rPr>
                <w:rFonts w:ascii="Calibri" w:eastAsia="Times New Roman" w:hAnsi="Calibri" w:cs="Times New Roman"/>
                <w:b/>
                <w:bCs/>
                <w:color w:val="FFFFFF"/>
              </w:rPr>
            </w:pPr>
            <w:r w:rsidRPr="00412666">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412666" w:rsidRDefault="00412666" w:rsidP="00412666">
            <w:pPr>
              <w:rPr>
                <w:rFonts w:ascii="Calibri" w:eastAsia="Times New Roman" w:hAnsi="Calibri" w:cs="Times New Roman"/>
                <w:color w:val="000000"/>
              </w:rPr>
            </w:pPr>
            <w:r w:rsidRPr="00412666">
              <w:rPr>
                <w:rFonts w:ascii="Calibri" w:eastAsia="Times New Roman" w:hAnsi="Calibri" w:cs="Times New Roman"/>
                <w:b/>
                <w:color w:val="000000"/>
              </w:rPr>
              <w:t xml:space="preserve">Measure 1: </w:t>
            </w:r>
            <w:r w:rsidRPr="00412666">
              <w:rPr>
                <w:rFonts w:ascii="Calibri" w:eastAsia="Times New Roman" w:hAnsi="Calibri" w:cs="Times New Roman"/>
                <w:color w:val="000000"/>
              </w:rPr>
              <w:br/>
              <w:t xml:space="preserve">Implement five clinical decision support interventions related to four or more clinical quality measures at a relevant point in patient care for the entire EHR reporting period. Absent four clinical quality measures related to an EP’s scope of practice or patient population, the clinical decision support interventions must be related to high-priority health conditions. </w:t>
            </w:r>
          </w:p>
          <w:p w:rsidR="00412666" w:rsidRPr="00412666" w:rsidRDefault="00412666" w:rsidP="00412666">
            <w:pPr>
              <w:rPr>
                <w:rFonts w:ascii="Calibri" w:eastAsia="Times New Roman" w:hAnsi="Calibri" w:cs="Times New Roman"/>
                <w:b/>
                <w:color w:val="000000"/>
              </w:rPr>
            </w:pPr>
            <w:r w:rsidRPr="00412666">
              <w:rPr>
                <w:rFonts w:ascii="Calibri" w:eastAsia="Times New Roman" w:hAnsi="Calibri" w:cs="Times New Roman"/>
                <w:b/>
                <w:color w:val="000000"/>
              </w:rPr>
              <w:t xml:space="preserve">Measure 2: </w:t>
            </w:r>
          </w:p>
          <w:p w:rsidR="00412666" w:rsidRPr="00412666" w:rsidRDefault="00412666" w:rsidP="00412666">
            <w:pPr>
              <w:rPr>
                <w:rFonts w:ascii="Calibri" w:eastAsia="Times New Roman" w:hAnsi="Calibri" w:cs="Times New Roman"/>
                <w:color w:val="000000"/>
              </w:rPr>
            </w:pPr>
            <w:r w:rsidRPr="00412666">
              <w:rPr>
                <w:rFonts w:ascii="Calibri" w:eastAsia="Times New Roman" w:hAnsi="Calibri" w:cs="Times New Roman"/>
                <w:color w:val="000000"/>
              </w:rPr>
              <w:t>The EP has enabled and implemented the functionality for drug-drug and drug-allergy interaction checks for the entire EHR reporting period</w:t>
            </w:r>
          </w:p>
        </w:tc>
      </w:tr>
      <w:tr w:rsidR="00412666" w:rsidRPr="00412666" w:rsidTr="0041266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r w:rsidR="00412666" w:rsidRPr="00412666" w:rsidTr="0041266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r w:rsidR="00412666" w:rsidRPr="00412666" w:rsidTr="00412666">
        <w:trPr>
          <w:trHeight w:val="300"/>
        </w:trPr>
        <w:tc>
          <w:tcPr>
            <w:tcW w:w="1340" w:type="dxa"/>
            <w:vMerge w:val="restart"/>
            <w:tcBorders>
              <w:top w:val="nil"/>
              <w:left w:val="single" w:sz="4" w:space="0" w:color="auto"/>
              <w:bottom w:val="nil"/>
              <w:right w:val="nil"/>
            </w:tcBorders>
            <w:shd w:val="clear" w:color="000000" w:fill="1F497D"/>
            <w:vAlign w:val="center"/>
            <w:hideMark/>
          </w:tcPr>
          <w:p w:rsidR="00412666" w:rsidRPr="00412666" w:rsidRDefault="00412666" w:rsidP="00412666">
            <w:pPr>
              <w:jc w:val="right"/>
              <w:rPr>
                <w:rFonts w:ascii="Calibri" w:eastAsia="Times New Roman" w:hAnsi="Calibri" w:cs="Times New Roman"/>
                <w:b/>
                <w:bCs/>
                <w:color w:val="FFFFFF"/>
              </w:rPr>
            </w:pPr>
            <w:r w:rsidRPr="00412666">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412666" w:rsidRPr="00412666" w:rsidRDefault="00412666" w:rsidP="00412666">
            <w:pPr>
              <w:rPr>
                <w:rFonts w:ascii="Calibri" w:eastAsia="Times New Roman" w:hAnsi="Calibri" w:cs="Times New Roman"/>
                <w:color w:val="000000"/>
              </w:rPr>
            </w:pPr>
            <w:r w:rsidRPr="00412666">
              <w:rPr>
                <w:rFonts w:ascii="Calibri" w:eastAsia="Times New Roman" w:hAnsi="Calibri" w:cs="Times New Roman"/>
                <w:color w:val="000000"/>
              </w:rPr>
              <w:t>For the second measure, any EP who writes fewer than 100 medication orders during the EHR reporting period</w:t>
            </w:r>
          </w:p>
        </w:tc>
      </w:tr>
      <w:tr w:rsidR="00412666" w:rsidRPr="00412666" w:rsidTr="00412666">
        <w:trPr>
          <w:trHeight w:val="300"/>
        </w:trPr>
        <w:tc>
          <w:tcPr>
            <w:tcW w:w="1340" w:type="dxa"/>
            <w:vMerge/>
            <w:tcBorders>
              <w:top w:val="nil"/>
              <w:left w:val="single" w:sz="4" w:space="0" w:color="auto"/>
              <w:bottom w:val="nil"/>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r w:rsidR="00412666" w:rsidRPr="00412666" w:rsidTr="00412666">
        <w:trPr>
          <w:trHeight w:val="300"/>
        </w:trPr>
        <w:tc>
          <w:tcPr>
            <w:tcW w:w="1340" w:type="dxa"/>
            <w:vMerge/>
            <w:tcBorders>
              <w:top w:val="nil"/>
              <w:left w:val="single" w:sz="4" w:space="0" w:color="auto"/>
              <w:bottom w:val="nil"/>
              <w:right w:val="nil"/>
            </w:tcBorders>
            <w:vAlign w:val="center"/>
            <w:hideMark/>
          </w:tcPr>
          <w:p w:rsidR="00412666" w:rsidRPr="00412666" w:rsidRDefault="00412666" w:rsidP="0041266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412666" w:rsidRPr="00412666" w:rsidRDefault="00412666" w:rsidP="00412666">
            <w:pPr>
              <w:rPr>
                <w:rFonts w:ascii="Calibri" w:eastAsia="Times New Roman" w:hAnsi="Calibri" w:cs="Times New Roman"/>
                <w:color w:val="000000"/>
              </w:rPr>
            </w:pPr>
          </w:p>
        </w:tc>
      </w:tr>
    </w:tbl>
    <w:p w:rsidR="00C67D13" w:rsidRDefault="00C67D13"/>
    <w:tbl>
      <w:tblPr>
        <w:tblW w:w="10815" w:type="dxa"/>
        <w:tblInd w:w="93" w:type="dxa"/>
        <w:tblLook w:val="04A0" w:firstRow="1" w:lastRow="0" w:firstColumn="1" w:lastColumn="0" w:noHBand="0" w:noVBand="1"/>
      </w:tblPr>
      <w:tblGrid>
        <w:gridCol w:w="1435"/>
        <w:gridCol w:w="9380"/>
      </w:tblGrid>
      <w:tr w:rsidR="009D2905" w:rsidRPr="00244863" w:rsidTr="00E47F9F">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9D2905" w:rsidRPr="00244863" w:rsidRDefault="009D2905" w:rsidP="00E47F9F">
            <w:pPr>
              <w:rPr>
                <w:rFonts w:ascii="Calibri" w:eastAsia="Times New Roman" w:hAnsi="Calibri" w:cs="Times New Roman"/>
                <w:b/>
                <w:bCs/>
                <w:color w:val="FFFFFF"/>
                <w:sz w:val="28"/>
                <w:szCs w:val="28"/>
              </w:rPr>
            </w:pPr>
            <w:r w:rsidRPr="009D2905">
              <w:rPr>
                <w:rFonts w:ascii="Calibri" w:eastAsia="Times New Roman" w:hAnsi="Calibri" w:cs="Times New Roman"/>
                <w:b/>
                <w:bCs/>
                <w:color w:val="FFFFFF"/>
                <w:sz w:val="28"/>
                <w:szCs w:val="28"/>
              </w:rPr>
              <w:t>Clinical Decision Support (CDS)</w:t>
            </w:r>
            <w:r>
              <w:rPr>
                <w:rFonts w:ascii="Calibri" w:eastAsia="Times New Roman" w:hAnsi="Calibri" w:cs="Times New Roman"/>
                <w:b/>
                <w:bCs/>
                <w:color w:val="FFFFFF"/>
                <w:sz w:val="28"/>
                <w:szCs w:val="28"/>
              </w:rPr>
              <w:t>: Attestation Requirements</w:t>
            </w:r>
          </w:p>
        </w:tc>
      </w:tr>
      <w:tr w:rsidR="009D2905" w:rsidRPr="00244863" w:rsidTr="00E47F9F">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9D2905" w:rsidRPr="00244863" w:rsidRDefault="009D2905" w:rsidP="00E47F9F">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9D2905" w:rsidRPr="00244863" w:rsidRDefault="009D2905" w:rsidP="009D2905">
            <w:pPr>
              <w:rPr>
                <w:rFonts w:ascii="Calibri" w:eastAsia="Times New Roman" w:hAnsi="Calibri" w:cs="Times New Roman"/>
                <w:color w:val="000000"/>
              </w:rPr>
            </w:pPr>
            <w:r w:rsidRPr="009D2905">
              <w:rPr>
                <w:rFonts w:ascii="Calibri" w:eastAsia="Times New Roman" w:hAnsi="Calibri" w:cs="Times New Roman"/>
                <w:color w:val="000000"/>
              </w:rPr>
              <w:t xml:space="preserve">EPs must attest YES to implementing five clinical decision support </w:t>
            </w:r>
            <w:r>
              <w:rPr>
                <w:rFonts w:ascii="Calibri" w:eastAsia="Times New Roman" w:hAnsi="Calibri" w:cs="Times New Roman"/>
                <w:color w:val="000000"/>
              </w:rPr>
              <w:t xml:space="preserve">interventions and enabling and </w:t>
            </w:r>
            <w:r w:rsidRPr="009D2905">
              <w:rPr>
                <w:rFonts w:ascii="Calibri" w:eastAsia="Times New Roman" w:hAnsi="Calibri" w:cs="Times New Roman"/>
                <w:color w:val="000000"/>
              </w:rPr>
              <w:t>implementing functionality for drug-drug and drug-allergy interaction to meet this measure.</w:t>
            </w:r>
          </w:p>
        </w:tc>
      </w:tr>
      <w:tr w:rsidR="009D2905" w:rsidRPr="00244863" w:rsidTr="00E47F9F">
        <w:trPr>
          <w:trHeight w:val="300"/>
        </w:trPr>
        <w:tc>
          <w:tcPr>
            <w:tcW w:w="1435" w:type="dxa"/>
            <w:vMerge/>
            <w:tcBorders>
              <w:top w:val="nil"/>
              <w:left w:val="single" w:sz="4" w:space="0" w:color="auto"/>
              <w:bottom w:val="single" w:sz="4" w:space="0" w:color="000000"/>
              <w:right w:val="nil"/>
            </w:tcBorders>
            <w:vAlign w:val="center"/>
            <w:hideMark/>
          </w:tcPr>
          <w:p w:rsidR="009D2905" w:rsidRPr="00244863" w:rsidRDefault="009D2905" w:rsidP="00E47F9F">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D2905" w:rsidRPr="00244863" w:rsidRDefault="009D2905" w:rsidP="00E47F9F">
            <w:pPr>
              <w:rPr>
                <w:rFonts w:ascii="Calibri" w:eastAsia="Times New Roman" w:hAnsi="Calibri" w:cs="Times New Roman"/>
                <w:color w:val="000000"/>
              </w:rPr>
            </w:pPr>
          </w:p>
        </w:tc>
      </w:tr>
      <w:tr w:rsidR="009D2905" w:rsidRPr="00244863" w:rsidTr="00E47F9F">
        <w:trPr>
          <w:trHeight w:val="300"/>
        </w:trPr>
        <w:tc>
          <w:tcPr>
            <w:tcW w:w="1435" w:type="dxa"/>
            <w:vMerge/>
            <w:tcBorders>
              <w:top w:val="nil"/>
              <w:left w:val="single" w:sz="4" w:space="0" w:color="auto"/>
              <w:bottom w:val="single" w:sz="4" w:space="0" w:color="000000"/>
              <w:right w:val="nil"/>
            </w:tcBorders>
            <w:vAlign w:val="center"/>
            <w:hideMark/>
          </w:tcPr>
          <w:p w:rsidR="009D2905" w:rsidRPr="00244863" w:rsidRDefault="009D2905" w:rsidP="00E47F9F">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D2905" w:rsidRPr="00244863" w:rsidRDefault="009D2905" w:rsidP="00E47F9F">
            <w:pPr>
              <w:rPr>
                <w:rFonts w:ascii="Calibri" w:eastAsia="Times New Roman" w:hAnsi="Calibri" w:cs="Times New Roman"/>
                <w:color w:val="000000"/>
              </w:rPr>
            </w:pPr>
          </w:p>
        </w:tc>
      </w:tr>
    </w:tbl>
    <w:p w:rsidR="00CB6279" w:rsidRDefault="00CB6279"/>
    <w:p w:rsidR="00C67D13" w:rsidRDefault="00C67D13"/>
    <w:p w:rsidR="00412666" w:rsidRPr="008B51F5" w:rsidRDefault="00412666" w:rsidP="00B85C07">
      <w:pPr>
        <w:pStyle w:val="Heading3"/>
      </w:pPr>
      <w:bookmarkStart w:id="46" w:name="_Toc390171160"/>
      <w:r w:rsidRPr="008B51F5">
        <w:t>Clinical Decision Support: Explanation of Measure</w:t>
      </w:r>
      <w:bookmarkEnd w:id="46"/>
    </w:p>
    <w:p w:rsidR="00BA4426" w:rsidRDefault="00BA4426" w:rsidP="00412666">
      <w:pPr>
        <w:rPr>
          <w:b/>
        </w:rPr>
      </w:pPr>
    </w:p>
    <w:p w:rsidR="00F54C5A" w:rsidRPr="00D85E2F" w:rsidRDefault="00F54C5A" w:rsidP="00412666">
      <w:pPr>
        <w:rPr>
          <w:b/>
          <w:u w:val="single"/>
        </w:rPr>
      </w:pPr>
      <w:r w:rsidRPr="00D85E2F">
        <w:rPr>
          <w:b/>
          <w:u w:val="single"/>
        </w:rPr>
        <w:t>Measure 1:</w:t>
      </w:r>
    </w:p>
    <w:p w:rsidR="00D85E2F" w:rsidRDefault="00D85E2F" w:rsidP="008215A5"/>
    <w:p w:rsidR="008215A5" w:rsidRDefault="008215A5" w:rsidP="008215A5">
      <w:r>
        <w:t xml:space="preserve">This measure does not have a numerator, denominator or reporting threshold. Instead, it is a Yes/No attestation by the EP. This means that there is nothing to track within the </w:t>
      </w:r>
      <w:r w:rsidR="008D3D1A">
        <w:t>C</w:t>
      </w:r>
      <w:r>
        <w:t>EHR</w:t>
      </w:r>
      <w:r w:rsidR="008D3D1A">
        <w:t>T</w:t>
      </w:r>
      <w:r>
        <w:t xml:space="preserve"> as far as reporting specific numbers. Instead, the EP is supposed to have their CEHRT configured appropriately during the reporting period to ensure that they have met the stated requirements. </w:t>
      </w:r>
    </w:p>
    <w:p w:rsidR="00F54C5A" w:rsidRDefault="00F54C5A" w:rsidP="00412666"/>
    <w:p w:rsidR="008215A5" w:rsidRDefault="00BA4426" w:rsidP="00412666">
      <w:r>
        <w:t xml:space="preserve">Clinical Decision Support (CDS) interventions are configured in the ADMIN side of Valant. A majority of the CDS interventions are directly related to specific Clinical Quality Measures (CQM’s). The Administrator of a practice is able to configure each EP such that a subset or the complete list of CDS interventions are enabled for that provider. </w:t>
      </w:r>
    </w:p>
    <w:p w:rsidR="00F54C5A" w:rsidRDefault="00F54C5A" w:rsidP="00412666"/>
    <w:p w:rsidR="00F54C5A" w:rsidRPr="00D85E2F" w:rsidRDefault="00F54C5A" w:rsidP="00412666">
      <w:pPr>
        <w:rPr>
          <w:b/>
          <w:u w:val="single"/>
        </w:rPr>
      </w:pPr>
      <w:r w:rsidRPr="00D85E2F">
        <w:rPr>
          <w:b/>
          <w:u w:val="single"/>
        </w:rPr>
        <w:t>Measure 2:</w:t>
      </w:r>
    </w:p>
    <w:p w:rsidR="00D85E2F" w:rsidRDefault="00D85E2F" w:rsidP="00412666"/>
    <w:p w:rsidR="005E28A0" w:rsidRDefault="005E28A0" w:rsidP="00412666">
      <w:r>
        <w:t xml:space="preserve">This measure does not have a numerator, denominator or reporting threshold. Instead, it is a Yes/No attestation by the EP. This means that there is nothing to track within the </w:t>
      </w:r>
      <w:r w:rsidR="008D3D1A">
        <w:t xml:space="preserve">CEHRT </w:t>
      </w:r>
      <w:r>
        <w:t xml:space="preserve">as far as reporting specific numbers. Instead, the EP is supposed to have their CEHRT configured appropriately during the reporting period to ensure that they have met the stated requirements. </w:t>
      </w:r>
    </w:p>
    <w:p w:rsidR="005E28A0" w:rsidRDefault="005E28A0" w:rsidP="00412666"/>
    <w:p w:rsidR="008A393A" w:rsidRDefault="00F54C5A" w:rsidP="00412666">
      <w:r>
        <w:t xml:space="preserve">Valant uses DrFirst for drug-drug and drug-allergy interaction checks. By default, all accounts with DrFirst have been configured for both drug-drug as well as drug-allergy interaction checks. </w:t>
      </w:r>
      <w:r w:rsidR="008215A5">
        <w:t xml:space="preserve">These options cannot be disabled for any practices setup within DrFirst. As a result, the functionality for drug-drug and drug-allergy interaction checks is always enabled.  </w:t>
      </w:r>
      <w:r w:rsidR="008A393A">
        <w:br w:type="page"/>
      </w:r>
    </w:p>
    <w:p w:rsidR="00412666" w:rsidRPr="008B51F5" w:rsidRDefault="00BA4426" w:rsidP="00B85C07">
      <w:pPr>
        <w:pStyle w:val="Heading3"/>
      </w:pPr>
      <w:bookmarkStart w:id="47" w:name="_Toc390171161"/>
      <w:r w:rsidRPr="008B51F5">
        <w:t>Clinical Decision Support</w:t>
      </w:r>
      <w:r w:rsidR="00412666" w:rsidRPr="008B51F5">
        <w:t>: Recording of Numerator in Valant</w:t>
      </w:r>
      <w:bookmarkEnd w:id="47"/>
    </w:p>
    <w:p w:rsidR="00CB6279" w:rsidRDefault="00CB6279"/>
    <w:p w:rsidR="00BA4426" w:rsidRDefault="00BA4426">
      <w:r>
        <w:t>As mentioned previously, this measure does not have a numerator, denominator or reporting threshold. As such, there are no values to track within Valant. Instead, an EP’s account must be configured correctly to ensure compliance for this measure.</w:t>
      </w:r>
    </w:p>
    <w:p w:rsidR="00BA4426" w:rsidRDefault="00BA4426"/>
    <w:p w:rsidR="00BA4426" w:rsidRDefault="00BA4426">
      <w:r>
        <w:t xml:space="preserve">For </w:t>
      </w:r>
      <w:r w:rsidRPr="00BA4426">
        <w:rPr>
          <w:b/>
        </w:rPr>
        <w:t>Measure 1</w:t>
      </w:r>
      <w:r>
        <w:t xml:space="preserve">, individual CDS interventions can be configured for any user within the practice by going to the ADMIN area of the program. </w:t>
      </w:r>
      <w:r w:rsidR="000378C8">
        <w:t xml:space="preserve">Once in the ADMIN area, going to </w:t>
      </w:r>
      <w:r w:rsidR="000378C8" w:rsidRPr="000378C8">
        <w:rPr>
          <w:b/>
        </w:rPr>
        <w:t>Persons and Institutions: Providers</w:t>
      </w:r>
      <w:r w:rsidR="000378C8">
        <w:t xml:space="preserve"> will allow interventions to be configured to the providers within the practice. Likewise, </w:t>
      </w:r>
      <w:r w:rsidR="000378C8" w:rsidRPr="000378C8">
        <w:rPr>
          <w:b/>
        </w:rPr>
        <w:t xml:space="preserve">Persons and Institutions: </w:t>
      </w:r>
      <w:r w:rsidR="00F97709">
        <w:rPr>
          <w:b/>
        </w:rPr>
        <w:t xml:space="preserve">Office </w:t>
      </w:r>
      <w:r w:rsidR="000378C8">
        <w:rPr>
          <w:b/>
        </w:rPr>
        <w:t>Staff</w:t>
      </w:r>
      <w:r w:rsidR="000378C8">
        <w:t xml:space="preserve"> will allow interventions to be configured to the staff users within the practice.</w:t>
      </w:r>
    </w:p>
    <w:p w:rsidR="000378C8" w:rsidRDefault="000378C8"/>
    <w:p w:rsidR="000378C8" w:rsidRDefault="000378C8" w:rsidP="000378C8">
      <w:r>
        <w:t xml:space="preserve">For Meaningful Use 2014 reporting, only EP’s are required to be configured with active CDS interventions. However, providers not eligible for meaningful use within the practice as well as staff users can both have any number of CDS interventions configured to be active. </w:t>
      </w:r>
    </w:p>
    <w:p w:rsidR="00075D9B" w:rsidRDefault="00075D9B" w:rsidP="000378C8"/>
    <w:p w:rsidR="00075D9B" w:rsidRDefault="00075D9B" w:rsidP="000378C8">
      <w:r>
        <w:t xml:space="preserve">For more information relating to Clinical Decision Support (CDS) beyond what is mentioned in this document, please refer to the documentation located here </w:t>
      </w:r>
      <w:r w:rsidRPr="00CF0D11">
        <w:rPr>
          <w:highlight w:val="yellow"/>
        </w:rPr>
        <w:t>XXXXXXX</w:t>
      </w:r>
    </w:p>
    <w:p w:rsidR="000378C8" w:rsidRDefault="000378C8"/>
    <w:p w:rsidR="00CB6279" w:rsidRDefault="00CB6279"/>
    <w:p w:rsidR="000378C8" w:rsidRDefault="000378C8" w:rsidP="000378C8">
      <w:pPr>
        <w:jc w:val="center"/>
      </w:pPr>
      <w:r>
        <w:rPr>
          <w:noProof/>
        </w:rPr>
        <w:drawing>
          <wp:inline distT="0" distB="0" distL="0" distR="0" wp14:anchorId="51D874F9" wp14:editId="780C54A9">
            <wp:extent cx="2440940" cy="18205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940" cy="1820545"/>
                    </a:xfrm>
                    <a:prstGeom prst="rect">
                      <a:avLst/>
                    </a:prstGeom>
                    <a:noFill/>
                    <a:ln>
                      <a:noFill/>
                    </a:ln>
                  </pic:spPr>
                </pic:pic>
              </a:graphicData>
            </a:graphic>
          </wp:inline>
        </w:drawing>
      </w:r>
    </w:p>
    <w:p w:rsidR="000378C8" w:rsidRDefault="000378C8"/>
    <w:p w:rsidR="000378C8" w:rsidRDefault="000378C8"/>
    <w:p w:rsidR="000378C8" w:rsidRDefault="000378C8">
      <w:r>
        <w:br w:type="page"/>
      </w:r>
    </w:p>
    <w:p w:rsidR="000378C8" w:rsidRDefault="000378C8">
      <w:r>
        <w:t xml:space="preserve">To enable which CDS interventions are active for a provider or staff user, select their name from the list and go to </w:t>
      </w:r>
      <w:r w:rsidR="00AC1850">
        <w:t>the Decision Support Rules tab for that user. There are a total of 18 individual CDS interventions that can be configured for a user, 1</w:t>
      </w:r>
      <w:r w:rsidR="00631387">
        <w:t>2</w:t>
      </w:r>
      <w:r w:rsidR="00AC1850">
        <w:t xml:space="preserve"> of which are directly related to Clinical Quality Measures (CQM’s). In order for an EP to qualify for successfully reporting on this measure, at least 5 of the CDS interventions which relate to CQM’s must be active for the entire reporting period. </w:t>
      </w:r>
    </w:p>
    <w:p w:rsidR="00AC1850" w:rsidRDefault="00AC1850"/>
    <w:p w:rsidR="00AC1850" w:rsidRPr="00AC1850" w:rsidRDefault="00AC1850">
      <w:r>
        <w:t xml:space="preserve">To enable a specific CDS intervention, check the box under </w:t>
      </w:r>
      <w:r w:rsidRPr="00AC1850">
        <w:rPr>
          <w:b/>
        </w:rPr>
        <w:t>Enable</w:t>
      </w:r>
      <w:r>
        <w:t xml:space="preserve">. To enable all CDS interventions, check the box to the left of </w:t>
      </w:r>
      <w:r w:rsidRPr="00AC1850">
        <w:rPr>
          <w:b/>
        </w:rPr>
        <w:t>Enable</w:t>
      </w:r>
      <w:r w:rsidRPr="00AC1850">
        <w:t xml:space="preserve"> </w:t>
      </w:r>
      <w:r>
        <w:t xml:space="preserve">to check all of the boxes in this column. </w:t>
      </w:r>
    </w:p>
    <w:p w:rsidR="00AC1850" w:rsidRDefault="00AC1850"/>
    <w:p w:rsidR="00AC1850" w:rsidRDefault="00AC1850" w:rsidP="00AC1850">
      <w:r>
        <w:t xml:space="preserve">For more information about CDS interventions, please refer to the documentation relating to this feature located </w:t>
      </w:r>
      <w:r w:rsidR="00745C44" w:rsidRPr="00745C44">
        <w:rPr>
          <w:b/>
          <w:highlight w:val="yellow"/>
        </w:rPr>
        <w:t>XXXXX</w:t>
      </w:r>
      <w:r>
        <w:t xml:space="preserve">. </w:t>
      </w:r>
    </w:p>
    <w:p w:rsidR="00AC1850" w:rsidRDefault="00AC1850"/>
    <w:p w:rsidR="00AC1850" w:rsidRDefault="00AC1850">
      <w:r w:rsidRPr="00670BC2">
        <w:rPr>
          <w:b/>
          <w:color w:val="FF0000"/>
        </w:rPr>
        <w:t xml:space="preserve">NOTE: CDS interventions need to be individual configured for each user within a practice. The default option for </w:t>
      </w:r>
      <w:r w:rsidR="00670BC2" w:rsidRPr="00670BC2">
        <w:rPr>
          <w:b/>
          <w:color w:val="FF0000"/>
        </w:rPr>
        <w:t>new users is to have everything checked for both Enable and Show Link. This applies to both providers and staff users within a practic</w:t>
      </w:r>
      <w:r w:rsidR="00670BC2" w:rsidRPr="00D74C28">
        <w:rPr>
          <w:b/>
          <w:color w:val="FF0000"/>
        </w:rPr>
        <w:t>e</w:t>
      </w:r>
      <w:r w:rsidR="00670BC2" w:rsidRPr="00D74C28">
        <w:rPr>
          <w:color w:val="FF0000"/>
        </w:rPr>
        <w:t xml:space="preserve">. </w:t>
      </w:r>
      <w:r w:rsidR="00D74C28" w:rsidRPr="00D74C28">
        <w:rPr>
          <w:b/>
          <w:color w:val="FF0000"/>
        </w:rPr>
        <w:t>CDS interventions are only available to non-super users, meaning that staff users which have a single login in which to access multiple practices will not be able to receive CDS interventions.</w:t>
      </w:r>
      <w:r w:rsidR="00D74C28">
        <w:rPr>
          <w:color w:val="FF0000"/>
        </w:rPr>
        <w:t xml:space="preserve"> </w:t>
      </w:r>
    </w:p>
    <w:p w:rsidR="00CB6279" w:rsidRDefault="00CB6279"/>
    <w:p w:rsidR="00B31733" w:rsidRDefault="009768D7">
      <w:r>
        <w:rPr>
          <w:noProof/>
        </w:rPr>
        <w:drawing>
          <wp:inline distT="0" distB="0" distL="0" distR="0" wp14:anchorId="0C18E04B" wp14:editId="31614B54">
            <wp:extent cx="6854190" cy="313309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4190" cy="3133090"/>
                    </a:xfrm>
                    <a:prstGeom prst="rect">
                      <a:avLst/>
                    </a:prstGeom>
                    <a:noFill/>
                    <a:ln>
                      <a:noFill/>
                    </a:ln>
                  </pic:spPr>
                </pic:pic>
              </a:graphicData>
            </a:graphic>
          </wp:inline>
        </w:drawing>
      </w:r>
    </w:p>
    <w:p w:rsidR="00B31733" w:rsidRDefault="00B31733">
      <w:r>
        <w:br w:type="page"/>
      </w:r>
    </w:p>
    <w:p w:rsidR="00AC1850" w:rsidRDefault="00B31733" w:rsidP="00B31733">
      <w:pPr>
        <w:pStyle w:val="Heading2"/>
      </w:pPr>
      <w:bookmarkStart w:id="48" w:name="_Toc390171162"/>
      <w:r w:rsidRPr="00751A14">
        <w:rPr>
          <w:rFonts w:eastAsia="Times New Roman"/>
        </w:rPr>
        <w:t>Stage 2 - Core #7: Patient Electronic Access</w:t>
      </w:r>
      <w:bookmarkEnd w:id="48"/>
      <w:r>
        <w:t xml:space="preserve"> </w:t>
      </w:r>
    </w:p>
    <w:p w:rsidR="00B31733" w:rsidRDefault="00B31733"/>
    <w:tbl>
      <w:tblPr>
        <w:tblW w:w="10725" w:type="dxa"/>
        <w:tblInd w:w="93" w:type="dxa"/>
        <w:tblLook w:val="04A0" w:firstRow="1" w:lastRow="0" w:firstColumn="1" w:lastColumn="0" w:noHBand="0" w:noVBand="1"/>
      </w:tblPr>
      <w:tblGrid>
        <w:gridCol w:w="1340"/>
        <w:gridCol w:w="9385"/>
      </w:tblGrid>
      <w:tr w:rsidR="00751A14" w:rsidRPr="00751A14" w:rsidTr="00751A14">
        <w:trPr>
          <w:trHeight w:val="375"/>
        </w:trPr>
        <w:tc>
          <w:tcPr>
            <w:tcW w:w="1072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751A14" w:rsidRPr="00B31733" w:rsidRDefault="00751A14" w:rsidP="00B31733">
            <w:pPr>
              <w:rPr>
                <w:b/>
              </w:rPr>
            </w:pPr>
            <w:r w:rsidRPr="00B31733">
              <w:rPr>
                <w:b/>
                <w:color w:val="FFFFFF" w:themeColor="background1"/>
                <w:sz w:val="32"/>
              </w:rPr>
              <w:t>Patient Electronic Access</w:t>
            </w:r>
          </w:p>
        </w:tc>
      </w:tr>
      <w:tr w:rsidR="00751A14" w:rsidRPr="00751A14" w:rsidTr="00751A14">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751A14" w:rsidRPr="00751A14" w:rsidRDefault="00751A14" w:rsidP="00751A14">
            <w:pPr>
              <w:jc w:val="right"/>
              <w:rPr>
                <w:rFonts w:ascii="Calibri" w:eastAsia="Times New Roman" w:hAnsi="Calibri" w:cs="Times New Roman"/>
                <w:b/>
                <w:bCs/>
                <w:color w:val="FFFFFF"/>
              </w:rPr>
            </w:pPr>
            <w:r w:rsidRPr="00751A14">
              <w:rPr>
                <w:rFonts w:ascii="Calibri" w:eastAsia="Times New Roman" w:hAnsi="Calibri" w:cs="Times New Roman"/>
                <w:b/>
                <w:bCs/>
                <w:color w:val="FFFFFF"/>
              </w:rPr>
              <w:t xml:space="preserve">Objective </w:t>
            </w:r>
          </w:p>
        </w:tc>
        <w:tc>
          <w:tcPr>
            <w:tcW w:w="9385" w:type="dxa"/>
            <w:vMerge w:val="restart"/>
            <w:tcBorders>
              <w:top w:val="nil"/>
              <w:left w:val="nil"/>
              <w:bottom w:val="nil"/>
              <w:right w:val="single" w:sz="4" w:space="0" w:color="000000"/>
            </w:tcBorders>
            <w:shd w:val="clear" w:color="auto" w:fill="auto"/>
            <w:vAlign w:val="center"/>
            <w:hideMark/>
          </w:tcPr>
          <w:p w:rsidR="00751A14" w:rsidRPr="00751A14" w:rsidRDefault="00751A14" w:rsidP="00751A14">
            <w:pPr>
              <w:rPr>
                <w:rFonts w:ascii="Calibri" w:eastAsia="Times New Roman" w:hAnsi="Calibri" w:cs="Times New Roman"/>
                <w:color w:val="000000"/>
              </w:rPr>
            </w:pPr>
            <w:r w:rsidRPr="00751A14">
              <w:rPr>
                <w:rFonts w:ascii="Calibri" w:eastAsia="Times New Roman" w:hAnsi="Calibri" w:cs="Times New Roman"/>
                <w:color w:val="000000"/>
              </w:rPr>
              <w:t>Pr</w:t>
            </w:r>
            <w:r>
              <w:rPr>
                <w:rFonts w:ascii="Calibri" w:eastAsia="Times New Roman" w:hAnsi="Calibri" w:cs="Times New Roman"/>
                <w:color w:val="000000"/>
              </w:rPr>
              <w:t xml:space="preserve">ovide patients the ability to </w:t>
            </w:r>
            <w:r w:rsidRPr="00751A14">
              <w:rPr>
                <w:rFonts w:ascii="Calibri" w:eastAsia="Times New Roman" w:hAnsi="Calibri" w:cs="Times New Roman"/>
                <w:color w:val="000000"/>
              </w:rPr>
              <w:t>view online, download and transmit their health information within four business days of the information being available to the EP.</w:t>
            </w:r>
          </w:p>
        </w:tc>
      </w:tr>
      <w:tr w:rsidR="00751A14" w:rsidRPr="00751A14" w:rsidTr="00751A14">
        <w:trPr>
          <w:trHeight w:val="300"/>
        </w:trPr>
        <w:tc>
          <w:tcPr>
            <w:tcW w:w="1340" w:type="dxa"/>
            <w:vMerge/>
            <w:tcBorders>
              <w:top w:val="nil"/>
              <w:left w:val="single" w:sz="4" w:space="0" w:color="auto"/>
              <w:bottom w:val="nil"/>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nil"/>
              <w:left w:val="nil"/>
              <w:bottom w:val="nil"/>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r w:rsidR="00751A14" w:rsidRPr="00751A14" w:rsidTr="00751A14">
        <w:trPr>
          <w:trHeight w:val="300"/>
        </w:trPr>
        <w:tc>
          <w:tcPr>
            <w:tcW w:w="1340" w:type="dxa"/>
            <w:vMerge/>
            <w:tcBorders>
              <w:top w:val="nil"/>
              <w:left w:val="single" w:sz="4" w:space="0" w:color="auto"/>
              <w:bottom w:val="nil"/>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nil"/>
              <w:left w:val="nil"/>
              <w:bottom w:val="nil"/>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r w:rsidR="00751A14" w:rsidRPr="00751A14" w:rsidTr="00751A14">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751A14" w:rsidRPr="00751A14" w:rsidRDefault="00751A14" w:rsidP="00751A14">
            <w:pPr>
              <w:jc w:val="right"/>
              <w:rPr>
                <w:rFonts w:ascii="Calibri" w:eastAsia="Times New Roman" w:hAnsi="Calibri" w:cs="Times New Roman"/>
                <w:b/>
                <w:bCs/>
                <w:color w:val="FFFFFF"/>
              </w:rPr>
            </w:pPr>
            <w:r w:rsidRPr="00751A14">
              <w:rPr>
                <w:rFonts w:ascii="Calibri" w:eastAsia="Times New Roman" w:hAnsi="Calibri" w:cs="Times New Roman"/>
                <w:b/>
                <w:bCs/>
                <w:color w:val="FFFFFF"/>
              </w:rPr>
              <w:t xml:space="preserve">Measure </w:t>
            </w:r>
          </w:p>
        </w:tc>
        <w:tc>
          <w:tcPr>
            <w:tcW w:w="9385" w:type="dxa"/>
            <w:vMerge w:val="restart"/>
            <w:tcBorders>
              <w:top w:val="single" w:sz="4" w:space="0" w:color="auto"/>
              <w:left w:val="nil"/>
              <w:bottom w:val="single" w:sz="4" w:space="0" w:color="000000"/>
              <w:right w:val="single" w:sz="4" w:space="0" w:color="000000"/>
            </w:tcBorders>
            <w:shd w:val="clear" w:color="auto" w:fill="auto"/>
            <w:vAlign w:val="center"/>
            <w:hideMark/>
          </w:tcPr>
          <w:p w:rsidR="00751A14" w:rsidRPr="00751A14" w:rsidRDefault="00751A14" w:rsidP="00751A14">
            <w:pPr>
              <w:rPr>
                <w:rFonts w:ascii="Calibri" w:eastAsia="Times New Roman" w:hAnsi="Calibri" w:cs="Times New Roman"/>
                <w:color w:val="000000"/>
              </w:rPr>
            </w:pPr>
            <w:r w:rsidRPr="00751A14">
              <w:rPr>
                <w:rFonts w:ascii="Calibri" w:eastAsia="Times New Roman" w:hAnsi="Calibri" w:cs="Times New Roman"/>
                <w:b/>
                <w:color w:val="000000"/>
              </w:rPr>
              <w:t>Measure 1:</w:t>
            </w:r>
            <w:r>
              <w:rPr>
                <w:rFonts w:ascii="Calibri" w:eastAsia="Times New Roman" w:hAnsi="Calibri" w:cs="Times New Roman"/>
                <w:color w:val="000000"/>
              </w:rPr>
              <w:t xml:space="preserve"> </w:t>
            </w:r>
            <w:r>
              <w:rPr>
                <w:rFonts w:ascii="Calibri" w:eastAsia="Times New Roman" w:hAnsi="Calibri" w:cs="Times New Roman"/>
                <w:color w:val="000000"/>
              </w:rPr>
              <w:br/>
              <w:t xml:space="preserve">More than 50 percent </w:t>
            </w:r>
            <w:r w:rsidRPr="00751A14">
              <w:rPr>
                <w:rFonts w:ascii="Calibri" w:eastAsia="Times New Roman" w:hAnsi="Calibri" w:cs="Times New Roman"/>
                <w:color w:val="000000"/>
              </w:rPr>
              <w:t>of all unique patients</w:t>
            </w:r>
            <w:r>
              <w:rPr>
                <w:rFonts w:ascii="Calibri" w:eastAsia="Times New Roman" w:hAnsi="Calibri" w:cs="Times New Roman"/>
                <w:color w:val="000000"/>
              </w:rPr>
              <w:t xml:space="preserve"> seen by the EP during the EHR </w:t>
            </w:r>
            <w:r w:rsidRPr="00751A14">
              <w:rPr>
                <w:rFonts w:ascii="Calibri" w:eastAsia="Times New Roman" w:hAnsi="Calibri" w:cs="Times New Roman"/>
                <w:color w:val="000000"/>
              </w:rPr>
              <w:t>reporting period are</w:t>
            </w:r>
            <w:r>
              <w:rPr>
                <w:rFonts w:ascii="Calibri" w:eastAsia="Times New Roman" w:hAnsi="Calibri" w:cs="Times New Roman"/>
                <w:color w:val="000000"/>
              </w:rPr>
              <w:t xml:space="preserve"> provided timely (available to the patient within 4 business days </w:t>
            </w:r>
            <w:r w:rsidRPr="00751A14">
              <w:rPr>
                <w:rFonts w:ascii="Calibri" w:eastAsia="Times New Roman" w:hAnsi="Calibri" w:cs="Times New Roman"/>
                <w:color w:val="000000"/>
              </w:rPr>
              <w:t xml:space="preserve">after the </w:t>
            </w:r>
            <w:r>
              <w:rPr>
                <w:rFonts w:ascii="Calibri" w:eastAsia="Times New Roman" w:hAnsi="Calibri" w:cs="Times New Roman"/>
                <w:color w:val="000000"/>
              </w:rPr>
              <w:t xml:space="preserve">information is available to the EP) online access to </w:t>
            </w:r>
            <w:r w:rsidRPr="00751A14">
              <w:rPr>
                <w:rFonts w:ascii="Calibri" w:eastAsia="Times New Roman" w:hAnsi="Calibri" w:cs="Times New Roman"/>
                <w:color w:val="000000"/>
              </w:rPr>
              <w:t xml:space="preserve">their health information. </w:t>
            </w:r>
            <w:r w:rsidRPr="00751A14">
              <w:rPr>
                <w:rFonts w:ascii="Calibri" w:eastAsia="Times New Roman" w:hAnsi="Calibri" w:cs="Times New Roman"/>
                <w:color w:val="000000"/>
              </w:rPr>
              <w:br/>
            </w:r>
            <w:r w:rsidRPr="00751A14">
              <w:rPr>
                <w:rFonts w:ascii="Calibri" w:eastAsia="Times New Roman" w:hAnsi="Calibri" w:cs="Times New Roman"/>
                <w:b/>
                <w:color w:val="000000"/>
              </w:rPr>
              <w:t>Measure 2:</w:t>
            </w:r>
            <w:r>
              <w:rPr>
                <w:rFonts w:ascii="Calibri" w:eastAsia="Times New Roman" w:hAnsi="Calibri" w:cs="Times New Roman"/>
                <w:color w:val="000000"/>
              </w:rPr>
              <w:t xml:space="preserve"> </w:t>
            </w:r>
            <w:r>
              <w:rPr>
                <w:rFonts w:ascii="Calibri" w:eastAsia="Times New Roman" w:hAnsi="Calibri" w:cs="Times New Roman"/>
                <w:color w:val="000000"/>
              </w:rPr>
              <w:br/>
              <w:t xml:space="preserve">More than 5 percent of all </w:t>
            </w:r>
            <w:r w:rsidRPr="00751A14">
              <w:rPr>
                <w:rFonts w:ascii="Calibri" w:eastAsia="Times New Roman" w:hAnsi="Calibri" w:cs="Times New Roman"/>
                <w:color w:val="000000"/>
              </w:rPr>
              <w:t>unique patients seen by the EP during</w:t>
            </w:r>
            <w:r>
              <w:rPr>
                <w:rFonts w:ascii="Calibri" w:eastAsia="Times New Roman" w:hAnsi="Calibri" w:cs="Times New Roman"/>
                <w:color w:val="000000"/>
              </w:rPr>
              <w:t xml:space="preserve"> the EHR reporting period (or </w:t>
            </w:r>
            <w:r w:rsidRPr="00751A14">
              <w:rPr>
                <w:rFonts w:ascii="Calibri" w:eastAsia="Times New Roman" w:hAnsi="Calibri" w:cs="Times New Roman"/>
                <w:color w:val="000000"/>
              </w:rPr>
              <w:t>th</w:t>
            </w:r>
            <w:r>
              <w:rPr>
                <w:rFonts w:ascii="Calibri" w:eastAsia="Times New Roman" w:hAnsi="Calibri" w:cs="Times New Roman"/>
                <w:color w:val="000000"/>
              </w:rPr>
              <w:t>eir authorized representatives)</w:t>
            </w:r>
            <w:r w:rsidRPr="00751A14">
              <w:rPr>
                <w:rFonts w:ascii="Calibri" w:eastAsia="Times New Roman" w:hAnsi="Calibri" w:cs="Times New Roman"/>
                <w:color w:val="000000"/>
              </w:rPr>
              <w:t xml:space="preserve"> vi</w:t>
            </w:r>
            <w:r>
              <w:rPr>
                <w:rFonts w:ascii="Calibri" w:eastAsia="Times New Roman" w:hAnsi="Calibri" w:cs="Times New Roman"/>
                <w:color w:val="000000"/>
              </w:rPr>
              <w:t xml:space="preserve">ew, download, or </w:t>
            </w:r>
            <w:r w:rsidRPr="00751A14">
              <w:rPr>
                <w:rFonts w:ascii="Calibri" w:eastAsia="Times New Roman" w:hAnsi="Calibri" w:cs="Times New Roman"/>
                <w:color w:val="000000"/>
              </w:rPr>
              <w:t>transmit to a third party their health information.</w:t>
            </w:r>
          </w:p>
        </w:tc>
      </w:tr>
      <w:tr w:rsidR="00751A14" w:rsidRPr="00751A14" w:rsidTr="00751A1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single" w:sz="4" w:space="0" w:color="auto"/>
              <w:left w:val="nil"/>
              <w:bottom w:val="single" w:sz="4" w:space="0" w:color="000000"/>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r w:rsidR="00751A14" w:rsidRPr="00751A14" w:rsidTr="00751A1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single" w:sz="4" w:space="0" w:color="auto"/>
              <w:left w:val="nil"/>
              <w:bottom w:val="single" w:sz="4" w:space="0" w:color="000000"/>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r w:rsidR="00751A14" w:rsidRPr="00751A14" w:rsidTr="00751A14">
        <w:trPr>
          <w:trHeight w:val="300"/>
        </w:trPr>
        <w:tc>
          <w:tcPr>
            <w:tcW w:w="1340" w:type="dxa"/>
            <w:vMerge w:val="restart"/>
            <w:tcBorders>
              <w:top w:val="nil"/>
              <w:left w:val="single" w:sz="4" w:space="0" w:color="auto"/>
              <w:bottom w:val="nil"/>
              <w:right w:val="nil"/>
            </w:tcBorders>
            <w:shd w:val="clear" w:color="000000" w:fill="1F497D"/>
            <w:vAlign w:val="center"/>
            <w:hideMark/>
          </w:tcPr>
          <w:p w:rsidR="00751A14" w:rsidRPr="00751A14" w:rsidRDefault="00751A14" w:rsidP="00751A14">
            <w:pPr>
              <w:jc w:val="right"/>
              <w:rPr>
                <w:rFonts w:ascii="Calibri" w:eastAsia="Times New Roman" w:hAnsi="Calibri" w:cs="Times New Roman"/>
                <w:b/>
                <w:bCs/>
                <w:color w:val="FFFFFF"/>
              </w:rPr>
            </w:pPr>
            <w:r w:rsidRPr="00751A14">
              <w:rPr>
                <w:rFonts w:ascii="Calibri" w:eastAsia="Times New Roman" w:hAnsi="Calibri" w:cs="Times New Roman"/>
                <w:b/>
                <w:bCs/>
                <w:color w:val="FFFFFF"/>
              </w:rPr>
              <w:t xml:space="preserve">Exclusion </w:t>
            </w:r>
          </w:p>
        </w:tc>
        <w:tc>
          <w:tcPr>
            <w:tcW w:w="9385" w:type="dxa"/>
            <w:vMerge w:val="restart"/>
            <w:tcBorders>
              <w:top w:val="single" w:sz="4" w:space="0" w:color="auto"/>
              <w:left w:val="nil"/>
              <w:bottom w:val="single" w:sz="4" w:space="0" w:color="000000"/>
              <w:right w:val="single" w:sz="4" w:space="0" w:color="000000"/>
            </w:tcBorders>
            <w:shd w:val="clear" w:color="auto" w:fill="auto"/>
            <w:vAlign w:val="center"/>
            <w:hideMark/>
          </w:tcPr>
          <w:p w:rsidR="00751A14" w:rsidRPr="00751A14" w:rsidRDefault="00751A14" w:rsidP="00751A14">
            <w:pPr>
              <w:rPr>
                <w:rFonts w:ascii="Calibri" w:eastAsia="Times New Roman" w:hAnsi="Calibri" w:cs="Times New Roman"/>
                <w:color w:val="000000"/>
              </w:rPr>
            </w:pPr>
            <w:r>
              <w:rPr>
                <w:rFonts w:ascii="Calibri" w:eastAsia="Times New Roman" w:hAnsi="Calibri" w:cs="Times New Roman"/>
                <w:color w:val="000000"/>
              </w:rPr>
              <w:t xml:space="preserve">Any EP </w:t>
            </w:r>
            <w:r w:rsidRPr="00751A14">
              <w:rPr>
                <w:rFonts w:ascii="Calibri" w:eastAsia="Times New Roman" w:hAnsi="Calibri" w:cs="Times New Roman"/>
                <w:color w:val="000000"/>
              </w:rPr>
              <w:t xml:space="preserve">who: </w:t>
            </w:r>
            <w:r w:rsidRPr="00751A14">
              <w:rPr>
                <w:rFonts w:ascii="Calibri" w:eastAsia="Times New Roman" w:hAnsi="Calibri" w:cs="Times New Roman"/>
                <w:color w:val="000000"/>
              </w:rPr>
              <w:br/>
              <w:t>(1)</w:t>
            </w:r>
            <w:r>
              <w:rPr>
                <w:rFonts w:ascii="Calibri" w:eastAsia="Times New Roman" w:hAnsi="Calibri" w:cs="Times New Roman"/>
                <w:color w:val="000000"/>
              </w:rPr>
              <w:t xml:space="preserve"> </w:t>
            </w:r>
            <w:r w:rsidRPr="00751A14">
              <w:rPr>
                <w:rFonts w:ascii="Calibri" w:eastAsia="Times New Roman" w:hAnsi="Calibri" w:cs="Times New Roman"/>
                <w:color w:val="000000"/>
              </w:rPr>
              <w:t>Neither</w:t>
            </w:r>
            <w:r>
              <w:rPr>
                <w:rFonts w:ascii="Calibri" w:eastAsia="Times New Roman" w:hAnsi="Calibri" w:cs="Times New Roman"/>
                <w:color w:val="000000"/>
              </w:rPr>
              <w:t xml:space="preserve"> </w:t>
            </w:r>
            <w:r w:rsidRPr="00751A14">
              <w:rPr>
                <w:rFonts w:ascii="Calibri" w:eastAsia="Times New Roman" w:hAnsi="Calibri" w:cs="Times New Roman"/>
                <w:color w:val="000000"/>
              </w:rPr>
              <w:t>orders nor creates</w:t>
            </w:r>
            <w:r>
              <w:rPr>
                <w:rFonts w:ascii="Calibri" w:eastAsia="Times New Roman" w:hAnsi="Calibri" w:cs="Times New Roman"/>
                <w:color w:val="000000"/>
              </w:rPr>
              <w:t xml:space="preserve"> </w:t>
            </w:r>
            <w:r w:rsidRPr="00751A14">
              <w:rPr>
                <w:rFonts w:ascii="Calibri" w:eastAsia="Times New Roman" w:hAnsi="Calibri" w:cs="Times New Roman"/>
                <w:color w:val="000000"/>
              </w:rPr>
              <w:t>any of the informatio</w:t>
            </w:r>
            <w:r>
              <w:rPr>
                <w:rFonts w:ascii="Calibri" w:eastAsia="Times New Roman" w:hAnsi="Calibri" w:cs="Times New Roman"/>
                <w:color w:val="000000"/>
              </w:rPr>
              <w:t xml:space="preserve">n listed for inclusion as part </w:t>
            </w:r>
            <w:r w:rsidRPr="00751A14">
              <w:rPr>
                <w:rFonts w:ascii="Calibri" w:eastAsia="Times New Roman" w:hAnsi="Calibri" w:cs="Times New Roman"/>
                <w:color w:val="000000"/>
              </w:rPr>
              <w:t>of both</w:t>
            </w:r>
            <w:r>
              <w:rPr>
                <w:rFonts w:ascii="Calibri" w:eastAsia="Times New Roman" w:hAnsi="Calibri" w:cs="Times New Roman"/>
                <w:color w:val="000000"/>
              </w:rPr>
              <w:t xml:space="preserve"> </w:t>
            </w:r>
            <w:r w:rsidRPr="00751A14">
              <w:rPr>
                <w:rFonts w:ascii="Calibri" w:eastAsia="Times New Roman" w:hAnsi="Calibri" w:cs="Times New Roman"/>
                <w:color w:val="000000"/>
              </w:rPr>
              <w:t>measures, except for "Patient name" and "Provider's name and</w:t>
            </w:r>
            <w:r>
              <w:rPr>
                <w:rFonts w:ascii="Calibri" w:eastAsia="Times New Roman" w:hAnsi="Calibri" w:cs="Times New Roman"/>
                <w:color w:val="000000"/>
              </w:rPr>
              <w:t xml:space="preserve"> office </w:t>
            </w:r>
            <w:r w:rsidRPr="00751A14">
              <w:rPr>
                <w:rFonts w:ascii="Calibri" w:eastAsia="Times New Roman" w:hAnsi="Calibri" w:cs="Times New Roman"/>
                <w:color w:val="000000"/>
              </w:rPr>
              <w:t>contact information,</w:t>
            </w:r>
            <w:r>
              <w:rPr>
                <w:rFonts w:ascii="Calibri" w:eastAsia="Times New Roman" w:hAnsi="Calibri" w:cs="Times New Roman"/>
                <w:color w:val="000000"/>
              </w:rPr>
              <w:t xml:space="preserve"> </w:t>
            </w:r>
            <w:r w:rsidRPr="00751A14">
              <w:rPr>
                <w:rFonts w:ascii="Calibri" w:eastAsia="Times New Roman" w:hAnsi="Calibri" w:cs="Times New Roman"/>
                <w:color w:val="000000"/>
              </w:rPr>
              <w:t>may exclude</w:t>
            </w:r>
            <w:r>
              <w:rPr>
                <w:rFonts w:ascii="Calibri" w:eastAsia="Times New Roman" w:hAnsi="Calibri" w:cs="Times New Roman"/>
                <w:color w:val="000000"/>
              </w:rPr>
              <w:t xml:space="preserve"> </w:t>
            </w:r>
            <w:r w:rsidRPr="00751A14">
              <w:rPr>
                <w:rFonts w:ascii="Calibri" w:eastAsia="Times New Roman" w:hAnsi="Calibri" w:cs="Times New Roman"/>
                <w:color w:val="000000"/>
              </w:rPr>
              <w:t>both</w:t>
            </w:r>
            <w:r>
              <w:rPr>
                <w:rFonts w:ascii="Calibri" w:eastAsia="Times New Roman" w:hAnsi="Calibri" w:cs="Times New Roman"/>
                <w:color w:val="000000"/>
              </w:rPr>
              <w:t xml:space="preserve"> </w:t>
            </w:r>
            <w:r w:rsidRPr="00751A14">
              <w:rPr>
                <w:rFonts w:ascii="Calibri" w:eastAsia="Times New Roman" w:hAnsi="Calibri" w:cs="Times New Roman"/>
                <w:color w:val="000000"/>
              </w:rPr>
              <w:t xml:space="preserve">measures. </w:t>
            </w:r>
            <w:r w:rsidRPr="00751A14">
              <w:rPr>
                <w:rFonts w:ascii="Calibri" w:eastAsia="Times New Roman" w:hAnsi="Calibri" w:cs="Times New Roman"/>
                <w:color w:val="000000"/>
              </w:rPr>
              <w:br/>
              <w:t>(2)</w:t>
            </w:r>
            <w:r>
              <w:rPr>
                <w:rFonts w:ascii="Calibri" w:eastAsia="Times New Roman" w:hAnsi="Calibri" w:cs="Times New Roman"/>
                <w:color w:val="000000"/>
              </w:rPr>
              <w:t xml:space="preserve">  </w:t>
            </w:r>
            <w:r w:rsidRPr="00751A14">
              <w:rPr>
                <w:rFonts w:ascii="Calibri" w:eastAsia="Times New Roman" w:hAnsi="Calibri" w:cs="Times New Roman"/>
                <w:color w:val="000000"/>
              </w:rPr>
              <w:t>Conducts</w:t>
            </w:r>
            <w:r>
              <w:rPr>
                <w:rFonts w:ascii="Calibri" w:eastAsia="Times New Roman" w:hAnsi="Calibri" w:cs="Times New Roman"/>
                <w:color w:val="000000"/>
              </w:rPr>
              <w:t xml:space="preserve"> </w:t>
            </w:r>
            <w:r w:rsidRPr="00751A14">
              <w:rPr>
                <w:rFonts w:ascii="Calibri" w:eastAsia="Times New Roman" w:hAnsi="Calibri" w:cs="Times New Roman"/>
                <w:color w:val="000000"/>
              </w:rPr>
              <w:t>50 percent</w:t>
            </w:r>
            <w:r>
              <w:rPr>
                <w:rFonts w:ascii="Calibri" w:eastAsia="Times New Roman" w:hAnsi="Calibri" w:cs="Times New Roman"/>
                <w:color w:val="000000"/>
              </w:rPr>
              <w:t xml:space="preserve"> </w:t>
            </w:r>
            <w:r w:rsidRPr="00751A14">
              <w:rPr>
                <w:rFonts w:ascii="Calibri" w:eastAsia="Times New Roman" w:hAnsi="Calibri" w:cs="Times New Roman"/>
                <w:color w:val="000000"/>
              </w:rPr>
              <w:t>or more</w:t>
            </w:r>
            <w:r>
              <w:rPr>
                <w:rFonts w:ascii="Calibri" w:eastAsia="Times New Roman" w:hAnsi="Calibri" w:cs="Times New Roman"/>
                <w:color w:val="000000"/>
              </w:rPr>
              <w:t xml:space="preserve"> </w:t>
            </w:r>
            <w:r w:rsidRPr="00751A14">
              <w:rPr>
                <w:rFonts w:ascii="Calibri" w:eastAsia="Times New Roman" w:hAnsi="Calibri" w:cs="Times New Roman"/>
                <w:color w:val="000000"/>
              </w:rPr>
              <w:t xml:space="preserve">of his or her </w:t>
            </w:r>
            <w:r>
              <w:rPr>
                <w:rFonts w:ascii="Calibri" w:eastAsia="Times New Roman" w:hAnsi="Calibri" w:cs="Times New Roman"/>
                <w:color w:val="000000"/>
              </w:rPr>
              <w:t xml:space="preserve">patient encounters in a county </w:t>
            </w:r>
            <w:r w:rsidRPr="00751A14">
              <w:rPr>
                <w:rFonts w:ascii="Calibri" w:eastAsia="Times New Roman" w:hAnsi="Calibri" w:cs="Times New Roman"/>
                <w:color w:val="000000"/>
              </w:rPr>
              <w:t>that does not have</w:t>
            </w:r>
            <w:r>
              <w:rPr>
                <w:rFonts w:ascii="Calibri" w:eastAsia="Times New Roman" w:hAnsi="Calibri" w:cs="Times New Roman"/>
                <w:color w:val="000000"/>
              </w:rPr>
              <w:t xml:space="preserve"> </w:t>
            </w:r>
            <w:r w:rsidRPr="00751A14">
              <w:rPr>
                <w:rFonts w:ascii="Calibri" w:eastAsia="Times New Roman" w:hAnsi="Calibri" w:cs="Times New Roman"/>
                <w:color w:val="000000"/>
              </w:rPr>
              <w:t>50 percent or</w:t>
            </w:r>
            <w:r>
              <w:rPr>
                <w:rFonts w:ascii="Calibri" w:eastAsia="Times New Roman" w:hAnsi="Calibri" w:cs="Times New Roman"/>
                <w:color w:val="000000"/>
              </w:rPr>
              <w:t xml:space="preserve"> </w:t>
            </w:r>
            <w:r w:rsidRPr="00751A14">
              <w:rPr>
                <w:rFonts w:ascii="Calibri" w:eastAsia="Times New Roman" w:hAnsi="Calibri" w:cs="Times New Roman"/>
                <w:color w:val="000000"/>
              </w:rPr>
              <w:t>more</w:t>
            </w:r>
            <w:r>
              <w:rPr>
                <w:rFonts w:ascii="Calibri" w:eastAsia="Times New Roman" w:hAnsi="Calibri" w:cs="Times New Roman"/>
                <w:color w:val="000000"/>
              </w:rPr>
              <w:t xml:space="preserve"> </w:t>
            </w:r>
            <w:r w:rsidRPr="00751A14">
              <w:rPr>
                <w:rFonts w:ascii="Calibri" w:eastAsia="Times New Roman" w:hAnsi="Calibri" w:cs="Times New Roman"/>
                <w:color w:val="000000"/>
              </w:rPr>
              <w:t>of its housing units with</w:t>
            </w:r>
            <w:r>
              <w:rPr>
                <w:rFonts w:ascii="Calibri" w:eastAsia="Times New Roman" w:hAnsi="Calibri" w:cs="Times New Roman"/>
                <w:color w:val="000000"/>
              </w:rPr>
              <w:t xml:space="preserve"> </w:t>
            </w:r>
            <w:r w:rsidRPr="00751A14">
              <w:rPr>
                <w:rFonts w:ascii="Calibri" w:eastAsia="Times New Roman" w:hAnsi="Calibri" w:cs="Times New Roman"/>
                <w:color w:val="000000"/>
              </w:rPr>
              <w:t>3Mbp</w:t>
            </w:r>
            <w:r>
              <w:rPr>
                <w:rFonts w:ascii="Calibri" w:eastAsia="Times New Roman" w:hAnsi="Calibri" w:cs="Times New Roman"/>
                <w:color w:val="000000"/>
              </w:rPr>
              <w:t xml:space="preserve">s </w:t>
            </w:r>
            <w:r w:rsidRPr="00751A14">
              <w:rPr>
                <w:rFonts w:ascii="Calibri" w:eastAsia="Times New Roman" w:hAnsi="Calibri" w:cs="Times New Roman"/>
                <w:color w:val="000000"/>
              </w:rPr>
              <w:t xml:space="preserve">broadband availability according to the latest </w:t>
            </w:r>
            <w:r>
              <w:rPr>
                <w:rFonts w:ascii="Calibri" w:eastAsia="Times New Roman" w:hAnsi="Calibri" w:cs="Times New Roman"/>
                <w:color w:val="000000"/>
              </w:rPr>
              <w:t xml:space="preserve">information available from the </w:t>
            </w:r>
            <w:r w:rsidRPr="00751A14">
              <w:rPr>
                <w:rFonts w:ascii="Calibri" w:eastAsia="Times New Roman" w:hAnsi="Calibri" w:cs="Times New Roman"/>
                <w:color w:val="000000"/>
              </w:rPr>
              <w:t>FCC on the first day</w:t>
            </w:r>
            <w:r>
              <w:rPr>
                <w:rFonts w:ascii="Calibri" w:eastAsia="Times New Roman" w:hAnsi="Calibri" w:cs="Times New Roman"/>
                <w:color w:val="000000"/>
              </w:rPr>
              <w:t xml:space="preserve"> </w:t>
            </w:r>
            <w:r w:rsidRPr="00751A14">
              <w:rPr>
                <w:rFonts w:ascii="Calibri" w:eastAsia="Times New Roman" w:hAnsi="Calibri" w:cs="Times New Roman"/>
                <w:color w:val="000000"/>
              </w:rPr>
              <w:t>of the</w:t>
            </w:r>
            <w:r>
              <w:rPr>
                <w:rFonts w:ascii="Calibri" w:eastAsia="Times New Roman" w:hAnsi="Calibri" w:cs="Times New Roman"/>
                <w:color w:val="000000"/>
              </w:rPr>
              <w:t xml:space="preserve"> </w:t>
            </w:r>
            <w:r w:rsidRPr="00751A14">
              <w:rPr>
                <w:rFonts w:ascii="Calibri" w:eastAsia="Times New Roman" w:hAnsi="Calibri" w:cs="Times New Roman"/>
                <w:color w:val="000000"/>
              </w:rPr>
              <w:t>EHR reporting period</w:t>
            </w:r>
            <w:r>
              <w:rPr>
                <w:rFonts w:ascii="Calibri" w:eastAsia="Times New Roman" w:hAnsi="Calibri" w:cs="Times New Roman"/>
                <w:color w:val="000000"/>
              </w:rPr>
              <w:t xml:space="preserve"> </w:t>
            </w:r>
            <w:r w:rsidRPr="00751A14">
              <w:rPr>
                <w:rFonts w:ascii="Calibri" w:eastAsia="Times New Roman" w:hAnsi="Calibri" w:cs="Times New Roman"/>
                <w:color w:val="000000"/>
              </w:rPr>
              <w:t>may</w:t>
            </w:r>
            <w:r>
              <w:rPr>
                <w:rFonts w:ascii="Calibri" w:eastAsia="Times New Roman" w:hAnsi="Calibri" w:cs="Times New Roman"/>
                <w:color w:val="000000"/>
              </w:rPr>
              <w:t xml:space="preserve"> </w:t>
            </w:r>
            <w:r w:rsidRPr="00751A14">
              <w:rPr>
                <w:rFonts w:ascii="Calibri" w:eastAsia="Times New Roman" w:hAnsi="Calibri" w:cs="Times New Roman"/>
                <w:color w:val="000000"/>
              </w:rPr>
              <w:t>exclude</w:t>
            </w:r>
            <w:r>
              <w:rPr>
                <w:rFonts w:ascii="Calibri" w:eastAsia="Times New Roman" w:hAnsi="Calibri" w:cs="Times New Roman"/>
                <w:color w:val="000000"/>
              </w:rPr>
              <w:t xml:space="preserve"> </w:t>
            </w:r>
            <w:r w:rsidRPr="00751A14">
              <w:rPr>
                <w:rFonts w:ascii="Calibri" w:eastAsia="Times New Roman" w:hAnsi="Calibri" w:cs="Times New Roman"/>
                <w:color w:val="000000"/>
              </w:rPr>
              <w:t>only</w:t>
            </w:r>
            <w:r>
              <w:rPr>
                <w:rFonts w:ascii="Calibri" w:eastAsia="Times New Roman" w:hAnsi="Calibri" w:cs="Times New Roman"/>
                <w:color w:val="000000"/>
              </w:rPr>
              <w:t xml:space="preserve"> the second </w:t>
            </w:r>
            <w:r w:rsidRPr="00751A14">
              <w:rPr>
                <w:rFonts w:ascii="Calibri" w:eastAsia="Times New Roman" w:hAnsi="Calibri" w:cs="Times New Roman"/>
                <w:color w:val="000000"/>
              </w:rPr>
              <w:t xml:space="preserve">measure. </w:t>
            </w:r>
          </w:p>
        </w:tc>
      </w:tr>
      <w:tr w:rsidR="00751A14" w:rsidRPr="00751A14" w:rsidTr="00751A14">
        <w:trPr>
          <w:trHeight w:val="300"/>
        </w:trPr>
        <w:tc>
          <w:tcPr>
            <w:tcW w:w="1340" w:type="dxa"/>
            <w:vMerge/>
            <w:tcBorders>
              <w:top w:val="nil"/>
              <w:left w:val="single" w:sz="4" w:space="0" w:color="auto"/>
              <w:bottom w:val="nil"/>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single" w:sz="4" w:space="0" w:color="auto"/>
              <w:left w:val="nil"/>
              <w:bottom w:val="single" w:sz="4" w:space="0" w:color="000000"/>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r w:rsidR="00751A14" w:rsidRPr="00751A14" w:rsidTr="00751A14">
        <w:trPr>
          <w:trHeight w:val="300"/>
        </w:trPr>
        <w:tc>
          <w:tcPr>
            <w:tcW w:w="1340" w:type="dxa"/>
            <w:vMerge/>
            <w:tcBorders>
              <w:top w:val="nil"/>
              <w:left w:val="single" w:sz="4" w:space="0" w:color="auto"/>
              <w:bottom w:val="nil"/>
              <w:right w:val="nil"/>
            </w:tcBorders>
            <w:vAlign w:val="center"/>
            <w:hideMark/>
          </w:tcPr>
          <w:p w:rsidR="00751A14" w:rsidRPr="00751A14" w:rsidRDefault="00751A14" w:rsidP="00751A14">
            <w:pPr>
              <w:rPr>
                <w:rFonts w:ascii="Calibri" w:eastAsia="Times New Roman" w:hAnsi="Calibri" w:cs="Times New Roman"/>
                <w:b/>
                <w:bCs/>
                <w:color w:val="FFFFFF"/>
              </w:rPr>
            </w:pPr>
          </w:p>
        </w:tc>
        <w:tc>
          <w:tcPr>
            <w:tcW w:w="9385" w:type="dxa"/>
            <w:vMerge/>
            <w:tcBorders>
              <w:top w:val="single" w:sz="4" w:space="0" w:color="auto"/>
              <w:left w:val="nil"/>
              <w:bottom w:val="single" w:sz="4" w:space="0" w:color="000000"/>
              <w:right w:val="single" w:sz="4" w:space="0" w:color="000000"/>
            </w:tcBorders>
            <w:vAlign w:val="center"/>
            <w:hideMark/>
          </w:tcPr>
          <w:p w:rsidR="00751A14" w:rsidRPr="00751A14" w:rsidRDefault="00751A14" w:rsidP="00751A14">
            <w:pPr>
              <w:rPr>
                <w:rFonts w:ascii="Calibri" w:eastAsia="Times New Roman" w:hAnsi="Calibri" w:cs="Times New Roman"/>
                <w:color w:val="000000"/>
              </w:rPr>
            </w:pPr>
          </w:p>
        </w:tc>
      </w:tr>
    </w:tbl>
    <w:p w:rsidR="00CB6279" w:rsidRDefault="00CB6279"/>
    <w:p w:rsidR="00CB6279" w:rsidRDefault="00CB6279"/>
    <w:tbl>
      <w:tblPr>
        <w:tblW w:w="10725" w:type="dxa"/>
        <w:tblInd w:w="93" w:type="dxa"/>
        <w:tblLook w:val="04A0" w:firstRow="1" w:lastRow="0" w:firstColumn="1" w:lastColumn="0" w:noHBand="0" w:noVBand="1"/>
      </w:tblPr>
      <w:tblGrid>
        <w:gridCol w:w="1435"/>
        <w:gridCol w:w="9290"/>
      </w:tblGrid>
      <w:tr w:rsidR="007D035B" w:rsidRPr="007D035B" w:rsidTr="00556A0A">
        <w:trPr>
          <w:trHeight w:val="375"/>
        </w:trPr>
        <w:tc>
          <w:tcPr>
            <w:tcW w:w="1072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7D035B" w:rsidRPr="007D035B" w:rsidRDefault="00A7593F" w:rsidP="007D035B">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Measure 1 -</w:t>
            </w:r>
            <w:r w:rsidR="007D035B" w:rsidRPr="007D035B">
              <w:rPr>
                <w:rFonts w:ascii="Calibri" w:eastAsia="Times New Roman" w:hAnsi="Calibri" w:cs="Times New Roman"/>
                <w:b/>
                <w:bCs/>
                <w:color w:val="FFFFFF"/>
                <w:sz w:val="28"/>
                <w:szCs w:val="28"/>
              </w:rPr>
              <w:t xml:space="preserve"> Timely Access</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7D035B" w:rsidRPr="007D035B" w:rsidTr="00556A0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D035B" w:rsidRPr="007D035B" w:rsidRDefault="007D035B" w:rsidP="007D035B">
            <w:pPr>
              <w:jc w:val="right"/>
              <w:rPr>
                <w:rFonts w:ascii="Calibri" w:eastAsia="Times New Roman" w:hAnsi="Calibri" w:cs="Times New Roman"/>
                <w:b/>
                <w:bCs/>
                <w:color w:val="FFFFFF"/>
              </w:rPr>
            </w:pPr>
            <w:r w:rsidRPr="007D035B">
              <w:rPr>
                <w:rFonts w:ascii="Calibri" w:eastAsia="Times New Roman" w:hAnsi="Calibri" w:cs="Times New Roman"/>
                <w:b/>
                <w:bCs/>
                <w:color w:val="FFFFFF"/>
              </w:rPr>
              <w:t>Denominator</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7D035B" w:rsidRPr="007D035B" w:rsidRDefault="007D035B" w:rsidP="007D035B">
            <w:pPr>
              <w:rPr>
                <w:rFonts w:ascii="Calibri" w:eastAsia="Times New Roman" w:hAnsi="Calibri" w:cs="Times New Roman"/>
                <w:color w:val="000000"/>
              </w:rPr>
            </w:pPr>
            <w:r w:rsidRPr="007D035B">
              <w:rPr>
                <w:rFonts w:ascii="Calibri" w:eastAsia="Times New Roman" w:hAnsi="Calibri" w:cs="Times New Roman"/>
                <w:color w:val="000000"/>
              </w:rPr>
              <w:t>Number of unique patients seen by the EP during the EHR reporting period</w:t>
            </w:r>
          </w:p>
        </w:tc>
      </w:tr>
      <w:tr w:rsidR="007D035B" w:rsidRPr="007D035B" w:rsidTr="00556A0A">
        <w:trPr>
          <w:trHeight w:val="300"/>
        </w:trPr>
        <w:tc>
          <w:tcPr>
            <w:tcW w:w="1435" w:type="dxa"/>
            <w:vMerge/>
            <w:tcBorders>
              <w:top w:val="nil"/>
              <w:left w:val="single" w:sz="4" w:space="0" w:color="auto"/>
              <w:bottom w:val="single" w:sz="4" w:space="0" w:color="000000"/>
              <w:right w:val="nil"/>
            </w:tcBorders>
            <w:vAlign w:val="center"/>
            <w:hideMark/>
          </w:tcPr>
          <w:p w:rsidR="007D035B" w:rsidRPr="007D035B" w:rsidRDefault="007D035B" w:rsidP="007D035B">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7D035B" w:rsidRPr="007D035B" w:rsidRDefault="007D035B" w:rsidP="007D035B">
            <w:pPr>
              <w:rPr>
                <w:rFonts w:ascii="Calibri" w:eastAsia="Times New Roman" w:hAnsi="Calibri" w:cs="Times New Roman"/>
                <w:color w:val="000000"/>
              </w:rPr>
            </w:pPr>
          </w:p>
        </w:tc>
      </w:tr>
      <w:tr w:rsidR="007D035B" w:rsidRPr="007D035B" w:rsidTr="00556A0A">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7D035B" w:rsidRPr="007D035B" w:rsidRDefault="007D035B" w:rsidP="007D035B">
            <w:pPr>
              <w:jc w:val="right"/>
              <w:rPr>
                <w:rFonts w:ascii="Calibri" w:eastAsia="Times New Roman" w:hAnsi="Calibri" w:cs="Times New Roman"/>
                <w:b/>
                <w:bCs/>
                <w:color w:val="FFFFFF"/>
              </w:rPr>
            </w:pPr>
            <w:r w:rsidRPr="007D035B">
              <w:rPr>
                <w:rFonts w:ascii="Calibri" w:eastAsia="Times New Roman" w:hAnsi="Calibri" w:cs="Times New Roman"/>
                <w:b/>
                <w:bCs/>
                <w:color w:val="FFFFFF"/>
              </w:rPr>
              <w:t>Numerator</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7D035B" w:rsidRPr="007D035B" w:rsidRDefault="007D035B" w:rsidP="007D035B">
            <w:pPr>
              <w:rPr>
                <w:rFonts w:ascii="Calibri" w:eastAsia="Times New Roman" w:hAnsi="Calibri" w:cs="Times New Roman"/>
                <w:color w:val="000000"/>
              </w:rPr>
            </w:pPr>
            <w:r w:rsidRPr="007D035B">
              <w:rPr>
                <w:rFonts w:ascii="Calibri" w:eastAsia="Times New Roman" w:hAnsi="Calibri" w:cs="Times New Roman"/>
                <w:color w:val="000000"/>
              </w:rPr>
              <w:t>The number of patients in the denominator who have timely (within 4 business days after the information is available to the EP) online access to their health information</w:t>
            </w:r>
          </w:p>
        </w:tc>
      </w:tr>
      <w:tr w:rsidR="007D035B" w:rsidRPr="007D035B" w:rsidTr="00556A0A">
        <w:trPr>
          <w:trHeight w:val="300"/>
        </w:trPr>
        <w:tc>
          <w:tcPr>
            <w:tcW w:w="1435" w:type="dxa"/>
            <w:vMerge/>
            <w:tcBorders>
              <w:top w:val="nil"/>
              <w:left w:val="single" w:sz="4" w:space="0" w:color="auto"/>
              <w:bottom w:val="single" w:sz="4" w:space="0" w:color="000000"/>
              <w:right w:val="nil"/>
            </w:tcBorders>
            <w:vAlign w:val="center"/>
            <w:hideMark/>
          </w:tcPr>
          <w:p w:rsidR="007D035B" w:rsidRPr="007D035B" w:rsidRDefault="007D035B" w:rsidP="007D035B">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7D035B" w:rsidRPr="007D035B" w:rsidRDefault="007D035B" w:rsidP="007D035B">
            <w:pPr>
              <w:rPr>
                <w:rFonts w:ascii="Calibri" w:eastAsia="Times New Roman" w:hAnsi="Calibri" w:cs="Times New Roman"/>
                <w:color w:val="000000"/>
              </w:rPr>
            </w:pPr>
          </w:p>
        </w:tc>
      </w:tr>
      <w:tr w:rsidR="007D035B" w:rsidRPr="007D035B" w:rsidTr="00556A0A">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7D035B" w:rsidRPr="007D035B" w:rsidRDefault="007D035B" w:rsidP="007D035B">
            <w:pPr>
              <w:jc w:val="right"/>
              <w:rPr>
                <w:rFonts w:ascii="Calibri" w:eastAsia="Times New Roman" w:hAnsi="Calibri" w:cs="Times New Roman"/>
                <w:b/>
                <w:bCs/>
                <w:color w:val="FFFFFF"/>
              </w:rPr>
            </w:pPr>
            <w:r w:rsidRPr="007D035B">
              <w:rPr>
                <w:rFonts w:ascii="Calibri" w:eastAsia="Times New Roman" w:hAnsi="Calibri" w:cs="Times New Roman"/>
                <w:b/>
                <w:bCs/>
                <w:color w:val="FFFFFF"/>
              </w:rPr>
              <w:t>Threshold</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7D035B" w:rsidRPr="007D035B" w:rsidRDefault="007D035B" w:rsidP="007D035B">
            <w:pPr>
              <w:rPr>
                <w:rFonts w:ascii="Calibri" w:eastAsia="Times New Roman" w:hAnsi="Calibri" w:cs="Times New Roman"/>
                <w:color w:val="000000"/>
              </w:rPr>
            </w:pPr>
            <w:r w:rsidRPr="007D035B">
              <w:rPr>
                <w:rFonts w:ascii="Calibri" w:eastAsia="Times New Roman" w:hAnsi="Calibri" w:cs="Times New Roman"/>
                <w:color w:val="000000"/>
              </w:rPr>
              <w:t>The resulting percentage must be more than 50 percent in order for an EP to meet this measure</w:t>
            </w:r>
          </w:p>
        </w:tc>
      </w:tr>
      <w:tr w:rsidR="007D035B" w:rsidRPr="007D035B" w:rsidTr="00556A0A">
        <w:trPr>
          <w:trHeight w:val="300"/>
        </w:trPr>
        <w:tc>
          <w:tcPr>
            <w:tcW w:w="1435" w:type="dxa"/>
            <w:vMerge/>
            <w:tcBorders>
              <w:top w:val="nil"/>
              <w:left w:val="single" w:sz="4" w:space="0" w:color="auto"/>
              <w:bottom w:val="single" w:sz="4" w:space="0" w:color="000000"/>
              <w:right w:val="nil"/>
            </w:tcBorders>
            <w:vAlign w:val="center"/>
            <w:hideMark/>
          </w:tcPr>
          <w:p w:rsidR="007D035B" w:rsidRPr="007D035B" w:rsidRDefault="007D035B" w:rsidP="007D035B">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7D035B" w:rsidRPr="007D035B" w:rsidRDefault="007D035B" w:rsidP="007D035B">
            <w:pPr>
              <w:rPr>
                <w:rFonts w:ascii="Calibri" w:eastAsia="Times New Roman" w:hAnsi="Calibri" w:cs="Times New Roman"/>
                <w:color w:val="000000"/>
              </w:rPr>
            </w:pPr>
          </w:p>
        </w:tc>
      </w:tr>
    </w:tbl>
    <w:p w:rsidR="00CB6279" w:rsidRDefault="00CB6279"/>
    <w:tbl>
      <w:tblPr>
        <w:tblW w:w="10725" w:type="dxa"/>
        <w:tblInd w:w="93" w:type="dxa"/>
        <w:tblLook w:val="04A0" w:firstRow="1" w:lastRow="0" w:firstColumn="1" w:lastColumn="0" w:noHBand="0" w:noVBand="1"/>
      </w:tblPr>
      <w:tblGrid>
        <w:gridCol w:w="1435"/>
        <w:gridCol w:w="9290"/>
      </w:tblGrid>
      <w:tr w:rsidR="00556A0A" w:rsidRPr="00556A0A" w:rsidTr="006D5B03">
        <w:trPr>
          <w:trHeight w:val="375"/>
        </w:trPr>
        <w:tc>
          <w:tcPr>
            <w:tcW w:w="1072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556A0A" w:rsidRPr="00556A0A" w:rsidRDefault="00A7593F" w:rsidP="00556A0A">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 xml:space="preserve">Measure 2 - </w:t>
            </w:r>
            <w:r w:rsidR="00556A0A" w:rsidRPr="00556A0A">
              <w:rPr>
                <w:rFonts w:ascii="Calibri" w:eastAsia="Times New Roman" w:hAnsi="Calibri" w:cs="Times New Roman"/>
                <w:b/>
                <w:bCs/>
                <w:color w:val="FFFFFF"/>
                <w:sz w:val="28"/>
                <w:szCs w:val="28"/>
              </w:rPr>
              <w:t>View, Download, or Transmit</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556A0A" w:rsidRPr="00556A0A" w:rsidTr="006D5B0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556A0A" w:rsidRPr="00556A0A" w:rsidRDefault="00556A0A" w:rsidP="00556A0A">
            <w:pPr>
              <w:jc w:val="right"/>
              <w:rPr>
                <w:rFonts w:ascii="Calibri" w:eastAsia="Times New Roman" w:hAnsi="Calibri" w:cs="Times New Roman"/>
                <w:b/>
                <w:bCs/>
                <w:color w:val="FFFFFF"/>
              </w:rPr>
            </w:pPr>
            <w:r w:rsidRPr="00556A0A">
              <w:rPr>
                <w:rFonts w:ascii="Calibri" w:eastAsia="Times New Roman" w:hAnsi="Calibri" w:cs="Times New Roman"/>
                <w:b/>
                <w:bCs/>
                <w:color w:val="FFFFFF"/>
              </w:rPr>
              <w:t>Denominator</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556A0A" w:rsidRPr="00556A0A" w:rsidRDefault="00556A0A" w:rsidP="00556A0A">
            <w:pPr>
              <w:rPr>
                <w:rFonts w:ascii="Calibri" w:eastAsia="Times New Roman" w:hAnsi="Calibri" w:cs="Times New Roman"/>
                <w:color w:val="000000"/>
              </w:rPr>
            </w:pPr>
            <w:r w:rsidRPr="00556A0A">
              <w:rPr>
                <w:rFonts w:ascii="Calibri" w:eastAsia="Times New Roman" w:hAnsi="Calibri" w:cs="Times New Roman"/>
                <w:color w:val="000000"/>
              </w:rPr>
              <w:t>Number of unique patients seen by the EP during the EHR reporting period</w:t>
            </w:r>
          </w:p>
        </w:tc>
      </w:tr>
      <w:tr w:rsidR="00556A0A" w:rsidRPr="00556A0A" w:rsidTr="006D5B03">
        <w:trPr>
          <w:trHeight w:val="300"/>
        </w:trPr>
        <w:tc>
          <w:tcPr>
            <w:tcW w:w="1435" w:type="dxa"/>
            <w:vMerge/>
            <w:tcBorders>
              <w:top w:val="nil"/>
              <w:left w:val="single" w:sz="4" w:space="0" w:color="auto"/>
              <w:bottom w:val="single" w:sz="4" w:space="0" w:color="000000"/>
              <w:right w:val="nil"/>
            </w:tcBorders>
            <w:vAlign w:val="center"/>
            <w:hideMark/>
          </w:tcPr>
          <w:p w:rsidR="00556A0A" w:rsidRPr="00556A0A" w:rsidRDefault="00556A0A" w:rsidP="00556A0A">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556A0A" w:rsidRPr="00556A0A" w:rsidRDefault="00556A0A" w:rsidP="00556A0A">
            <w:pPr>
              <w:rPr>
                <w:rFonts w:ascii="Calibri" w:eastAsia="Times New Roman" w:hAnsi="Calibri" w:cs="Times New Roman"/>
                <w:color w:val="000000"/>
              </w:rPr>
            </w:pPr>
          </w:p>
        </w:tc>
      </w:tr>
      <w:tr w:rsidR="00556A0A" w:rsidRPr="00556A0A" w:rsidTr="006D5B0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556A0A" w:rsidRPr="00556A0A" w:rsidRDefault="00556A0A" w:rsidP="00556A0A">
            <w:pPr>
              <w:jc w:val="right"/>
              <w:rPr>
                <w:rFonts w:ascii="Calibri" w:eastAsia="Times New Roman" w:hAnsi="Calibri" w:cs="Times New Roman"/>
                <w:b/>
                <w:bCs/>
                <w:color w:val="FFFFFF"/>
              </w:rPr>
            </w:pPr>
            <w:r w:rsidRPr="00556A0A">
              <w:rPr>
                <w:rFonts w:ascii="Calibri" w:eastAsia="Times New Roman" w:hAnsi="Calibri" w:cs="Times New Roman"/>
                <w:b/>
                <w:bCs/>
                <w:color w:val="FFFFFF"/>
              </w:rPr>
              <w:t>Numerator</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556A0A" w:rsidRPr="00556A0A" w:rsidRDefault="00556A0A" w:rsidP="00556A0A">
            <w:pPr>
              <w:rPr>
                <w:rFonts w:ascii="Calibri" w:eastAsia="Times New Roman" w:hAnsi="Calibri" w:cs="Times New Roman"/>
                <w:color w:val="000000"/>
              </w:rPr>
            </w:pPr>
            <w:r w:rsidRPr="00556A0A">
              <w:rPr>
                <w:rFonts w:ascii="Calibri" w:eastAsia="Times New Roman" w:hAnsi="Calibri" w:cs="Times New Roman"/>
                <w:color w:val="000000"/>
              </w:rPr>
              <w:t>The number of unique patients (or their authorized representatives) in the denominator who have viewed online, downloaded, or transmitted to a third party the patient's health information</w:t>
            </w:r>
          </w:p>
        </w:tc>
      </w:tr>
      <w:tr w:rsidR="00556A0A" w:rsidRPr="00556A0A" w:rsidTr="006D5B03">
        <w:trPr>
          <w:trHeight w:val="300"/>
        </w:trPr>
        <w:tc>
          <w:tcPr>
            <w:tcW w:w="1435" w:type="dxa"/>
            <w:vMerge/>
            <w:tcBorders>
              <w:top w:val="nil"/>
              <w:left w:val="single" w:sz="4" w:space="0" w:color="auto"/>
              <w:bottom w:val="single" w:sz="4" w:space="0" w:color="000000"/>
              <w:right w:val="nil"/>
            </w:tcBorders>
            <w:vAlign w:val="center"/>
            <w:hideMark/>
          </w:tcPr>
          <w:p w:rsidR="00556A0A" w:rsidRPr="00556A0A" w:rsidRDefault="00556A0A" w:rsidP="00556A0A">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556A0A" w:rsidRPr="00556A0A" w:rsidRDefault="00556A0A" w:rsidP="00556A0A">
            <w:pPr>
              <w:rPr>
                <w:rFonts w:ascii="Calibri" w:eastAsia="Times New Roman" w:hAnsi="Calibri" w:cs="Times New Roman"/>
                <w:color w:val="000000"/>
              </w:rPr>
            </w:pPr>
          </w:p>
        </w:tc>
      </w:tr>
      <w:tr w:rsidR="00556A0A" w:rsidRPr="00556A0A" w:rsidTr="006D5B0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556A0A" w:rsidRPr="00556A0A" w:rsidRDefault="00556A0A" w:rsidP="00556A0A">
            <w:pPr>
              <w:jc w:val="right"/>
              <w:rPr>
                <w:rFonts w:ascii="Calibri" w:eastAsia="Times New Roman" w:hAnsi="Calibri" w:cs="Times New Roman"/>
                <w:b/>
                <w:bCs/>
                <w:color w:val="FFFFFF"/>
              </w:rPr>
            </w:pPr>
            <w:r w:rsidRPr="00556A0A">
              <w:rPr>
                <w:rFonts w:ascii="Calibri" w:eastAsia="Times New Roman" w:hAnsi="Calibri" w:cs="Times New Roman"/>
                <w:b/>
                <w:bCs/>
                <w:color w:val="FFFFFF"/>
              </w:rPr>
              <w:t>Threshold</w:t>
            </w:r>
          </w:p>
        </w:tc>
        <w:tc>
          <w:tcPr>
            <w:tcW w:w="9290" w:type="dxa"/>
            <w:vMerge w:val="restart"/>
            <w:tcBorders>
              <w:top w:val="single" w:sz="4" w:space="0" w:color="auto"/>
              <w:left w:val="nil"/>
              <w:bottom w:val="single" w:sz="4" w:space="0" w:color="000000"/>
              <w:right w:val="single" w:sz="4" w:space="0" w:color="000000"/>
            </w:tcBorders>
            <w:shd w:val="clear" w:color="auto" w:fill="auto"/>
            <w:vAlign w:val="center"/>
            <w:hideMark/>
          </w:tcPr>
          <w:p w:rsidR="00556A0A" w:rsidRPr="00556A0A" w:rsidRDefault="00556A0A" w:rsidP="00556A0A">
            <w:pPr>
              <w:rPr>
                <w:rFonts w:ascii="Calibri" w:eastAsia="Times New Roman" w:hAnsi="Calibri" w:cs="Times New Roman"/>
                <w:color w:val="000000"/>
              </w:rPr>
            </w:pPr>
            <w:r w:rsidRPr="00556A0A">
              <w:rPr>
                <w:rFonts w:ascii="Calibri" w:eastAsia="Times New Roman" w:hAnsi="Calibri" w:cs="Times New Roman"/>
                <w:color w:val="000000"/>
              </w:rPr>
              <w:t>The resulting percentage must be more than 5 percent in order for an EP to meet this measure</w:t>
            </w:r>
          </w:p>
        </w:tc>
      </w:tr>
      <w:tr w:rsidR="00556A0A" w:rsidRPr="00556A0A" w:rsidTr="006D5B03">
        <w:trPr>
          <w:trHeight w:val="300"/>
        </w:trPr>
        <w:tc>
          <w:tcPr>
            <w:tcW w:w="1435" w:type="dxa"/>
            <w:vMerge/>
            <w:tcBorders>
              <w:top w:val="nil"/>
              <w:left w:val="single" w:sz="4" w:space="0" w:color="auto"/>
              <w:bottom w:val="single" w:sz="4" w:space="0" w:color="000000"/>
              <w:right w:val="nil"/>
            </w:tcBorders>
            <w:vAlign w:val="center"/>
            <w:hideMark/>
          </w:tcPr>
          <w:p w:rsidR="00556A0A" w:rsidRPr="00556A0A" w:rsidRDefault="00556A0A" w:rsidP="00556A0A">
            <w:pPr>
              <w:rPr>
                <w:rFonts w:ascii="Calibri" w:eastAsia="Times New Roman" w:hAnsi="Calibri" w:cs="Times New Roman"/>
                <w:b/>
                <w:bCs/>
                <w:color w:val="FFFFFF"/>
              </w:rPr>
            </w:pPr>
          </w:p>
        </w:tc>
        <w:tc>
          <w:tcPr>
            <w:tcW w:w="9290" w:type="dxa"/>
            <w:vMerge/>
            <w:tcBorders>
              <w:top w:val="single" w:sz="4" w:space="0" w:color="auto"/>
              <w:left w:val="nil"/>
              <w:bottom w:val="single" w:sz="4" w:space="0" w:color="000000"/>
              <w:right w:val="single" w:sz="4" w:space="0" w:color="000000"/>
            </w:tcBorders>
            <w:vAlign w:val="center"/>
            <w:hideMark/>
          </w:tcPr>
          <w:p w:rsidR="00556A0A" w:rsidRPr="00556A0A" w:rsidRDefault="00556A0A" w:rsidP="00556A0A">
            <w:pPr>
              <w:rPr>
                <w:rFonts w:ascii="Calibri" w:eastAsia="Times New Roman" w:hAnsi="Calibri" w:cs="Times New Roman"/>
                <w:color w:val="000000"/>
              </w:rPr>
            </w:pPr>
          </w:p>
        </w:tc>
      </w:tr>
    </w:tbl>
    <w:p w:rsidR="00CB6279" w:rsidRDefault="00CB6279"/>
    <w:p w:rsidR="006D5B03" w:rsidRDefault="006D5B03">
      <w:r>
        <w:br w:type="page"/>
      </w:r>
    </w:p>
    <w:p w:rsidR="006D5B03" w:rsidRPr="008B51F5" w:rsidRDefault="006D5B03" w:rsidP="00B85C07">
      <w:pPr>
        <w:pStyle w:val="Heading3"/>
      </w:pPr>
      <w:bookmarkStart w:id="49" w:name="_Toc390171163"/>
      <w:r>
        <w:t>Patient Electronic Access</w:t>
      </w:r>
      <w:r w:rsidRPr="008B51F5">
        <w:t>: Explanation of Measure</w:t>
      </w:r>
      <w:bookmarkEnd w:id="49"/>
    </w:p>
    <w:p w:rsidR="006D5B03" w:rsidRDefault="006D5B03" w:rsidP="006D5B03">
      <w:pPr>
        <w:rPr>
          <w:b/>
        </w:rPr>
      </w:pPr>
    </w:p>
    <w:p w:rsidR="006D5B03" w:rsidRPr="00B85C07" w:rsidRDefault="006D5B03" w:rsidP="00B85C07">
      <w:pPr>
        <w:pStyle w:val="Heading4"/>
      </w:pPr>
      <w:bookmarkStart w:id="50" w:name="_Toc390171164"/>
      <w:r w:rsidRPr="00B85C07">
        <w:t>Measure 1:</w:t>
      </w:r>
      <w:r w:rsidR="00653D4A" w:rsidRPr="00B85C07">
        <w:t xml:space="preserve"> Timely Access</w:t>
      </w:r>
      <w:bookmarkEnd w:id="50"/>
    </w:p>
    <w:p w:rsidR="00D85E2F" w:rsidRDefault="00D85E2F" w:rsidP="006D5B03"/>
    <w:p w:rsidR="006D5B03" w:rsidRDefault="006D5B03" w:rsidP="006D5B03">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6D5B03" w:rsidRDefault="006D5B03" w:rsidP="006D5B03"/>
    <w:p w:rsidR="006D5B03" w:rsidRDefault="002C1700" w:rsidP="006D5B03">
      <w:r>
        <w:t>This measure is met by electronically providing the patient a Health Summary within 4 business days of their visit. Once a Health Summary has been provided by an EP for an individual patient within 4 days of the patient’s visit, then this patient will count towards the numerator for that EP so long as the visit in question falls within the reporting period. Providing Health Summaries for additional visits</w:t>
      </w:r>
      <w:r w:rsidR="003E7C95">
        <w:t xml:space="preserve"> for this patient,</w:t>
      </w:r>
      <w:r>
        <w:t xml:space="preserve"> while certainly encouraged, will not provide any additional numerator values </w:t>
      </w:r>
      <w:r w:rsidR="003E7C95">
        <w:t>for that EP relative to this measure</w:t>
      </w:r>
      <w:r>
        <w:t xml:space="preserve">. </w:t>
      </w:r>
    </w:p>
    <w:p w:rsidR="006D5B03" w:rsidRDefault="006D5B03" w:rsidP="006D5B03"/>
    <w:p w:rsidR="0008024B" w:rsidRDefault="0008024B" w:rsidP="006D5B03">
      <w:r>
        <w:t xml:space="preserve">Each EP will need to provide at least one Health Summary </w:t>
      </w:r>
      <w:r w:rsidR="00144823">
        <w:t xml:space="preserve">within 4 business days of a visit </w:t>
      </w:r>
      <w:r>
        <w:t xml:space="preserve">for each individual patient seen during the reporting period in order to receive credit for the numerator for this measure. If more than one EP has a visit with the same patient during the reporting period, then each EP will need to provide their own Health Summary within 4 business days of their visit with the patient in order for that patient to count towards the numerator for that EP.  </w:t>
      </w:r>
    </w:p>
    <w:p w:rsidR="0008024B" w:rsidRDefault="0008024B" w:rsidP="006D5B03"/>
    <w:p w:rsidR="003A1EC0" w:rsidRDefault="003A1EC0" w:rsidP="006D5B03"/>
    <w:p w:rsidR="006D5B03" w:rsidRPr="007A12AD" w:rsidRDefault="006D5B03" w:rsidP="00B85C07">
      <w:pPr>
        <w:pStyle w:val="Heading4"/>
      </w:pPr>
      <w:bookmarkStart w:id="51" w:name="_Toc390171165"/>
      <w:r w:rsidRPr="007A12AD">
        <w:t>Measure 2:</w:t>
      </w:r>
      <w:r w:rsidR="00653D4A" w:rsidRPr="007A12AD">
        <w:t xml:space="preserve"> View, Download, or Transmit</w:t>
      </w:r>
      <w:bookmarkEnd w:id="51"/>
    </w:p>
    <w:p w:rsidR="00D85E2F" w:rsidRDefault="00D85E2F" w:rsidP="006D5B03"/>
    <w:p w:rsidR="006D5B03" w:rsidRDefault="006D5B03" w:rsidP="006D5B03">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CB6279" w:rsidRDefault="00CB6279"/>
    <w:p w:rsidR="00651D4F" w:rsidRDefault="00651D4F">
      <w:r>
        <w:t xml:space="preserve">This measure is met </w:t>
      </w:r>
      <w:r w:rsidR="001A5EBD">
        <w:t>by having the patient V</w:t>
      </w:r>
      <w:r w:rsidR="00E760E5">
        <w:t>iew</w:t>
      </w:r>
      <w:r w:rsidR="001A5EBD">
        <w:t>, Download, or T</w:t>
      </w:r>
      <w:r w:rsidR="00E760E5">
        <w:t>ransmit the</w:t>
      </w:r>
      <w:r>
        <w:t xml:space="preserve"> </w:t>
      </w:r>
      <w:r w:rsidR="00E760E5">
        <w:t xml:space="preserve">aforementioned electronic </w:t>
      </w:r>
      <w:r>
        <w:t>Health Summary</w:t>
      </w:r>
      <w:r w:rsidR="00E760E5">
        <w:t xml:space="preserve">. </w:t>
      </w:r>
      <w:r w:rsidR="001A5EBD">
        <w:t xml:space="preserve">Unlike other Core and Menu Measures, this option can only be met through direct patient action. As a result, providers are encouraged to take an active part in ensuring their patients perform the actions necessary for this measure to be met. </w:t>
      </w:r>
    </w:p>
    <w:p w:rsidR="00651D4F" w:rsidRDefault="00651D4F"/>
    <w:p w:rsidR="00653D4A" w:rsidRDefault="001A5EBD" w:rsidP="00651D4F">
      <w:r>
        <w:t>The action of having the patient View, Download, or Transmit their Health Summary</w:t>
      </w:r>
      <w:r w:rsidR="00651D4F">
        <w:t xml:space="preserve"> is not tied to an individual EP within a practice. All EP’s within a practice will receive credit for a patient who has </w:t>
      </w:r>
      <w:r>
        <w:t xml:space="preserve">viewed, downloaded, or transmitted their Health Summary </w:t>
      </w:r>
      <w:r w:rsidR="00651D4F">
        <w:t xml:space="preserve">so long as that patient has a recorded visit with the EP during the reporting period. This means that, once the patient has </w:t>
      </w:r>
      <w:r>
        <w:t>performed an action related to their Health Summary</w:t>
      </w:r>
      <w:r w:rsidR="00651D4F">
        <w:t xml:space="preserve">, any EP who has a recorded visit with that patient during the reporting period will have that patient appear in both the numerator and denominator for this particular measure. </w:t>
      </w:r>
      <w:r w:rsidR="00653D4A">
        <w:br w:type="page"/>
      </w:r>
    </w:p>
    <w:p w:rsidR="00D74077" w:rsidRPr="004736F7" w:rsidRDefault="00D74077" w:rsidP="00D74077">
      <w:pPr>
        <w:pStyle w:val="Heading3"/>
      </w:pPr>
      <w:bookmarkStart w:id="52" w:name="_Toc390171166"/>
      <w:r>
        <w:t>Patient Electronic Access</w:t>
      </w:r>
      <w:r w:rsidRPr="004736F7">
        <w:t xml:space="preserve">: </w:t>
      </w:r>
      <w:r>
        <w:t>Meaningful Use Measures</w:t>
      </w:r>
      <w:bookmarkEnd w:id="52"/>
    </w:p>
    <w:p w:rsidR="00D74077" w:rsidRPr="00DF721A" w:rsidRDefault="00D74077" w:rsidP="00D74077"/>
    <w:p w:rsidR="00D74077" w:rsidRDefault="00D74077" w:rsidP="00D74077">
      <w:r>
        <w:t>There are two line items related to Patient Electronic Access in the Stage 2 list of Meaningful Use Measures. The line items shown in the list relate to the individual reporting options as follows:</w:t>
      </w:r>
    </w:p>
    <w:p w:rsidR="00D74077" w:rsidRDefault="00D74077" w:rsidP="00D74077"/>
    <w:tbl>
      <w:tblPr>
        <w:tblW w:w="10815" w:type="dxa"/>
        <w:tblInd w:w="93" w:type="dxa"/>
        <w:tblLook w:val="04A0" w:firstRow="1" w:lastRow="0" w:firstColumn="1" w:lastColumn="0" w:noHBand="0" w:noVBand="1"/>
      </w:tblPr>
      <w:tblGrid>
        <w:gridCol w:w="6495"/>
        <w:gridCol w:w="4320"/>
      </w:tblGrid>
      <w:tr w:rsidR="00D74077" w:rsidRPr="001936A2" w:rsidTr="007C4B61">
        <w:trPr>
          <w:trHeight w:val="315"/>
        </w:trPr>
        <w:tc>
          <w:tcPr>
            <w:tcW w:w="649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D74077" w:rsidRPr="001936A2" w:rsidRDefault="00D74077" w:rsidP="007C4B61">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Meaningful Use Measure List</w:t>
            </w:r>
          </w:p>
        </w:tc>
        <w:tc>
          <w:tcPr>
            <w:tcW w:w="4320" w:type="dxa"/>
            <w:tcBorders>
              <w:top w:val="single" w:sz="4" w:space="0" w:color="auto"/>
              <w:left w:val="nil"/>
              <w:bottom w:val="single" w:sz="4" w:space="0" w:color="auto"/>
              <w:right w:val="single" w:sz="4" w:space="0" w:color="auto"/>
            </w:tcBorders>
            <w:shd w:val="clear" w:color="000000" w:fill="4F6228"/>
            <w:noWrap/>
            <w:vAlign w:val="bottom"/>
            <w:hideMark/>
          </w:tcPr>
          <w:p w:rsidR="00D74077" w:rsidRPr="001936A2" w:rsidRDefault="00D74077" w:rsidP="007C4B61">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Reporting Option</w:t>
            </w:r>
          </w:p>
        </w:tc>
      </w:tr>
      <w:tr w:rsidR="00D74077" w:rsidRPr="001936A2" w:rsidTr="007C4B61">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74077" w:rsidRDefault="00D74077">
            <w:pPr>
              <w:rPr>
                <w:rFonts w:ascii="Calibri" w:hAnsi="Calibri"/>
                <w:color w:val="000000"/>
              </w:rPr>
            </w:pPr>
            <w:r>
              <w:rPr>
                <w:rFonts w:ascii="Calibri" w:hAnsi="Calibri"/>
                <w:color w:val="000000"/>
              </w:rPr>
              <w:t>Patient Electronic Access - Timely Access</w:t>
            </w:r>
          </w:p>
        </w:tc>
        <w:tc>
          <w:tcPr>
            <w:tcW w:w="4320" w:type="dxa"/>
            <w:tcBorders>
              <w:top w:val="nil"/>
              <w:left w:val="nil"/>
              <w:bottom w:val="single" w:sz="4" w:space="0" w:color="auto"/>
              <w:right w:val="single" w:sz="4" w:space="0" w:color="auto"/>
            </w:tcBorders>
            <w:shd w:val="clear" w:color="auto" w:fill="auto"/>
            <w:noWrap/>
            <w:vAlign w:val="bottom"/>
            <w:hideMark/>
          </w:tcPr>
          <w:p w:rsidR="00D74077" w:rsidRPr="001936A2" w:rsidRDefault="00D74077" w:rsidP="007C4B61">
            <w:pPr>
              <w:rPr>
                <w:rFonts w:ascii="Calibri" w:eastAsia="Times New Roman" w:hAnsi="Calibri" w:cs="Times New Roman"/>
                <w:color w:val="000000"/>
              </w:rPr>
            </w:pPr>
            <w:r>
              <w:rPr>
                <w:rFonts w:ascii="Calibri" w:eastAsia="Times New Roman" w:hAnsi="Calibri" w:cs="Times New Roman"/>
                <w:color w:val="000000"/>
              </w:rPr>
              <w:t>Measure 1: Timely Access</w:t>
            </w:r>
          </w:p>
        </w:tc>
      </w:tr>
      <w:tr w:rsidR="00D74077" w:rsidRPr="001936A2" w:rsidTr="007C4B61">
        <w:trPr>
          <w:trHeight w:val="300"/>
        </w:trPr>
        <w:tc>
          <w:tcPr>
            <w:tcW w:w="6495" w:type="dxa"/>
            <w:tcBorders>
              <w:top w:val="nil"/>
              <w:left w:val="single" w:sz="4" w:space="0" w:color="auto"/>
              <w:bottom w:val="single" w:sz="4" w:space="0" w:color="auto"/>
              <w:right w:val="single" w:sz="4" w:space="0" w:color="auto"/>
            </w:tcBorders>
            <w:shd w:val="clear" w:color="auto" w:fill="auto"/>
            <w:noWrap/>
            <w:vAlign w:val="bottom"/>
            <w:hideMark/>
          </w:tcPr>
          <w:p w:rsidR="00D74077" w:rsidRDefault="00D74077">
            <w:pPr>
              <w:rPr>
                <w:rFonts w:ascii="Calibri" w:hAnsi="Calibri"/>
                <w:color w:val="000000"/>
              </w:rPr>
            </w:pPr>
            <w:r>
              <w:rPr>
                <w:rFonts w:ascii="Calibri" w:hAnsi="Calibri"/>
                <w:color w:val="000000"/>
              </w:rPr>
              <w:t>Patient Electronic Access - View, Download, Transmit</w:t>
            </w:r>
          </w:p>
        </w:tc>
        <w:tc>
          <w:tcPr>
            <w:tcW w:w="4320" w:type="dxa"/>
            <w:tcBorders>
              <w:top w:val="nil"/>
              <w:left w:val="nil"/>
              <w:bottom w:val="single" w:sz="4" w:space="0" w:color="auto"/>
              <w:right w:val="single" w:sz="4" w:space="0" w:color="auto"/>
            </w:tcBorders>
            <w:shd w:val="clear" w:color="auto" w:fill="auto"/>
            <w:noWrap/>
            <w:vAlign w:val="bottom"/>
            <w:hideMark/>
          </w:tcPr>
          <w:p w:rsidR="00D74077" w:rsidRPr="001936A2" w:rsidRDefault="00D74077" w:rsidP="007C4B61">
            <w:pPr>
              <w:rPr>
                <w:rFonts w:ascii="Calibri" w:eastAsia="Times New Roman" w:hAnsi="Calibri" w:cs="Times New Roman"/>
                <w:color w:val="000000"/>
              </w:rPr>
            </w:pPr>
            <w:r w:rsidRPr="00D74077">
              <w:rPr>
                <w:rFonts w:ascii="Calibri" w:eastAsia="Times New Roman" w:hAnsi="Calibri" w:cs="Times New Roman"/>
                <w:color w:val="000000"/>
              </w:rPr>
              <w:t>Measure 2: View, Download, or Transmit</w:t>
            </w:r>
          </w:p>
        </w:tc>
      </w:tr>
    </w:tbl>
    <w:p w:rsidR="00D74077" w:rsidRDefault="00D74077" w:rsidP="00D74077"/>
    <w:p w:rsidR="00D74077" w:rsidRDefault="00D74077" w:rsidP="00D74077"/>
    <w:p w:rsidR="00D74077" w:rsidRDefault="00D74077" w:rsidP="00D74077">
      <w:r>
        <w:rPr>
          <w:noProof/>
        </w:rPr>
        <w:drawing>
          <wp:inline distT="0" distB="0" distL="0" distR="0">
            <wp:extent cx="6854190" cy="454025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D74077" w:rsidRDefault="00D74077" w:rsidP="00D74077"/>
    <w:p w:rsidR="00D74077" w:rsidRDefault="00D74077" w:rsidP="00D74077">
      <w:r>
        <w:br w:type="page"/>
      </w:r>
    </w:p>
    <w:p w:rsidR="00653D4A" w:rsidRPr="008B51F5" w:rsidRDefault="00310773" w:rsidP="00B85C07">
      <w:pPr>
        <w:pStyle w:val="Heading3"/>
      </w:pPr>
      <w:bookmarkStart w:id="53" w:name="_Toc390171167"/>
      <w:r>
        <w:t>Patient Electronic Access</w:t>
      </w:r>
      <w:r w:rsidR="00653D4A" w:rsidRPr="008B51F5">
        <w:t>: Recording of Numerator in Valant</w:t>
      </w:r>
      <w:bookmarkEnd w:id="53"/>
    </w:p>
    <w:p w:rsidR="00651D4F" w:rsidRDefault="00651D4F" w:rsidP="00651D4F"/>
    <w:p w:rsidR="009C6DE5" w:rsidRDefault="009C6DE5" w:rsidP="00651D4F">
      <w:r>
        <w:t xml:space="preserve">Patient Electronic Access consists of two independent measures: </w:t>
      </w:r>
      <w:r w:rsidRPr="009C6DE5">
        <w:rPr>
          <w:b/>
        </w:rPr>
        <w:t>Timely Access</w:t>
      </w:r>
      <w:r>
        <w:t xml:space="preserve"> and </w:t>
      </w:r>
      <w:r w:rsidRPr="009C6DE5">
        <w:rPr>
          <w:b/>
        </w:rPr>
        <w:t>View, Download, or Transmit</w:t>
      </w:r>
      <w:r>
        <w:t xml:space="preserve">. The Thresholds of both of these measures need to be met in order for an EP to successfully attest for Meaningful Use. </w:t>
      </w:r>
    </w:p>
    <w:p w:rsidR="009C6DE5" w:rsidRDefault="009C6DE5" w:rsidP="00651D4F"/>
    <w:p w:rsidR="007A12AD" w:rsidRPr="007A12AD" w:rsidRDefault="007A12AD" w:rsidP="00B85C07">
      <w:pPr>
        <w:pStyle w:val="Heading4"/>
      </w:pPr>
      <w:bookmarkStart w:id="54" w:name="_Toc390171168"/>
      <w:r w:rsidRPr="007A12AD">
        <w:t>Measure 1: Timely Access</w:t>
      </w:r>
      <w:bookmarkEnd w:id="54"/>
    </w:p>
    <w:p w:rsidR="00D85E2F" w:rsidRDefault="00D85E2F">
      <w:pPr>
        <w:rPr>
          <w:b/>
        </w:rPr>
      </w:pPr>
    </w:p>
    <w:p w:rsidR="00CB6279" w:rsidRDefault="009C6DE5">
      <w:r w:rsidRPr="00A92B91">
        <w:rPr>
          <w:b/>
        </w:rPr>
        <w:t>Timely Access</w:t>
      </w:r>
      <w:r>
        <w:t xml:space="preserve"> refers to the requirement that an EP provide the patient with timely access (within 4 business days) to their health information (Health Summary). The </w:t>
      </w:r>
      <w:r w:rsidRPr="00A92B91">
        <w:rPr>
          <w:b/>
        </w:rPr>
        <w:t>Health Summary</w:t>
      </w:r>
      <w:r>
        <w:t xml:space="preserve"> uses the </w:t>
      </w:r>
      <w:r w:rsidRPr="009C6DE5">
        <w:t>Consolidated-Clinical Document Architecture (</w:t>
      </w:r>
      <w:r w:rsidRPr="00A92B91">
        <w:rPr>
          <w:b/>
        </w:rPr>
        <w:t>C-CDA</w:t>
      </w:r>
      <w:r w:rsidRPr="009C6DE5">
        <w:t xml:space="preserve">) </w:t>
      </w:r>
      <w:r>
        <w:t xml:space="preserve">standard and consists of the following </w:t>
      </w:r>
      <w:r w:rsidR="00906272">
        <w:t>sections</w:t>
      </w:r>
      <w:r>
        <w:t>:</w:t>
      </w:r>
    </w:p>
    <w:p w:rsidR="007E7AC3" w:rsidRDefault="007E7AC3"/>
    <w:p w:rsidR="009C6DE5" w:rsidRDefault="009C6DE5" w:rsidP="009C6DE5">
      <w:pPr>
        <w:pStyle w:val="ListParagraph"/>
        <w:numPr>
          <w:ilvl w:val="0"/>
          <w:numId w:val="4"/>
        </w:numPr>
      </w:pPr>
      <w:r>
        <w:t>Name of EP</w:t>
      </w:r>
    </w:p>
    <w:p w:rsidR="009C6DE5" w:rsidRDefault="009C6DE5" w:rsidP="009C6DE5">
      <w:pPr>
        <w:pStyle w:val="ListParagraph"/>
        <w:numPr>
          <w:ilvl w:val="0"/>
          <w:numId w:val="4"/>
        </w:numPr>
      </w:pPr>
      <w:r>
        <w:t xml:space="preserve">EP </w:t>
      </w:r>
      <w:r w:rsidRPr="009C6DE5">
        <w:t>office contact information</w:t>
      </w:r>
    </w:p>
    <w:p w:rsidR="009C6DE5" w:rsidRDefault="009C6DE5" w:rsidP="009C6DE5">
      <w:pPr>
        <w:pStyle w:val="ListParagraph"/>
        <w:numPr>
          <w:ilvl w:val="0"/>
          <w:numId w:val="4"/>
        </w:numPr>
      </w:pPr>
      <w:r>
        <w:t xml:space="preserve">Patient name </w:t>
      </w:r>
    </w:p>
    <w:p w:rsidR="009C6DE5" w:rsidRDefault="009C6DE5" w:rsidP="009C6DE5">
      <w:pPr>
        <w:pStyle w:val="ListParagraph"/>
        <w:numPr>
          <w:ilvl w:val="0"/>
          <w:numId w:val="4"/>
        </w:numPr>
      </w:pPr>
      <w:r>
        <w:t xml:space="preserve">Sex </w:t>
      </w:r>
    </w:p>
    <w:p w:rsidR="009C6DE5" w:rsidRDefault="009C6DE5" w:rsidP="009C6DE5">
      <w:pPr>
        <w:pStyle w:val="ListParagraph"/>
        <w:numPr>
          <w:ilvl w:val="0"/>
          <w:numId w:val="4"/>
        </w:numPr>
      </w:pPr>
      <w:r>
        <w:t xml:space="preserve">Date of birth </w:t>
      </w:r>
    </w:p>
    <w:p w:rsidR="009C6DE5" w:rsidRDefault="009C6DE5" w:rsidP="009C6DE5">
      <w:pPr>
        <w:pStyle w:val="ListParagraph"/>
        <w:numPr>
          <w:ilvl w:val="0"/>
          <w:numId w:val="4"/>
        </w:numPr>
      </w:pPr>
      <w:r>
        <w:t xml:space="preserve">Race </w:t>
      </w:r>
    </w:p>
    <w:p w:rsidR="009C6DE5" w:rsidRDefault="009C6DE5" w:rsidP="009C6DE5">
      <w:pPr>
        <w:pStyle w:val="ListParagraph"/>
        <w:numPr>
          <w:ilvl w:val="0"/>
          <w:numId w:val="4"/>
        </w:numPr>
      </w:pPr>
      <w:r>
        <w:t>Ethnicity</w:t>
      </w:r>
    </w:p>
    <w:p w:rsidR="009C6DE5" w:rsidRDefault="009C6DE5" w:rsidP="009C6DE5">
      <w:pPr>
        <w:pStyle w:val="ListParagraph"/>
        <w:numPr>
          <w:ilvl w:val="0"/>
          <w:numId w:val="4"/>
        </w:numPr>
      </w:pPr>
      <w:r>
        <w:t xml:space="preserve">Preferred language </w:t>
      </w:r>
    </w:p>
    <w:p w:rsidR="009C6DE5" w:rsidRDefault="009C6DE5" w:rsidP="009C6DE5">
      <w:pPr>
        <w:pStyle w:val="ListParagraph"/>
        <w:numPr>
          <w:ilvl w:val="0"/>
          <w:numId w:val="4"/>
        </w:numPr>
      </w:pPr>
      <w:r>
        <w:t xml:space="preserve">Smoking status </w:t>
      </w:r>
    </w:p>
    <w:p w:rsidR="009C6DE5" w:rsidRDefault="009C6DE5" w:rsidP="009C6DE5">
      <w:pPr>
        <w:pStyle w:val="ListParagraph"/>
        <w:numPr>
          <w:ilvl w:val="0"/>
          <w:numId w:val="4"/>
        </w:numPr>
      </w:pPr>
      <w:r>
        <w:t xml:space="preserve">Problems </w:t>
      </w:r>
    </w:p>
    <w:p w:rsidR="009C6DE5" w:rsidRDefault="009C6DE5" w:rsidP="009C6DE5">
      <w:pPr>
        <w:pStyle w:val="ListParagraph"/>
        <w:numPr>
          <w:ilvl w:val="0"/>
          <w:numId w:val="4"/>
        </w:numPr>
      </w:pPr>
      <w:r>
        <w:t xml:space="preserve">Medications </w:t>
      </w:r>
    </w:p>
    <w:p w:rsidR="009C6DE5" w:rsidRDefault="009C6DE5" w:rsidP="009C6DE5">
      <w:pPr>
        <w:pStyle w:val="ListParagraph"/>
        <w:numPr>
          <w:ilvl w:val="0"/>
          <w:numId w:val="4"/>
        </w:numPr>
      </w:pPr>
      <w:r>
        <w:t xml:space="preserve">Medication Allergies </w:t>
      </w:r>
    </w:p>
    <w:p w:rsidR="009C6DE5" w:rsidRDefault="009C6DE5" w:rsidP="009C6DE5">
      <w:pPr>
        <w:pStyle w:val="ListParagraph"/>
        <w:numPr>
          <w:ilvl w:val="0"/>
          <w:numId w:val="4"/>
        </w:numPr>
      </w:pPr>
      <w:r>
        <w:t xml:space="preserve">Laboratory test(s) </w:t>
      </w:r>
    </w:p>
    <w:p w:rsidR="009C6DE5" w:rsidRDefault="009C6DE5" w:rsidP="009C6DE5">
      <w:pPr>
        <w:pStyle w:val="ListParagraph"/>
        <w:numPr>
          <w:ilvl w:val="0"/>
          <w:numId w:val="4"/>
        </w:numPr>
      </w:pPr>
      <w:r>
        <w:t xml:space="preserve">Laboratory value(s)/result(s) </w:t>
      </w:r>
    </w:p>
    <w:p w:rsidR="009C6DE5" w:rsidRDefault="009C6DE5" w:rsidP="009C6DE5">
      <w:pPr>
        <w:pStyle w:val="ListParagraph"/>
        <w:numPr>
          <w:ilvl w:val="0"/>
          <w:numId w:val="4"/>
        </w:numPr>
      </w:pPr>
      <w:r>
        <w:t xml:space="preserve">Vital signs – height, weight, blood pressure, BMI </w:t>
      </w:r>
    </w:p>
    <w:p w:rsidR="009C6DE5" w:rsidRDefault="009C6DE5" w:rsidP="009C6DE5">
      <w:pPr>
        <w:pStyle w:val="ListParagraph"/>
        <w:numPr>
          <w:ilvl w:val="0"/>
          <w:numId w:val="4"/>
        </w:numPr>
      </w:pPr>
      <w:r>
        <w:t xml:space="preserve">Care plan field(s), including goals and instructions </w:t>
      </w:r>
    </w:p>
    <w:p w:rsidR="009C6DE5" w:rsidRDefault="009C6DE5" w:rsidP="009C6DE5">
      <w:pPr>
        <w:pStyle w:val="ListParagraph"/>
        <w:numPr>
          <w:ilvl w:val="0"/>
          <w:numId w:val="4"/>
        </w:numPr>
      </w:pPr>
      <w:r>
        <w:t xml:space="preserve">Procedures </w:t>
      </w:r>
    </w:p>
    <w:p w:rsidR="009C6DE5" w:rsidRDefault="009C6DE5" w:rsidP="009C6DE5">
      <w:pPr>
        <w:pStyle w:val="ListParagraph"/>
        <w:numPr>
          <w:ilvl w:val="0"/>
          <w:numId w:val="4"/>
        </w:numPr>
      </w:pPr>
      <w:r>
        <w:t>Care team member(s)</w:t>
      </w:r>
    </w:p>
    <w:p w:rsidR="007A12AD" w:rsidRDefault="007A12AD"/>
    <w:p w:rsidR="002F15CA" w:rsidRDefault="00FC5F9D">
      <w:r>
        <w:t xml:space="preserve">Each </w:t>
      </w:r>
      <w:r w:rsidR="00906272">
        <w:t>section</w:t>
      </w:r>
      <w:r>
        <w:t xml:space="preserve"> listed needs to be included with the </w:t>
      </w:r>
      <w:r w:rsidRPr="00A92B91">
        <w:rPr>
          <w:b/>
        </w:rPr>
        <w:t>Health Summary</w:t>
      </w:r>
      <w:r>
        <w:t xml:space="preserve"> in order for it to be considered valid. This differs from a </w:t>
      </w:r>
      <w:r w:rsidRPr="00A92B91">
        <w:rPr>
          <w:b/>
        </w:rPr>
        <w:t>Clinical Summary</w:t>
      </w:r>
      <w:r>
        <w:t xml:space="preserve">, which allows the provider to exclude certain </w:t>
      </w:r>
      <w:r w:rsidR="00906272">
        <w:t>sections</w:t>
      </w:r>
      <w:r>
        <w:t xml:space="preserve"> from the resulting documentation. </w:t>
      </w:r>
    </w:p>
    <w:p w:rsidR="002F15CA" w:rsidRDefault="002F15CA"/>
    <w:p w:rsidR="00FC5F9D" w:rsidRDefault="00FC5F9D">
      <w:r>
        <w:t xml:space="preserve">When generating </w:t>
      </w:r>
      <w:r w:rsidRPr="00A92B91">
        <w:t>a Health Summary</w:t>
      </w:r>
      <w:r>
        <w:t xml:space="preserve">, the provider will not be allowed to exclude any </w:t>
      </w:r>
      <w:r w:rsidR="00906272">
        <w:t>sections</w:t>
      </w:r>
      <w:r>
        <w:t xml:space="preserve">. Instead, a Health Summary is defaulted to include all </w:t>
      </w:r>
      <w:r w:rsidR="00906272">
        <w:t>sections</w:t>
      </w:r>
      <w:r>
        <w:t xml:space="preserve"> automatically.</w:t>
      </w:r>
      <w:r w:rsidR="002F15CA">
        <w:t xml:space="preserve"> </w:t>
      </w:r>
      <w:r w:rsidR="00906272">
        <w:t>Sections</w:t>
      </w:r>
      <w:r w:rsidR="002F15CA">
        <w:t xml:space="preserve"> are allowed to be empty on the Health Summary, meaning that a patient is not required to have information relating to that </w:t>
      </w:r>
      <w:r w:rsidR="00906272">
        <w:t>section</w:t>
      </w:r>
      <w:r w:rsidR="002F15CA">
        <w:t xml:space="preserve"> in order for a Health Summary to be considered complete. </w:t>
      </w:r>
    </w:p>
    <w:p w:rsidR="00FC5F9D" w:rsidRDefault="00FC5F9D"/>
    <w:p w:rsidR="00FC5F9D" w:rsidRDefault="00FC5F9D">
      <w:r>
        <w:t xml:space="preserve">To learn more information about the Health Summary, please refer to documentation </w:t>
      </w:r>
      <w:r w:rsidRPr="00FC5F9D">
        <w:rPr>
          <w:highlight w:val="yellow"/>
        </w:rPr>
        <w:t>XXXXX</w:t>
      </w:r>
      <w:r>
        <w:t>.</w:t>
      </w:r>
      <w:r w:rsidR="002F15CA">
        <w:t xml:space="preserve"> For more information relating to Clinical Summaries, please refer to documentation </w:t>
      </w:r>
      <w:r w:rsidR="002F15CA" w:rsidRPr="002F15CA">
        <w:rPr>
          <w:highlight w:val="yellow"/>
        </w:rPr>
        <w:t>XXXXX</w:t>
      </w:r>
      <w:r w:rsidR="002F15CA">
        <w:t>.</w:t>
      </w:r>
      <w:r>
        <w:br w:type="page"/>
      </w:r>
    </w:p>
    <w:p w:rsidR="009C6DE5" w:rsidRDefault="00A92B91">
      <w:r>
        <w:t xml:space="preserve">In order for a patient to receive a </w:t>
      </w:r>
      <w:r w:rsidRPr="00A92B91">
        <w:rPr>
          <w:b/>
        </w:rPr>
        <w:t>Health Summary</w:t>
      </w:r>
      <w:r>
        <w:t xml:space="preserve">, they must first be configured with an account in </w:t>
      </w:r>
      <w:r w:rsidRPr="00A92B91">
        <w:rPr>
          <w:b/>
        </w:rPr>
        <w:t>Patient Portal</w:t>
      </w:r>
      <w:r>
        <w:t xml:space="preserve">. The Health Summary must be provided electronically in order for an EP to meet the </w:t>
      </w:r>
      <w:r w:rsidR="00672E67">
        <w:t>numerator</w:t>
      </w:r>
      <w:r>
        <w:t xml:space="preserve"> for this measure, so the patient must have an active Patient Portal account. For more information relating to configuring a patient with Patient Portal, please refer to the documentation </w:t>
      </w:r>
      <w:r w:rsidRPr="00A92B91">
        <w:rPr>
          <w:highlight w:val="yellow"/>
        </w:rPr>
        <w:t>XXXXX</w:t>
      </w:r>
      <w:r>
        <w:t>.</w:t>
      </w:r>
    </w:p>
    <w:p w:rsidR="00FC5F9D" w:rsidRDefault="00FC5F9D"/>
    <w:p w:rsidR="00FC5F9D" w:rsidRDefault="00672E67">
      <w:r>
        <w:t xml:space="preserve">Once a patient has been configured with a Patient Portal account, they can be provided a Health Summary by right clicking on their appointment and going down to </w:t>
      </w:r>
      <w:r w:rsidRPr="00672E67">
        <w:rPr>
          <w:b/>
        </w:rPr>
        <w:t>Send C-CDA to Portal</w:t>
      </w:r>
      <w:r>
        <w:t xml:space="preserve">.  Hovering over this option will provide several courses of action. The two options which can be used to meet the numerator for this measure are </w:t>
      </w:r>
      <w:r w:rsidRPr="00672E67">
        <w:rPr>
          <w:b/>
        </w:rPr>
        <w:t>Health Summary</w:t>
      </w:r>
      <w:r>
        <w:t xml:space="preserve"> and </w:t>
      </w:r>
      <w:r w:rsidRPr="00672E67">
        <w:rPr>
          <w:b/>
        </w:rPr>
        <w:t>Clinical Summary &amp; Health Summary</w:t>
      </w:r>
      <w:r>
        <w:t xml:space="preserve">. </w:t>
      </w:r>
    </w:p>
    <w:p w:rsidR="00672E67" w:rsidRDefault="00672E67"/>
    <w:p w:rsidR="00672E67" w:rsidRPr="00672E67" w:rsidRDefault="00672E67">
      <w:pPr>
        <w:rPr>
          <w:b/>
          <w:color w:val="FF0000"/>
        </w:rPr>
      </w:pPr>
      <w:r w:rsidRPr="00672E67">
        <w:rPr>
          <w:b/>
          <w:color w:val="FF0000"/>
        </w:rPr>
        <w:t xml:space="preserve">NOTE: A Health Summary must be provided within 4 business days of the scheduled appointment in order to meet the numerator requirements. </w:t>
      </w:r>
    </w:p>
    <w:p w:rsidR="009C6DE5" w:rsidRDefault="009C6DE5"/>
    <w:p w:rsidR="007A12AD" w:rsidRDefault="009C6DE5" w:rsidP="009C6DE5">
      <w:pPr>
        <w:jc w:val="center"/>
      </w:pPr>
      <w:r>
        <w:rPr>
          <w:noProof/>
        </w:rPr>
        <w:drawing>
          <wp:inline distT="0" distB="0" distL="0" distR="0" wp14:anchorId="7C93A430" wp14:editId="470EBB00">
            <wp:extent cx="6543675" cy="34112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3675" cy="3411220"/>
                    </a:xfrm>
                    <a:prstGeom prst="rect">
                      <a:avLst/>
                    </a:prstGeom>
                    <a:noFill/>
                    <a:ln>
                      <a:noFill/>
                    </a:ln>
                  </pic:spPr>
                </pic:pic>
              </a:graphicData>
            </a:graphic>
          </wp:inline>
        </w:drawing>
      </w:r>
    </w:p>
    <w:p w:rsidR="007E7AC3" w:rsidRDefault="007E7AC3"/>
    <w:p w:rsidR="007E7AC3" w:rsidRDefault="007E7AC3"/>
    <w:p w:rsidR="00044173" w:rsidRDefault="00044173"/>
    <w:p w:rsidR="00044173" w:rsidRDefault="00672E67">
      <w:r>
        <w:t xml:space="preserve">Choosing the </w:t>
      </w:r>
      <w:r w:rsidRPr="00672E67">
        <w:rPr>
          <w:b/>
        </w:rPr>
        <w:t>Health Summary</w:t>
      </w:r>
      <w:r>
        <w:t xml:space="preserve"> option under </w:t>
      </w:r>
      <w:r w:rsidRPr="00672E67">
        <w:rPr>
          <w:b/>
        </w:rPr>
        <w:t>Send C-CDA to Portal</w:t>
      </w:r>
      <w:r>
        <w:t xml:space="preserve"> will result in the dialogue window shown below. </w:t>
      </w:r>
      <w:r w:rsidR="00044173">
        <w:t xml:space="preserve">The EP will be identified in the </w:t>
      </w:r>
      <w:r w:rsidR="00044173" w:rsidRPr="00044173">
        <w:rPr>
          <w:b/>
        </w:rPr>
        <w:t>Provider</w:t>
      </w:r>
      <w:r w:rsidR="00044173">
        <w:t xml:space="preserve"> field based on the details of the scheduled appointment. Choosing </w:t>
      </w:r>
      <w:r w:rsidR="00044173" w:rsidRPr="00CB0591">
        <w:rPr>
          <w:b/>
        </w:rPr>
        <w:t>OK</w:t>
      </w:r>
      <w:r w:rsidR="00044173">
        <w:t xml:space="preserve"> will send the Health Summary to the patient’s Portal account. </w:t>
      </w:r>
    </w:p>
    <w:p w:rsidR="00044173" w:rsidRDefault="00044173"/>
    <w:p w:rsidR="00672E67" w:rsidRDefault="00044173">
      <w:r w:rsidRPr="00044173">
        <w:rPr>
          <w:b/>
          <w:color w:val="FF0000"/>
        </w:rPr>
        <w:t xml:space="preserve">NOTE: If the patient is not configured with Patient Portal, choosing the Health Summary option under Send C-CDA to Portal will result in a warning informing the user that the patient </w:t>
      </w:r>
      <w:r>
        <w:rPr>
          <w:b/>
          <w:color w:val="FF0000"/>
        </w:rPr>
        <w:t xml:space="preserve">requires an active Patient Portal account to use this feature. </w:t>
      </w:r>
    </w:p>
    <w:p w:rsidR="00672E67" w:rsidRDefault="00672E67"/>
    <w:p w:rsidR="00CB0591" w:rsidRDefault="00FC5F9D" w:rsidP="00672E67">
      <w:pPr>
        <w:jc w:val="center"/>
      </w:pPr>
      <w:r>
        <w:rPr>
          <w:noProof/>
        </w:rPr>
        <w:drawing>
          <wp:inline distT="0" distB="0" distL="0" distR="0" wp14:anchorId="1B28C8B1" wp14:editId="06A7F20A">
            <wp:extent cx="3530600" cy="1089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0600" cy="1089025"/>
                    </a:xfrm>
                    <a:prstGeom prst="rect">
                      <a:avLst/>
                    </a:prstGeom>
                    <a:noFill/>
                    <a:ln>
                      <a:noFill/>
                    </a:ln>
                  </pic:spPr>
                </pic:pic>
              </a:graphicData>
            </a:graphic>
          </wp:inline>
        </w:drawing>
      </w:r>
      <w:r w:rsidR="00CB0591">
        <w:br w:type="page"/>
      </w:r>
    </w:p>
    <w:p w:rsidR="00CB0591" w:rsidRDefault="00CB0591" w:rsidP="00CB0591">
      <w:r>
        <w:t xml:space="preserve">Choosing the </w:t>
      </w:r>
      <w:r w:rsidRPr="00672E67">
        <w:rPr>
          <w:b/>
        </w:rPr>
        <w:t>Clinical Summary &amp; Health Summary</w:t>
      </w:r>
      <w:r>
        <w:t xml:space="preserve"> option under </w:t>
      </w:r>
      <w:r w:rsidRPr="00672E67">
        <w:rPr>
          <w:b/>
        </w:rPr>
        <w:t>Send C-CDA to Portal</w:t>
      </w:r>
      <w:r>
        <w:t xml:space="preserve"> will result in the dialogue window shown below. The EP will be identified in the </w:t>
      </w:r>
      <w:r w:rsidRPr="00044173">
        <w:rPr>
          <w:b/>
        </w:rPr>
        <w:t>Provider</w:t>
      </w:r>
      <w:r>
        <w:t xml:space="preserve"> field and the appointment date will be used in the </w:t>
      </w:r>
      <w:r w:rsidRPr="00CB0591">
        <w:rPr>
          <w:b/>
        </w:rPr>
        <w:t>Visit Date</w:t>
      </w:r>
      <w:r>
        <w:t xml:space="preserve"> based on the details of the scheduled appointment. Choosing </w:t>
      </w:r>
      <w:r w:rsidRPr="00CB0591">
        <w:rPr>
          <w:b/>
        </w:rPr>
        <w:t>Send to Portal</w:t>
      </w:r>
      <w:r>
        <w:t xml:space="preserve"> will send the Health Summary to the patient’s Portal account. </w:t>
      </w:r>
      <w:r w:rsidR="00D85E2F">
        <w:t xml:space="preserve">The other options shown on this window relate to the Clinical Summary. Please refer to the documentation on Clinical Summaries for more information about these fields. </w:t>
      </w:r>
    </w:p>
    <w:p w:rsidR="00CB0591" w:rsidRDefault="00CB0591" w:rsidP="00CB0591"/>
    <w:p w:rsidR="00FC5F9D" w:rsidRDefault="00CB0591">
      <w:r w:rsidRPr="00044173">
        <w:rPr>
          <w:b/>
          <w:color w:val="FF0000"/>
        </w:rPr>
        <w:t xml:space="preserve">NOTE: If the patient is not configured with Patient Portal, choosing the Health Summary option under Send C-CDA to Portal will result in a warning informing the user that the patient </w:t>
      </w:r>
      <w:r>
        <w:rPr>
          <w:b/>
          <w:color w:val="FF0000"/>
        </w:rPr>
        <w:t xml:space="preserve">requires an active Patient Portal account to use this feature. </w:t>
      </w:r>
    </w:p>
    <w:p w:rsidR="00FC5F9D" w:rsidRDefault="00FC5F9D"/>
    <w:p w:rsidR="00FC5F9D" w:rsidRDefault="00FC5F9D" w:rsidP="00CB0591">
      <w:pPr>
        <w:jc w:val="center"/>
      </w:pPr>
      <w:r>
        <w:rPr>
          <w:noProof/>
        </w:rPr>
        <w:drawing>
          <wp:inline distT="0" distB="0" distL="0" distR="0" wp14:anchorId="73FD24E6" wp14:editId="517D7F65">
            <wp:extent cx="5351145" cy="356997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1145" cy="3569970"/>
                    </a:xfrm>
                    <a:prstGeom prst="rect">
                      <a:avLst/>
                    </a:prstGeom>
                    <a:noFill/>
                    <a:ln>
                      <a:noFill/>
                    </a:ln>
                  </pic:spPr>
                </pic:pic>
              </a:graphicData>
            </a:graphic>
          </wp:inline>
        </w:drawing>
      </w:r>
    </w:p>
    <w:p w:rsidR="00FC5F9D" w:rsidRDefault="00FC5F9D"/>
    <w:p w:rsidR="000C22FF" w:rsidRDefault="000C22FF"/>
    <w:p w:rsidR="000C22FF" w:rsidRPr="00C263C3" w:rsidRDefault="000C22FF" w:rsidP="00B513C0">
      <w:pPr>
        <w:pStyle w:val="Heading5"/>
      </w:pPr>
      <w:r>
        <w:t>Health</w:t>
      </w:r>
      <w:r w:rsidRPr="00C263C3">
        <w:t xml:space="preserve"> Summary in Patient Portal</w:t>
      </w:r>
    </w:p>
    <w:p w:rsidR="000C22FF" w:rsidRDefault="000C22FF" w:rsidP="000C22FF"/>
    <w:p w:rsidR="000C22FF" w:rsidRDefault="000C22FF" w:rsidP="000C22FF">
      <w:r>
        <w:t xml:space="preserve">Once a </w:t>
      </w:r>
      <w:r>
        <w:rPr>
          <w:b/>
        </w:rPr>
        <w:t>Health</w:t>
      </w:r>
      <w:r w:rsidRPr="00AC04DE">
        <w:rPr>
          <w:b/>
        </w:rPr>
        <w:t xml:space="preserve"> Summary</w:t>
      </w:r>
      <w:r>
        <w:t xml:space="preserve"> has been sent to a patient, the patient is able to access the document by logging into their Patient Portal account and going to the </w:t>
      </w:r>
      <w:r w:rsidRPr="00AC04DE">
        <w:rPr>
          <w:b/>
        </w:rPr>
        <w:t>Clinical Documents</w:t>
      </w:r>
      <w:r>
        <w:t xml:space="preserve"> tab. The Health Summary will show up on the list of documents for this patient. The patient can choose to </w:t>
      </w:r>
      <w:r w:rsidRPr="00AC04DE">
        <w:rPr>
          <w:b/>
        </w:rPr>
        <w:t>View</w:t>
      </w:r>
      <w:r>
        <w:t xml:space="preserve"> the document, </w:t>
      </w:r>
      <w:r w:rsidRPr="00AC04DE">
        <w:rPr>
          <w:b/>
        </w:rPr>
        <w:t>Download</w:t>
      </w:r>
      <w:r>
        <w:t xml:space="preserve"> the document to their computer, or </w:t>
      </w:r>
      <w:r w:rsidRPr="00AC04DE">
        <w:rPr>
          <w:b/>
        </w:rPr>
        <w:t>Transmit</w:t>
      </w:r>
      <w:r>
        <w:t xml:space="preserve"> the document using Direct to another provider. </w:t>
      </w:r>
    </w:p>
    <w:p w:rsidR="000C22FF" w:rsidRDefault="000C22FF" w:rsidP="000C22FF"/>
    <w:p w:rsidR="000C22FF" w:rsidRDefault="000C22FF" w:rsidP="000C22FF">
      <w:pPr>
        <w:rPr>
          <w:b/>
          <w:u w:val="single"/>
        </w:rPr>
      </w:pPr>
      <w:r>
        <w:rPr>
          <w:noProof/>
        </w:rPr>
        <w:drawing>
          <wp:inline distT="0" distB="0" distL="0" distR="0" wp14:anchorId="568D187C" wp14:editId="7DF1423B">
            <wp:extent cx="6853534" cy="1590261"/>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b="38838"/>
                    <a:stretch/>
                  </pic:blipFill>
                  <pic:spPr bwMode="auto">
                    <a:xfrm>
                      <a:off x="0" y="0"/>
                      <a:ext cx="6854190" cy="1590413"/>
                    </a:xfrm>
                    <a:prstGeom prst="rect">
                      <a:avLst/>
                    </a:prstGeom>
                    <a:noFill/>
                    <a:ln>
                      <a:noFill/>
                    </a:ln>
                    <a:extLst>
                      <a:ext uri="{53640926-AAD7-44D8-BBD7-CCE9431645EC}">
                        <a14:shadowObscured xmlns:a14="http://schemas.microsoft.com/office/drawing/2010/main"/>
                      </a:ext>
                    </a:extLst>
                  </pic:spPr>
                </pic:pic>
              </a:graphicData>
            </a:graphic>
          </wp:inline>
        </w:drawing>
      </w:r>
    </w:p>
    <w:p w:rsidR="00AC04DE" w:rsidRDefault="00AC04DE">
      <w:pPr>
        <w:rPr>
          <w:b/>
          <w:u w:val="single"/>
        </w:rPr>
      </w:pPr>
      <w:r>
        <w:rPr>
          <w:b/>
          <w:u w:val="single"/>
        </w:rPr>
        <w:br w:type="page"/>
      </w:r>
    </w:p>
    <w:p w:rsidR="007E7AC3" w:rsidRPr="007E0B6B" w:rsidRDefault="007A12AD" w:rsidP="00B85C07">
      <w:pPr>
        <w:pStyle w:val="Heading4"/>
      </w:pPr>
      <w:bookmarkStart w:id="55" w:name="_Toc390171169"/>
      <w:r w:rsidRPr="007E0B6B">
        <w:t>Measure 2: View, Download, or Transmit</w:t>
      </w:r>
      <w:bookmarkEnd w:id="55"/>
    </w:p>
    <w:p w:rsidR="00D85E2F" w:rsidRDefault="00D85E2F"/>
    <w:p w:rsidR="007E7AC3" w:rsidRDefault="00D85E2F">
      <w:r w:rsidRPr="00AC04DE">
        <w:rPr>
          <w:b/>
        </w:rPr>
        <w:t>View, Download, or Transmit</w:t>
      </w:r>
      <w:r>
        <w:t xml:space="preserve"> refers to the actions that a patient must take in relation to the </w:t>
      </w:r>
      <w:r w:rsidRPr="00AC04DE">
        <w:rPr>
          <w:b/>
        </w:rPr>
        <w:t>Health Summary</w:t>
      </w:r>
      <w:r>
        <w:t xml:space="preserve"> in order for them to meet the numerator requirements for this measure. </w:t>
      </w:r>
      <w:r w:rsidR="00AC04DE">
        <w:t xml:space="preserve">In order for a patient to perform an action on a Health Summary, the patient must first be configured with an account in Patient Portal and a copy of a Health Summary must be sent. </w:t>
      </w:r>
      <w:r>
        <w:t xml:space="preserve"> </w:t>
      </w:r>
    </w:p>
    <w:p w:rsidR="007E7AC3" w:rsidRDefault="007E7AC3"/>
    <w:p w:rsidR="00AC04DE" w:rsidRDefault="00AC04DE">
      <w:r>
        <w:t xml:space="preserve">For more information relating to configuring a patient with Patient Portal, please refer to the documentation </w:t>
      </w:r>
      <w:r w:rsidRPr="00A92B91">
        <w:rPr>
          <w:highlight w:val="yellow"/>
        </w:rPr>
        <w:t>XXXXX</w:t>
      </w:r>
      <w:r>
        <w:t xml:space="preserve">. To learn more information about the Health Summary, please refer to documentation </w:t>
      </w:r>
      <w:r w:rsidRPr="00FC5F9D">
        <w:rPr>
          <w:highlight w:val="yellow"/>
        </w:rPr>
        <w:t>XXXXX</w:t>
      </w:r>
      <w:r>
        <w:t>.</w:t>
      </w:r>
    </w:p>
    <w:p w:rsidR="00AC04DE" w:rsidRDefault="00AC04DE"/>
    <w:p w:rsidR="00AC04DE" w:rsidRDefault="00AC04DE">
      <w:r>
        <w:t xml:space="preserve">Once a </w:t>
      </w:r>
      <w:r w:rsidRPr="00AC04DE">
        <w:rPr>
          <w:b/>
        </w:rPr>
        <w:t>Health Summary</w:t>
      </w:r>
      <w:r>
        <w:t xml:space="preserve"> has been sent to a patient, the patient is able to access the document by logging into their Patient Portal account and going to the </w:t>
      </w:r>
      <w:r w:rsidRPr="00AC04DE">
        <w:rPr>
          <w:b/>
        </w:rPr>
        <w:t>Clinical Documents</w:t>
      </w:r>
      <w:r>
        <w:t xml:space="preserve"> tab. The Health Summary will show up on the list of documents for this patient. The patient can choose to </w:t>
      </w:r>
      <w:r w:rsidRPr="00AC04DE">
        <w:rPr>
          <w:b/>
        </w:rPr>
        <w:t>View</w:t>
      </w:r>
      <w:r>
        <w:t xml:space="preserve"> the document, </w:t>
      </w:r>
      <w:r w:rsidRPr="00AC04DE">
        <w:rPr>
          <w:b/>
        </w:rPr>
        <w:t>Download</w:t>
      </w:r>
      <w:r>
        <w:t xml:space="preserve"> the </w:t>
      </w:r>
      <w:r w:rsidR="005142D7">
        <w:t>document</w:t>
      </w:r>
      <w:r>
        <w:t xml:space="preserve"> to their computer, or </w:t>
      </w:r>
      <w:r w:rsidRPr="00AC04DE">
        <w:rPr>
          <w:b/>
        </w:rPr>
        <w:t>Transmit</w:t>
      </w:r>
      <w:r>
        <w:t xml:space="preserve"> the document using Direct to another provider. Having the patient perform any of these actions will allow for them to count for the numerator for this measure. </w:t>
      </w:r>
    </w:p>
    <w:p w:rsidR="007A12AD" w:rsidRDefault="007A12AD"/>
    <w:p w:rsidR="004F7433" w:rsidRDefault="00AC04DE">
      <w:r>
        <w:rPr>
          <w:noProof/>
        </w:rPr>
        <w:drawing>
          <wp:inline distT="0" distB="0" distL="0" distR="0" wp14:anchorId="2B86D4EF" wp14:editId="6EA3A645">
            <wp:extent cx="6854190" cy="2600325"/>
            <wp:effectExtent l="0" t="0" r="381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4190" cy="2600325"/>
                    </a:xfrm>
                    <a:prstGeom prst="rect">
                      <a:avLst/>
                    </a:prstGeom>
                    <a:noFill/>
                    <a:ln>
                      <a:noFill/>
                    </a:ln>
                  </pic:spPr>
                </pic:pic>
              </a:graphicData>
            </a:graphic>
          </wp:inline>
        </w:drawing>
      </w:r>
    </w:p>
    <w:p w:rsidR="004F7433" w:rsidRDefault="004F7433">
      <w:r>
        <w:br w:type="page"/>
      </w:r>
    </w:p>
    <w:p w:rsidR="005142D7" w:rsidRDefault="004F7433" w:rsidP="004F7433">
      <w:pPr>
        <w:pStyle w:val="Heading2"/>
        <w:rPr>
          <w:rFonts w:eastAsia="Times New Roman"/>
        </w:rPr>
      </w:pPr>
      <w:bookmarkStart w:id="56" w:name="_Toc390171170"/>
      <w:r w:rsidRPr="003A4879">
        <w:rPr>
          <w:rFonts w:eastAsia="Times New Roman"/>
        </w:rPr>
        <w:t>Stage 2 - Core #8: Clinical Summaries</w:t>
      </w:r>
      <w:bookmarkEnd w:id="56"/>
      <w:r w:rsidRPr="003A4879">
        <w:rPr>
          <w:rFonts w:eastAsia="Times New Roman"/>
        </w:rPr>
        <w:t xml:space="preserve"> </w:t>
      </w:r>
    </w:p>
    <w:p w:rsidR="004F7433" w:rsidRDefault="004F7433"/>
    <w:tbl>
      <w:tblPr>
        <w:tblW w:w="10815" w:type="dxa"/>
        <w:tblInd w:w="93" w:type="dxa"/>
        <w:tblLook w:val="04A0" w:firstRow="1" w:lastRow="0" w:firstColumn="1" w:lastColumn="0" w:noHBand="0" w:noVBand="1"/>
      </w:tblPr>
      <w:tblGrid>
        <w:gridCol w:w="1340"/>
        <w:gridCol w:w="9475"/>
      </w:tblGrid>
      <w:tr w:rsidR="003A4879" w:rsidRPr="003A4879" w:rsidTr="006C32E0">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3A4879" w:rsidRPr="004F7433" w:rsidRDefault="003A4879" w:rsidP="004F7433">
            <w:pPr>
              <w:rPr>
                <w:b/>
              </w:rPr>
            </w:pPr>
            <w:r w:rsidRPr="004F7433">
              <w:rPr>
                <w:b/>
                <w:color w:val="FFFFFF" w:themeColor="background1"/>
                <w:sz w:val="32"/>
              </w:rPr>
              <w:t xml:space="preserve">Clinical Summaries </w:t>
            </w:r>
          </w:p>
        </w:tc>
      </w:tr>
      <w:tr w:rsidR="003A4879" w:rsidRPr="003A4879" w:rsidTr="006C32E0">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3A4879" w:rsidRPr="003A4879" w:rsidRDefault="003A4879" w:rsidP="003A4879">
            <w:pPr>
              <w:jc w:val="right"/>
              <w:rPr>
                <w:rFonts w:ascii="Calibri" w:eastAsia="Times New Roman" w:hAnsi="Calibri" w:cs="Times New Roman"/>
                <w:b/>
                <w:bCs/>
                <w:color w:val="FFFFFF"/>
              </w:rPr>
            </w:pPr>
            <w:r w:rsidRPr="003A4879">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3A4879" w:rsidRPr="003A4879" w:rsidRDefault="003A4879" w:rsidP="003A4879">
            <w:pPr>
              <w:rPr>
                <w:rFonts w:ascii="Calibri" w:eastAsia="Times New Roman" w:hAnsi="Calibri" w:cs="Times New Roman"/>
                <w:color w:val="000000"/>
              </w:rPr>
            </w:pPr>
            <w:r w:rsidRPr="003A4879">
              <w:rPr>
                <w:rFonts w:ascii="Calibri" w:eastAsia="Times New Roman" w:hAnsi="Calibri" w:cs="Times New Roman"/>
                <w:color w:val="000000"/>
              </w:rPr>
              <w:t>Provide clinical summaries for patients for each office visit</w:t>
            </w:r>
          </w:p>
        </w:tc>
      </w:tr>
      <w:tr w:rsidR="003A4879" w:rsidRPr="003A4879" w:rsidTr="006C32E0">
        <w:trPr>
          <w:trHeight w:val="300"/>
        </w:trPr>
        <w:tc>
          <w:tcPr>
            <w:tcW w:w="1340" w:type="dxa"/>
            <w:vMerge/>
            <w:tcBorders>
              <w:top w:val="nil"/>
              <w:left w:val="single" w:sz="4" w:space="0" w:color="auto"/>
              <w:bottom w:val="nil"/>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r w:rsidR="003A4879" w:rsidRPr="003A4879" w:rsidTr="006C32E0">
        <w:trPr>
          <w:trHeight w:val="300"/>
        </w:trPr>
        <w:tc>
          <w:tcPr>
            <w:tcW w:w="1340" w:type="dxa"/>
            <w:vMerge/>
            <w:tcBorders>
              <w:top w:val="nil"/>
              <w:left w:val="single" w:sz="4" w:space="0" w:color="auto"/>
              <w:bottom w:val="nil"/>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r w:rsidR="003A4879" w:rsidRPr="003A4879" w:rsidTr="006C32E0">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3A4879" w:rsidRPr="003A4879" w:rsidRDefault="003A4879" w:rsidP="003A4879">
            <w:pPr>
              <w:jc w:val="right"/>
              <w:rPr>
                <w:rFonts w:ascii="Calibri" w:eastAsia="Times New Roman" w:hAnsi="Calibri" w:cs="Times New Roman"/>
                <w:b/>
                <w:bCs/>
                <w:color w:val="FFFFFF"/>
              </w:rPr>
            </w:pPr>
            <w:r w:rsidRPr="003A4879">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3A4879" w:rsidRPr="003A4879" w:rsidRDefault="003A4879" w:rsidP="003A4879">
            <w:pPr>
              <w:rPr>
                <w:rFonts w:ascii="Calibri" w:eastAsia="Times New Roman" w:hAnsi="Calibri" w:cs="Times New Roman"/>
                <w:color w:val="000000"/>
              </w:rPr>
            </w:pPr>
            <w:r w:rsidRPr="003A4879">
              <w:rPr>
                <w:rFonts w:ascii="Calibri" w:eastAsia="Times New Roman" w:hAnsi="Calibri" w:cs="Times New Roman"/>
                <w:color w:val="000000"/>
              </w:rPr>
              <w:t>Clinical summaries provided to patients or patient-authorized representatives within one business day for more than 50 percent of office visits</w:t>
            </w:r>
          </w:p>
        </w:tc>
      </w:tr>
      <w:tr w:rsidR="003A4879" w:rsidRPr="003A4879" w:rsidTr="006C32E0">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r w:rsidR="003A4879" w:rsidRPr="003A4879" w:rsidTr="006C32E0">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r w:rsidR="003A4879" w:rsidRPr="003A4879" w:rsidTr="006C32E0">
        <w:trPr>
          <w:trHeight w:val="300"/>
        </w:trPr>
        <w:tc>
          <w:tcPr>
            <w:tcW w:w="1340" w:type="dxa"/>
            <w:vMerge w:val="restart"/>
            <w:tcBorders>
              <w:top w:val="nil"/>
              <w:left w:val="single" w:sz="4" w:space="0" w:color="auto"/>
              <w:bottom w:val="nil"/>
              <w:right w:val="nil"/>
            </w:tcBorders>
            <w:shd w:val="clear" w:color="000000" w:fill="1F497D"/>
            <w:vAlign w:val="center"/>
            <w:hideMark/>
          </w:tcPr>
          <w:p w:rsidR="003A4879" w:rsidRPr="003A4879" w:rsidRDefault="003A4879" w:rsidP="003A4879">
            <w:pPr>
              <w:jc w:val="right"/>
              <w:rPr>
                <w:rFonts w:ascii="Calibri" w:eastAsia="Times New Roman" w:hAnsi="Calibri" w:cs="Times New Roman"/>
                <w:b/>
                <w:bCs/>
                <w:color w:val="FFFFFF"/>
              </w:rPr>
            </w:pPr>
            <w:r w:rsidRPr="003A4879">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3A4879" w:rsidRPr="003A4879" w:rsidRDefault="003A4879" w:rsidP="003A4879">
            <w:pPr>
              <w:rPr>
                <w:rFonts w:ascii="Calibri" w:eastAsia="Times New Roman" w:hAnsi="Calibri" w:cs="Times New Roman"/>
                <w:color w:val="000000"/>
              </w:rPr>
            </w:pPr>
            <w:r w:rsidRPr="003A4879">
              <w:rPr>
                <w:rFonts w:ascii="Calibri" w:eastAsia="Times New Roman" w:hAnsi="Calibri" w:cs="Times New Roman"/>
                <w:color w:val="000000"/>
              </w:rPr>
              <w:t>Any EP who has no office visits during the EHR reporting period</w:t>
            </w:r>
          </w:p>
        </w:tc>
      </w:tr>
      <w:tr w:rsidR="003A4879" w:rsidRPr="003A4879" w:rsidTr="006C32E0">
        <w:trPr>
          <w:trHeight w:val="300"/>
        </w:trPr>
        <w:tc>
          <w:tcPr>
            <w:tcW w:w="1340" w:type="dxa"/>
            <w:vMerge/>
            <w:tcBorders>
              <w:top w:val="nil"/>
              <w:left w:val="single" w:sz="4" w:space="0" w:color="auto"/>
              <w:bottom w:val="nil"/>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r w:rsidR="003A4879" w:rsidRPr="003A4879" w:rsidTr="006C32E0">
        <w:trPr>
          <w:trHeight w:val="300"/>
        </w:trPr>
        <w:tc>
          <w:tcPr>
            <w:tcW w:w="1340" w:type="dxa"/>
            <w:vMerge/>
            <w:tcBorders>
              <w:top w:val="nil"/>
              <w:left w:val="single" w:sz="4" w:space="0" w:color="auto"/>
              <w:bottom w:val="nil"/>
              <w:right w:val="nil"/>
            </w:tcBorders>
            <w:vAlign w:val="center"/>
            <w:hideMark/>
          </w:tcPr>
          <w:p w:rsidR="003A4879" w:rsidRPr="003A4879" w:rsidRDefault="003A4879" w:rsidP="003A4879">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3A4879" w:rsidRPr="003A4879" w:rsidRDefault="003A4879" w:rsidP="003A4879">
            <w:pPr>
              <w:rPr>
                <w:rFonts w:ascii="Calibri" w:eastAsia="Times New Roman" w:hAnsi="Calibri" w:cs="Times New Roman"/>
                <w:color w:val="000000"/>
              </w:rPr>
            </w:pPr>
          </w:p>
        </w:tc>
      </w:tr>
    </w:tbl>
    <w:p w:rsidR="007A12AD" w:rsidRDefault="007A12AD"/>
    <w:tbl>
      <w:tblPr>
        <w:tblW w:w="10815" w:type="dxa"/>
        <w:tblInd w:w="93" w:type="dxa"/>
        <w:tblLook w:val="04A0" w:firstRow="1" w:lastRow="0" w:firstColumn="1" w:lastColumn="0" w:noHBand="0" w:noVBand="1"/>
      </w:tblPr>
      <w:tblGrid>
        <w:gridCol w:w="1435"/>
        <w:gridCol w:w="9380"/>
      </w:tblGrid>
      <w:tr w:rsidR="00C100EC" w:rsidRPr="00C100EC" w:rsidTr="00C100EC">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C100EC" w:rsidRPr="00C100EC" w:rsidRDefault="00C100EC" w:rsidP="00C100EC">
            <w:pPr>
              <w:rPr>
                <w:rFonts w:ascii="Calibri" w:eastAsia="Times New Roman" w:hAnsi="Calibri" w:cs="Times New Roman"/>
                <w:b/>
                <w:bCs/>
                <w:color w:val="FFFFFF"/>
                <w:sz w:val="28"/>
                <w:szCs w:val="28"/>
              </w:rPr>
            </w:pPr>
            <w:r w:rsidRPr="00C100EC">
              <w:rPr>
                <w:rFonts w:ascii="Calibri" w:eastAsia="Times New Roman" w:hAnsi="Calibri" w:cs="Times New Roman"/>
                <w:b/>
                <w:bCs/>
                <w:color w:val="FFFFFF"/>
                <w:sz w:val="28"/>
                <w:szCs w:val="28"/>
              </w:rPr>
              <w:t>Clinical Summaries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C100EC" w:rsidRPr="00C100EC" w:rsidTr="00C100EC">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C100EC" w:rsidRPr="00C100EC" w:rsidRDefault="00C100EC" w:rsidP="00C100EC">
            <w:pPr>
              <w:jc w:val="right"/>
              <w:rPr>
                <w:rFonts w:ascii="Calibri" w:eastAsia="Times New Roman" w:hAnsi="Calibri" w:cs="Times New Roman"/>
                <w:b/>
                <w:bCs/>
                <w:color w:val="FFFFFF"/>
              </w:rPr>
            </w:pPr>
            <w:r w:rsidRPr="00C100EC">
              <w:rPr>
                <w:rFonts w:ascii="Calibri" w:eastAsia="Times New Roman" w:hAnsi="Calibri" w:cs="Times New Roman"/>
                <w:b/>
                <w:bCs/>
                <w:color w:val="FFFFFF"/>
              </w:rPr>
              <w:t>Denominator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C100EC" w:rsidRPr="00C100EC" w:rsidRDefault="00C100EC" w:rsidP="00C100EC">
            <w:pPr>
              <w:rPr>
                <w:rFonts w:ascii="Calibri" w:eastAsia="Times New Roman" w:hAnsi="Calibri" w:cs="Times New Roman"/>
                <w:color w:val="000000"/>
              </w:rPr>
            </w:pPr>
            <w:r w:rsidRPr="00C100EC">
              <w:rPr>
                <w:rFonts w:ascii="Calibri" w:eastAsia="Times New Roman" w:hAnsi="Calibri" w:cs="Times New Roman"/>
                <w:color w:val="000000"/>
              </w:rPr>
              <w:t>Number of office visits conducted by the EP during the EHR reporting period</w:t>
            </w:r>
          </w:p>
        </w:tc>
      </w:tr>
      <w:tr w:rsidR="00C100EC" w:rsidRPr="00C100EC" w:rsidTr="00C100EC">
        <w:trPr>
          <w:trHeight w:val="300"/>
        </w:trPr>
        <w:tc>
          <w:tcPr>
            <w:tcW w:w="1435" w:type="dxa"/>
            <w:vMerge/>
            <w:tcBorders>
              <w:top w:val="nil"/>
              <w:left w:val="single" w:sz="4" w:space="0" w:color="auto"/>
              <w:bottom w:val="single" w:sz="4" w:space="0" w:color="000000"/>
              <w:right w:val="nil"/>
            </w:tcBorders>
            <w:vAlign w:val="center"/>
            <w:hideMark/>
          </w:tcPr>
          <w:p w:rsidR="00C100EC" w:rsidRPr="00C100EC" w:rsidRDefault="00C100EC" w:rsidP="00C100EC">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C100EC" w:rsidRPr="00C100EC" w:rsidRDefault="00C100EC" w:rsidP="00C100EC">
            <w:pPr>
              <w:rPr>
                <w:rFonts w:ascii="Calibri" w:eastAsia="Times New Roman" w:hAnsi="Calibri" w:cs="Times New Roman"/>
                <w:color w:val="000000"/>
              </w:rPr>
            </w:pPr>
          </w:p>
        </w:tc>
      </w:tr>
      <w:tr w:rsidR="00C100EC" w:rsidRPr="00C100EC" w:rsidTr="00C100EC">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C100EC" w:rsidRPr="00C100EC" w:rsidRDefault="00C100EC" w:rsidP="00C100EC">
            <w:pPr>
              <w:jc w:val="right"/>
              <w:rPr>
                <w:rFonts w:ascii="Calibri" w:eastAsia="Times New Roman" w:hAnsi="Calibri" w:cs="Times New Roman"/>
                <w:b/>
                <w:bCs/>
                <w:color w:val="FFFFFF"/>
              </w:rPr>
            </w:pPr>
            <w:r w:rsidRPr="00C100EC">
              <w:rPr>
                <w:rFonts w:ascii="Calibri" w:eastAsia="Times New Roman" w:hAnsi="Calibri" w:cs="Times New Roman"/>
                <w:b/>
                <w:bCs/>
                <w:color w:val="FFFFFF"/>
              </w:rPr>
              <w:t>Numerator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C100EC" w:rsidRPr="00C100EC" w:rsidRDefault="00C100EC" w:rsidP="00C100EC">
            <w:pPr>
              <w:rPr>
                <w:rFonts w:ascii="Calibri" w:eastAsia="Times New Roman" w:hAnsi="Calibri" w:cs="Times New Roman"/>
                <w:color w:val="000000"/>
              </w:rPr>
            </w:pPr>
            <w:r w:rsidRPr="00C100EC">
              <w:rPr>
                <w:rFonts w:ascii="Calibri" w:eastAsia="Times New Roman" w:hAnsi="Calibri" w:cs="Times New Roman"/>
                <w:color w:val="000000"/>
              </w:rPr>
              <w:t>Number of office visits in the denominator where the patient or a patient-authorized representative is provided a clinical summary of their visit within one (1) business day</w:t>
            </w:r>
          </w:p>
        </w:tc>
      </w:tr>
      <w:tr w:rsidR="00C100EC" w:rsidRPr="00C100EC" w:rsidTr="00C100EC">
        <w:trPr>
          <w:trHeight w:val="300"/>
        </w:trPr>
        <w:tc>
          <w:tcPr>
            <w:tcW w:w="1435" w:type="dxa"/>
            <w:vMerge/>
            <w:tcBorders>
              <w:top w:val="nil"/>
              <w:left w:val="single" w:sz="4" w:space="0" w:color="auto"/>
              <w:bottom w:val="single" w:sz="4" w:space="0" w:color="000000"/>
              <w:right w:val="nil"/>
            </w:tcBorders>
            <w:vAlign w:val="center"/>
            <w:hideMark/>
          </w:tcPr>
          <w:p w:rsidR="00C100EC" w:rsidRPr="00C100EC" w:rsidRDefault="00C100EC" w:rsidP="00C100EC">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C100EC" w:rsidRPr="00C100EC" w:rsidRDefault="00C100EC" w:rsidP="00C100EC">
            <w:pPr>
              <w:rPr>
                <w:rFonts w:ascii="Calibri" w:eastAsia="Times New Roman" w:hAnsi="Calibri" w:cs="Times New Roman"/>
                <w:color w:val="000000"/>
              </w:rPr>
            </w:pPr>
          </w:p>
        </w:tc>
      </w:tr>
      <w:tr w:rsidR="00C100EC" w:rsidRPr="00C100EC" w:rsidTr="00C100EC">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C100EC" w:rsidRPr="00C100EC" w:rsidRDefault="00C100EC" w:rsidP="00C100EC">
            <w:pPr>
              <w:jc w:val="right"/>
              <w:rPr>
                <w:rFonts w:ascii="Calibri" w:eastAsia="Times New Roman" w:hAnsi="Calibri" w:cs="Times New Roman"/>
                <w:b/>
                <w:bCs/>
                <w:color w:val="FFFFFF"/>
              </w:rPr>
            </w:pPr>
            <w:r w:rsidRPr="00C100EC">
              <w:rPr>
                <w:rFonts w:ascii="Calibri" w:eastAsia="Times New Roman" w:hAnsi="Calibri" w:cs="Times New Roman"/>
                <w:b/>
                <w:bCs/>
                <w:color w:val="FFFFFF"/>
              </w:rPr>
              <w:t>Threshold</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C100EC" w:rsidRPr="00C100EC" w:rsidRDefault="00C100EC" w:rsidP="00C100EC">
            <w:pPr>
              <w:rPr>
                <w:rFonts w:ascii="Calibri" w:eastAsia="Times New Roman" w:hAnsi="Calibri" w:cs="Times New Roman"/>
                <w:color w:val="000000"/>
              </w:rPr>
            </w:pPr>
            <w:r w:rsidRPr="00C100EC">
              <w:rPr>
                <w:rFonts w:ascii="Calibri" w:eastAsia="Times New Roman" w:hAnsi="Calibri" w:cs="Times New Roman"/>
                <w:color w:val="000000"/>
              </w:rPr>
              <w:t>The resulting percentage must be more than 50 percent in order for an EP to meet this measure</w:t>
            </w:r>
          </w:p>
        </w:tc>
      </w:tr>
      <w:tr w:rsidR="00C100EC" w:rsidRPr="00C100EC" w:rsidTr="00C100EC">
        <w:trPr>
          <w:trHeight w:val="300"/>
        </w:trPr>
        <w:tc>
          <w:tcPr>
            <w:tcW w:w="1435" w:type="dxa"/>
            <w:vMerge/>
            <w:tcBorders>
              <w:top w:val="nil"/>
              <w:left w:val="single" w:sz="4" w:space="0" w:color="auto"/>
              <w:bottom w:val="single" w:sz="4" w:space="0" w:color="000000"/>
              <w:right w:val="nil"/>
            </w:tcBorders>
            <w:vAlign w:val="center"/>
            <w:hideMark/>
          </w:tcPr>
          <w:p w:rsidR="00C100EC" w:rsidRPr="00C100EC" w:rsidRDefault="00C100EC" w:rsidP="00C100EC">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C100EC" w:rsidRPr="00C100EC" w:rsidRDefault="00C100EC" w:rsidP="00C100EC">
            <w:pPr>
              <w:rPr>
                <w:rFonts w:ascii="Calibri" w:eastAsia="Times New Roman" w:hAnsi="Calibri" w:cs="Times New Roman"/>
                <w:color w:val="000000"/>
              </w:rPr>
            </w:pPr>
          </w:p>
        </w:tc>
      </w:tr>
    </w:tbl>
    <w:p w:rsidR="007E7AC3" w:rsidRDefault="007E7AC3"/>
    <w:p w:rsidR="001A51EC" w:rsidRDefault="001A51EC" w:rsidP="001A51EC">
      <w:pPr>
        <w:rPr>
          <w:b/>
          <w:sz w:val="28"/>
        </w:rPr>
      </w:pPr>
    </w:p>
    <w:p w:rsidR="001A51EC" w:rsidRPr="008B51F5" w:rsidRDefault="001A51EC" w:rsidP="00B85C07">
      <w:pPr>
        <w:pStyle w:val="Heading3"/>
      </w:pPr>
      <w:bookmarkStart w:id="57" w:name="_Toc390171171"/>
      <w:r>
        <w:t>Clinical Summaries</w:t>
      </w:r>
      <w:r w:rsidRPr="008B51F5">
        <w:t>: Explanation of Measure</w:t>
      </w:r>
      <w:bookmarkEnd w:id="57"/>
    </w:p>
    <w:p w:rsidR="001A51EC" w:rsidRDefault="001A51EC" w:rsidP="001A51EC">
      <w:pPr>
        <w:rPr>
          <w:b/>
        </w:rPr>
      </w:pPr>
    </w:p>
    <w:p w:rsidR="001A51EC" w:rsidRDefault="001A51EC" w:rsidP="001A51EC">
      <w:r>
        <w:t xml:space="preserve">This measure is based the number of recorded visits by the EP during the reporting period. This measure is unique in that it is the only measure which is directly related to the amount of visits that have been recorded by an EP. </w:t>
      </w:r>
      <w:r w:rsidR="007C61BD">
        <w:t xml:space="preserve">This means that, based on the visits that have been recorded, the same patient can count towards both the numerator and denominator multiple times during a reporting period for an individual EP. </w:t>
      </w:r>
      <w:r>
        <w:t xml:space="preserve">As such, care should be taken to ensure that the proper work is done to ensure that the EP will meet the threshold for this measure.  </w:t>
      </w:r>
    </w:p>
    <w:p w:rsidR="001A51EC" w:rsidRDefault="001A51EC" w:rsidP="001A51EC"/>
    <w:p w:rsidR="001A51EC" w:rsidRDefault="001A51EC" w:rsidP="001A51EC">
      <w:r>
        <w:t>For each recorded visit the EP conducts</w:t>
      </w:r>
      <w:r w:rsidR="007C61BD">
        <w:t xml:space="preserve"> with a patient</w:t>
      </w:r>
      <w:r>
        <w:t xml:space="preserve">, a Clinical Summary is required to be provided to the patient within 1 business day of the visit. </w:t>
      </w:r>
      <w:r w:rsidR="007C61BD">
        <w:t xml:space="preserve">If the same patient is seen more than once during the reporting period, a Clinical Summary must be provided for each unique visit in order to receive credit for the numerator for that visit. The Clinical Summary can be provided electronically or it can be printed in order for an EP to receive credit. Additionally, a Clinical Summary </w:t>
      </w:r>
      <w:r w:rsidR="008A01E7">
        <w:t xml:space="preserve">can be refused by the patient. A refusal of the Clinical Summary still counts towards the numerator for the EP with regards to the recorded visit. </w:t>
      </w:r>
      <w:r w:rsidR="007C61BD">
        <w:t xml:space="preserve"> </w:t>
      </w:r>
    </w:p>
    <w:p w:rsidR="001A51EC" w:rsidRDefault="001A51EC" w:rsidP="001A51EC"/>
    <w:p w:rsidR="001A51EC" w:rsidRDefault="001A51EC" w:rsidP="001A51EC">
      <w:r>
        <w:t xml:space="preserve">Each EP will need to provide </w:t>
      </w:r>
      <w:r w:rsidR="00953556">
        <w:t>a Clinical Summary</w:t>
      </w:r>
      <w:r>
        <w:t xml:space="preserve"> </w:t>
      </w:r>
      <w:r w:rsidR="00953556">
        <w:t>within 1 business day</w:t>
      </w:r>
      <w:r>
        <w:t xml:space="preserve"> of a visit for each </w:t>
      </w:r>
      <w:r w:rsidR="00953556">
        <w:t>patient visit</w:t>
      </w:r>
      <w:r>
        <w:t xml:space="preserve"> during the reporting period in order to receive credit for the numerator for this measure. If more than one EP has a visit with the same patient during the reporting period, then each EP will need to provide their own </w:t>
      </w:r>
      <w:r w:rsidR="00953556">
        <w:t>Clinical</w:t>
      </w:r>
      <w:r>
        <w:t xml:space="preserve"> Summary</w:t>
      </w:r>
      <w:r w:rsidR="00953556">
        <w:t xml:space="preserve"> within 1 business day</w:t>
      </w:r>
      <w:r>
        <w:t xml:space="preserve"> of their visit with the patient in order for that </w:t>
      </w:r>
      <w:r w:rsidR="00953556">
        <w:t>visit</w:t>
      </w:r>
      <w:r>
        <w:t xml:space="preserve"> to count towards the numerator for that EP.  </w:t>
      </w:r>
    </w:p>
    <w:p w:rsidR="001A51EC" w:rsidRDefault="001A51EC" w:rsidP="001A51EC"/>
    <w:p w:rsidR="001A51EC" w:rsidRDefault="001A51EC" w:rsidP="001A51EC"/>
    <w:p w:rsidR="001A51EC" w:rsidRDefault="001A51EC" w:rsidP="001A51EC">
      <w:r>
        <w:br w:type="page"/>
      </w:r>
    </w:p>
    <w:p w:rsidR="00D450C7" w:rsidRPr="004736F7" w:rsidRDefault="00D450C7" w:rsidP="00D450C7">
      <w:pPr>
        <w:pStyle w:val="Heading3"/>
      </w:pPr>
      <w:bookmarkStart w:id="58" w:name="_Toc390081330"/>
      <w:bookmarkStart w:id="59" w:name="_Toc390171172"/>
      <w:r>
        <w:t>Clinical Summaries</w:t>
      </w:r>
      <w:r w:rsidRPr="004736F7">
        <w:t xml:space="preserve">: </w:t>
      </w:r>
      <w:r>
        <w:t>Meaningful Use Measures</w:t>
      </w:r>
      <w:bookmarkEnd w:id="58"/>
      <w:bookmarkEnd w:id="59"/>
    </w:p>
    <w:p w:rsidR="00D450C7" w:rsidRPr="00DF721A" w:rsidRDefault="00D450C7" w:rsidP="00D450C7"/>
    <w:p w:rsidR="00D450C7" w:rsidRDefault="00D450C7" w:rsidP="00D450C7">
      <w:r>
        <w:t xml:space="preserve">There is a single line item related to Clinical Summaries in the Stage 2 list of Meaningful Use Measures. The name of this line item is </w:t>
      </w:r>
      <w:r>
        <w:rPr>
          <w:b/>
        </w:rPr>
        <w:t>Clinical Summaries</w:t>
      </w:r>
      <w:r w:rsidRPr="00FD0136">
        <w:t>.</w:t>
      </w:r>
    </w:p>
    <w:p w:rsidR="00D450C7" w:rsidRDefault="00D450C7" w:rsidP="00D450C7"/>
    <w:p w:rsidR="00D450C7" w:rsidRDefault="00D450C7" w:rsidP="00D450C7"/>
    <w:p w:rsidR="00D450C7" w:rsidRDefault="00D450C7" w:rsidP="00D450C7">
      <w:r>
        <w:rPr>
          <w:noProof/>
        </w:rPr>
        <w:drawing>
          <wp:inline distT="0" distB="0" distL="0" distR="0">
            <wp:extent cx="6854190" cy="454025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D450C7" w:rsidRDefault="00D450C7" w:rsidP="00D450C7"/>
    <w:p w:rsidR="00D450C7" w:rsidRDefault="00D450C7" w:rsidP="00D450C7"/>
    <w:p w:rsidR="00D450C7" w:rsidRDefault="00D450C7" w:rsidP="00D450C7">
      <w:r>
        <w:br w:type="page"/>
      </w:r>
    </w:p>
    <w:p w:rsidR="001A51EC" w:rsidRPr="008B51F5" w:rsidRDefault="006A0E88" w:rsidP="00B85C07">
      <w:pPr>
        <w:pStyle w:val="Heading3"/>
      </w:pPr>
      <w:bookmarkStart w:id="60" w:name="_Toc390171173"/>
      <w:r>
        <w:t>Clinical Summaries</w:t>
      </w:r>
      <w:r w:rsidR="001A51EC" w:rsidRPr="008B51F5">
        <w:t>: Recording of Numerator in Valant</w:t>
      </w:r>
      <w:bookmarkEnd w:id="60"/>
    </w:p>
    <w:p w:rsidR="001A51EC" w:rsidRDefault="001A51EC" w:rsidP="001A51EC"/>
    <w:p w:rsidR="001A51EC" w:rsidRDefault="006A0E88" w:rsidP="001A51EC">
      <w:r>
        <w:t xml:space="preserve">A </w:t>
      </w:r>
      <w:r>
        <w:rPr>
          <w:b/>
        </w:rPr>
        <w:t xml:space="preserve">Clinical Summary </w:t>
      </w:r>
      <w:r w:rsidRPr="006A0E88">
        <w:t>must be provided</w:t>
      </w:r>
      <w:r>
        <w:rPr>
          <w:b/>
        </w:rPr>
        <w:t xml:space="preserve"> </w:t>
      </w:r>
      <w:r>
        <w:t>to the patient within 1 business day of their recorded visit in order to meet the numerator requirement for this measure</w:t>
      </w:r>
      <w:r w:rsidR="001A51EC">
        <w:t xml:space="preserve">. The </w:t>
      </w:r>
      <w:r>
        <w:rPr>
          <w:b/>
        </w:rPr>
        <w:t>Clinical</w:t>
      </w:r>
      <w:r w:rsidR="001A51EC" w:rsidRPr="00A92B91">
        <w:rPr>
          <w:b/>
        </w:rPr>
        <w:t xml:space="preserve"> Summary</w:t>
      </w:r>
      <w:r w:rsidR="001A51EC">
        <w:t xml:space="preserve"> uses the </w:t>
      </w:r>
      <w:r w:rsidR="001A51EC" w:rsidRPr="009C6DE5">
        <w:t>Consolidated-Clinical Document Architecture (</w:t>
      </w:r>
      <w:r w:rsidR="001A51EC" w:rsidRPr="00A92B91">
        <w:rPr>
          <w:b/>
        </w:rPr>
        <w:t>C-CDA</w:t>
      </w:r>
      <w:r w:rsidR="001A51EC" w:rsidRPr="009C6DE5">
        <w:t xml:space="preserve">) </w:t>
      </w:r>
      <w:r w:rsidR="001A51EC">
        <w:t xml:space="preserve">standard and consists of the following </w:t>
      </w:r>
      <w:r w:rsidR="00906272">
        <w:t>sections</w:t>
      </w:r>
      <w:r w:rsidR="001A51EC">
        <w:t>:</w:t>
      </w:r>
    </w:p>
    <w:p w:rsidR="001A51EC" w:rsidRDefault="001A51EC" w:rsidP="001A51EC"/>
    <w:p w:rsidR="000E086C" w:rsidRDefault="000E086C" w:rsidP="000E086C">
      <w:pPr>
        <w:pStyle w:val="ListParagraph"/>
        <w:numPr>
          <w:ilvl w:val="0"/>
          <w:numId w:val="4"/>
        </w:numPr>
      </w:pPr>
      <w:r>
        <w:t xml:space="preserve">Provider’s name and office contact information </w:t>
      </w:r>
    </w:p>
    <w:p w:rsidR="000E086C" w:rsidRDefault="000E086C" w:rsidP="000E086C">
      <w:pPr>
        <w:pStyle w:val="ListParagraph"/>
        <w:numPr>
          <w:ilvl w:val="0"/>
          <w:numId w:val="4"/>
        </w:numPr>
      </w:pPr>
      <w:r>
        <w:t xml:space="preserve">Date and location of visit </w:t>
      </w:r>
    </w:p>
    <w:p w:rsidR="000E086C" w:rsidRDefault="000E086C" w:rsidP="000E086C">
      <w:pPr>
        <w:pStyle w:val="ListParagraph"/>
        <w:numPr>
          <w:ilvl w:val="0"/>
          <w:numId w:val="4"/>
        </w:numPr>
      </w:pPr>
      <w:r>
        <w:t xml:space="preserve">Reason for visit </w:t>
      </w:r>
    </w:p>
    <w:p w:rsidR="000E086C" w:rsidRDefault="000E086C" w:rsidP="000E086C">
      <w:pPr>
        <w:pStyle w:val="ListParagraph"/>
        <w:numPr>
          <w:ilvl w:val="0"/>
          <w:numId w:val="4"/>
        </w:numPr>
      </w:pPr>
      <w:r>
        <w:t xml:space="preserve">Immunizations and/or medications administered during the visit </w:t>
      </w:r>
    </w:p>
    <w:p w:rsidR="000E086C" w:rsidRDefault="000E086C" w:rsidP="000E086C">
      <w:pPr>
        <w:pStyle w:val="ListParagraph"/>
        <w:numPr>
          <w:ilvl w:val="0"/>
          <w:numId w:val="4"/>
        </w:numPr>
      </w:pPr>
      <w:r>
        <w:t xml:space="preserve">Diagnostic tests pending </w:t>
      </w:r>
    </w:p>
    <w:p w:rsidR="000E086C" w:rsidRDefault="000E086C" w:rsidP="000E086C">
      <w:pPr>
        <w:pStyle w:val="ListParagraph"/>
        <w:numPr>
          <w:ilvl w:val="0"/>
          <w:numId w:val="4"/>
        </w:numPr>
      </w:pPr>
      <w:r>
        <w:t xml:space="preserve">Clinical Instructions </w:t>
      </w:r>
    </w:p>
    <w:p w:rsidR="000E086C" w:rsidRDefault="000E086C" w:rsidP="000E086C">
      <w:pPr>
        <w:pStyle w:val="ListParagraph"/>
        <w:numPr>
          <w:ilvl w:val="0"/>
          <w:numId w:val="4"/>
        </w:numPr>
      </w:pPr>
      <w:r>
        <w:t xml:space="preserve">Future appointments </w:t>
      </w:r>
    </w:p>
    <w:p w:rsidR="000E086C" w:rsidRDefault="000E086C" w:rsidP="000E086C">
      <w:pPr>
        <w:pStyle w:val="ListParagraph"/>
        <w:numPr>
          <w:ilvl w:val="0"/>
          <w:numId w:val="4"/>
        </w:numPr>
      </w:pPr>
      <w:r>
        <w:t xml:space="preserve">Referrals to other providers </w:t>
      </w:r>
    </w:p>
    <w:p w:rsidR="000E086C" w:rsidRDefault="000E086C" w:rsidP="000E086C">
      <w:pPr>
        <w:pStyle w:val="ListParagraph"/>
        <w:numPr>
          <w:ilvl w:val="0"/>
          <w:numId w:val="4"/>
        </w:numPr>
      </w:pPr>
      <w:r>
        <w:t xml:space="preserve">Future scheduled tests </w:t>
      </w:r>
    </w:p>
    <w:p w:rsidR="000E086C" w:rsidRDefault="000E086C" w:rsidP="000E086C">
      <w:pPr>
        <w:pStyle w:val="ListParagraph"/>
        <w:numPr>
          <w:ilvl w:val="0"/>
          <w:numId w:val="4"/>
        </w:numPr>
      </w:pPr>
      <w:r>
        <w:t xml:space="preserve">Recommended patient decision aids </w:t>
      </w:r>
    </w:p>
    <w:p w:rsidR="001A51EC" w:rsidRDefault="001A51EC" w:rsidP="000E086C">
      <w:pPr>
        <w:pStyle w:val="ListParagraph"/>
        <w:numPr>
          <w:ilvl w:val="0"/>
          <w:numId w:val="4"/>
        </w:numPr>
      </w:pPr>
      <w:r>
        <w:t xml:space="preserve">Patient name </w:t>
      </w:r>
    </w:p>
    <w:p w:rsidR="001A51EC" w:rsidRDefault="001A51EC" w:rsidP="001A51EC">
      <w:pPr>
        <w:pStyle w:val="ListParagraph"/>
        <w:numPr>
          <w:ilvl w:val="0"/>
          <w:numId w:val="4"/>
        </w:numPr>
      </w:pPr>
      <w:r>
        <w:t xml:space="preserve">Sex </w:t>
      </w:r>
    </w:p>
    <w:p w:rsidR="001A51EC" w:rsidRDefault="001A51EC" w:rsidP="001A51EC">
      <w:pPr>
        <w:pStyle w:val="ListParagraph"/>
        <w:numPr>
          <w:ilvl w:val="0"/>
          <w:numId w:val="4"/>
        </w:numPr>
      </w:pPr>
      <w:r>
        <w:t xml:space="preserve">Date of birth </w:t>
      </w:r>
    </w:p>
    <w:p w:rsidR="001A51EC" w:rsidRDefault="001A51EC" w:rsidP="001A51EC">
      <w:pPr>
        <w:pStyle w:val="ListParagraph"/>
        <w:numPr>
          <w:ilvl w:val="0"/>
          <w:numId w:val="4"/>
        </w:numPr>
      </w:pPr>
      <w:r>
        <w:t xml:space="preserve">Race </w:t>
      </w:r>
    </w:p>
    <w:p w:rsidR="001A51EC" w:rsidRDefault="001A51EC" w:rsidP="001A51EC">
      <w:pPr>
        <w:pStyle w:val="ListParagraph"/>
        <w:numPr>
          <w:ilvl w:val="0"/>
          <w:numId w:val="4"/>
        </w:numPr>
      </w:pPr>
      <w:r>
        <w:t>Ethnicity</w:t>
      </w:r>
    </w:p>
    <w:p w:rsidR="001A51EC" w:rsidRDefault="001A51EC" w:rsidP="001A51EC">
      <w:pPr>
        <w:pStyle w:val="ListParagraph"/>
        <w:numPr>
          <w:ilvl w:val="0"/>
          <w:numId w:val="4"/>
        </w:numPr>
      </w:pPr>
      <w:r>
        <w:t xml:space="preserve">Preferred language </w:t>
      </w:r>
    </w:p>
    <w:p w:rsidR="001A51EC" w:rsidRDefault="001A51EC" w:rsidP="001A51EC">
      <w:pPr>
        <w:pStyle w:val="ListParagraph"/>
        <w:numPr>
          <w:ilvl w:val="0"/>
          <w:numId w:val="4"/>
        </w:numPr>
      </w:pPr>
      <w:r>
        <w:t xml:space="preserve">Smoking status </w:t>
      </w:r>
    </w:p>
    <w:p w:rsidR="001A51EC" w:rsidRDefault="001A51EC" w:rsidP="001A51EC">
      <w:pPr>
        <w:pStyle w:val="ListParagraph"/>
        <w:numPr>
          <w:ilvl w:val="0"/>
          <w:numId w:val="4"/>
        </w:numPr>
      </w:pPr>
      <w:r>
        <w:t xml:space="preserve">Problems </w:t>
      </w:r>
    </w:p>
    <w:p w:rsidR="001A51EC" w:rsidRDefault="001A51EC" w:rsidP="001A51EC">
      <w:pPr>
        <w:pStyle w:val="ListParagraph"/>
        <w:numPr>
          <w:ilvl w:val="0"/>
          <w:numId w:val="4"/>
        </w:numPr>
      </w:pPr>
      <w:r>
        <w:t xml:space="preserve">Medications </w:t>
      </w:r>
    </w:p>
    <w:p w:rsidR="001A51EC" w:rsidRDefault="001A51EC" w:rsidP="001A51EC">
      <w:pPr>
        <w:pStyle w:val="ListParagraph"/>
        <w:numPr>
          <w:ilvl w:val="0"/>
          <w:numId w:val="4"/>
        </w:numPr>
      </w:pPr>
      <w:r>
        <w:t xml:space="preserve">Medication Allergies </w:t>
      </w:r>
    </w:p>
    <w:p w:rsidR="001A51EC" w:rsidRDefault="001A51EC" w:rsidP="001A51EC">
      <w:pPr>
        <w:pStyle w:val="ListParagraph"/>
        <w:numPr>
          <w:ilvl w:val="0"/>
          <w:numId w:val="4"/>
        </w:numPr>
      </w:pPr>
      <w:r>
        <w:t xml:space="preserve">Laboratory test(s) </w:t>
      </w:r>
    </w:p>
    <w:p w:rsidR="001A51EC" w:rsidRDefault="001A51EC" w:rsidP="001A51EC">
      <w:pPr>
        <w:pStyle w:val="ListParagraph"/>
        <w:numPr>
          <w:ilvl w:val="0"/>
          <w:numId w:val="4"/>
        </w:numPr>
      </w:pPr>
      <w:r>
        <w:t xml:space="preserve">Laboratory value(s)/result(s) </w:t>
      </w:r>
    </w:p>
    <w:p w:rsidR="001A51EC" w:rsidRDefault="001A51EC" w:rsidP="001A51EC">
      <w:pPr>
        <w:pStyle w:val="ListParagraph"/>
        <w:numPr>
          <w:ilvl w:val="0"/>
          <w:numId w:val="4"/>
        </w:numPr>
      </w:pPr>
      <w:r>
        <w:t xml:space="preserve">Vital signs – height, weight, blood pressure, BMI </w:t>
      </w:r>
    </w:p>
    <w:p w:rsidR="001A51EC" w:rsidRDefault="001A51EC" w:rsidP="001A51EC">
      <w:pPr>
        <w:pStyle w:val="ListParagraph"/>
        <w:numPr>
          <w:ilvl w:val="0"/>
          <w:numId w:val="4"/>
        </w:numPr>
      </w:pPr>
      <w:r>
        <w:t xml:space="preserve">Care plan field(s), including goals and instructions </w:t>
      </w:r>
    </w:p>
    <w:p w:rsidR="001A51EC" w:rsidRDefault="001A51EC" w:rsidP="001A51EC">
      <w:pPr>
        <w:pStyle w:val="ListParagraph"/>
        <w:numPr>
          <w:ilvl w:val="0"/>
          <w:numId w:val="4"/>
        </w:numPr>
      </w:pPr>
      <w:r>
        <w:t xml:space="preserve">Procedures </w:t>
      </w:r>
    </w:p>
    <w:p w:rsidR="000E086C" w:rsidRDefault="001A51EC" w:rsidP="000E086C">
      <w:pPr>
        <w:pStyle w:val="ListParagraph"/>
        <w:numPr>
          <w:ilvl w:val="0"/>
          <w:numId w:val="4"/>
        </w:numPr>
      </w:pPr>
      <w:r>
        <w:t>Care team member(s)</w:t>
      </w:r>
    </w:p>
    <w:p w:rsidR="000E086C" w:rsidRDefault="000E086C" w:rsidP="001A51EC"/>
    <w:p w:rsidR="000E086C" w:rsidRDefault="000E086C" w:rsidP="001A51EC"/>
    <w:p w:rsidR="006A0E88" w:rsidRDefault="006A0E88" w:rsidP="006A0E88">
      <w:r>
        <w:t xml:space="preserve">Unlike the Health Summary, EP’s have the option to exclude certain information from the Clinical Summary. The </w:t>
      </w:r>
      <w:r w:rsidR="00906272">
        <w:t>sections</w:t>
      </w:r>
      <w:r>
        <w:t xml:space="preserve"> that are excluded on a given Clinical Summary are up to the discretion of the EP and can vary by patient and visit. </w:t>
      </w:r>
      <w:r w:rsidR="00906272">
        <w:t>Sections</w:t>
      </w:r>
      <w:r>
        <w:t xml:space="preserve"> are allowed to be empty on the Clinical Summary, meaning that a patient is not required to have information relating to that </w:t>
      </w:r>
      <w:r w:rsidR="00906272">
        <w:t>section</w:t>
      </w:r>
      <w:r>
        <w:t xml:space="preserve"> in order for a Clinical Summary to be considered complete. </w:t>
      </w:r>
    </w:p>
    <w:p w:rsidR="006A0E88" w:rsidRDefault="006A0E88" w:rsidP="001A51EC"/>
    <w:p w:rsidR="006A0E88" w:rsidRDefault="006A0E88" w:rsidP="001A51EC">
      <w:r>
        <w:t xml:space="preserve">For more information relating to Clinical Summaries, please refer to documentation </w:t>
      </w:r>
      <w:r w:rsidRPr="002F15CA">
        <w:rPr>
          <w:highlight w:val="yellow"/>
        </w:rPr>
        <w:t>XXXXX</w:t>
      </w:r>
      <w:r>
        <w:t>.</w:t>
      </w:r>
    </w:p>
    <w:p w:rsidR="001A51EC" w:rsidRDefault="001A51EC" w:rsidP="001A51EC">
      <w:r>
        <w:br w:type="page"/>
      </w:r>
    </w:p>
    <w:p w:rsidR="001A51EC" w:rsidRDefault="001A51EC" w:rsidP="001A51EC">
      <w:r>
        <w:t xml:space="preserve">The </w:t>
      </w:r>
      <w:r w:rsidR="00A739F1" w:rsidRPr="006361D8">
        <w:rPr>
          <w:b/>
        </w:rPr>
        <w:t>Clinical</w:t>
      </w:r>
      <w:r w:rsidRPr="006361D8">
        <w:rPr>
          <w:b/>
        </w:rPr>
        <w:t xml:space="preserve"> Summary</w:t>
      </w:r>
      <w:r>
        <w:t xml:space="preserve"> </w:t>
      </w:r>
      <w:r w:rsidR="00A739F1">
        <w:t xml:space="preserve">can be provided electronically, printed, or even declined by the patient. Each option listed will count towards the numerator for this measure assuming that it occurs within 1 business day of the office visit. </w:t>
      </w:r>
      <w:r w:rsidR="006361D8">
        <w:t xml:space="preserve">In order for a patient to receive a </w:t>
      </w:r>
      <w:r w:rsidR="006361D8" w:rsidRPr="006361D8">
        <w:t>Clinical Summary</w:t>
      </w:r>
      <w:r w:rsidR="006361D8">
        <w:rPr>
          <w:b/>
        </w:rPr>
        <w:t xml:space="preserve"> </w:t>
      </w:r>
      <w:r w:rsidR="006361D8">
        <w:t xml:space="preserve">electronically, they must first be configured with an account in </w:t>
      </w:r>
      <w:r w:rsidR="006361D8" w:rsidRPr="00A92B91">
        <w:rPr>
          <w:b/>
        </w:rPr>
        <w:t>Patient Portal</w:t>
      </w:r>
      <w:r w:rsidR="006361D8">
        <w:t xml:space="preserve">. </w:t>
      </w:r>
      <w:r>
        <w:t xml:space="preserve">For more information relating to configuring a patient with Patient Portal, please refer to the documentation </w:t>
      </w:r>
      <w:r w:rsidRPr="00A92B91">
        <w:rPr>
          <w:highlight w:val="yellow"/>
        </w:rPr>
        <w:t>XXXXX</w:t>
      </w:r>
      <w:r>
        <w:t>.</w:t>
      </w:r>
    </w:p>
    <w:p w:rsidR="001A51EC" w:rsidRDefault="001A51EC" w:rsidP="001A51EC"/>
    <w:p w:rsidR="001A51EC" w:rsidRDefault="001A51EC" w:rsidP="001A51EC">
      <w:r>
        <w:t xml:space="preserve">Once a patient has been configured with a Patient Portal account, they can be provided a </w:t>
      </w:r>
      <w:r w:rsidR="006361D8">
        <w:t>Clinical</w:t>
      </w:r>
      <w:r>
        <w:t xml:space="preserve"> Summary </w:t>
      </w:r>
      <w:r w:rsidR="006361D8">
        <w:t xml:space="preserve">electronically </w:t>
      </w:r>
      <w:r>
        <w:t xml:space="preserve">by right clicking on their appointment and going down to </w:t>
      </w:r>
      <w:r w:rsidRPr="00672E67">
        <w:rPr>
          <w:b/>
        </w:rPr>
        <w:t>Send C-CDA to Portal</w:t>
      </w:r>
      <w:r>
        <w:t xml:space="preserve">.  Hovering over this option will provide several courses of action. The </w:t>
      </w:r>
      <w:r w:rsidR="006361D8">
        <w:t>three</w:t>
      </w:r>
      <w:r>
        <w:t xml:space="preserve"> options which can be used to meet the numerator for this measure are </w:t>
      </w:r>
      <w:r w:rsidR="006361D8">
        <w:rPr>
          <w:b/>
        </w:rPr>
        <w:t>Clinical</w:t>
      </w:r>
      <w:r w:rsidRPr="00672E67">
        <w:rPr>
          <w:b/>
        </w:rPr>
        <w:t xml:space="preserve"> Summary</w:t>
      </w:r>
      <w:r w:rsidR="006361D8">
        <w:t xml:space="preserve">, </w:t>
      </w:r>
      <w:r w:rsidRPr="00672E67">
        <w:rPr>
          <w:b/>
        </w:rPr>
        <w:t>Clinical Summary &amp; Health Summary</w:t>
      </w:r>
      <w:r w:rsidR="006361D8">
        <w:t xml:space="preserve">, and </w:t>
      </w:r>
      <w:r w:rsidR="006361D8" w:rsidRPr="006361D8">
        <w:rPr>
          <w:b/>
        </w:rPr>
        <w:t>Clinical Summary Declined</w:t>
      </w:r>
      <w:r>
        <w:t xml:space="preserve">. </w:t>
      </w:r>
      <w:r w:rsidR="00D36BD1">
        <w:t xml:space="preserve">Patients without a Patient Portal account can still access each of the options listed, however the </w:t>
      </w:r>
      <w:r w:rsidR="009160C9">
        <w:t>ability to actually send</w:t>
      </w:r>
      <w:r w:rsidR="00D36BD1">
        <w:t xml:space="preserve"> the Clinical Summary electronically to Portal will be prevented for these patients.  </w:t>
      </w:r>
    </w:p>
    <w:p w:rsidR="001A51EC" w:rsidRDefault="001A51EC" w:rsidP="001A51EC"/>
    <w:p w:rsidR="001A51EC" w:rsidRPr="00672E67" w:rsidRDefault="001A51EC" w:rsidP="001A51EC">
      <w:pPr>
        <w:rPr>
          <w:b/>
          <w:color w:val="FF0000"/>
        </w:rPr>
      </w:pPr>
      <w:r w:rsidRPr="00672E67">
        <w:rPr>
          <w:b/>
          <w:color w:val="FF0000"/>
        </w:rPr>
        <w:t>NOTE: A Health Summary</w:t>
      </w:r>
      <w:r w:rsidR="006361D8">
        <w:rPr>
          <w:b/>
          <w:color w:val="FF0000"/>
        </w:rPr>
        <w:t xml:space="preserve"> must be provided within 1 business day</w:t>
      </w:r>
      <w:r w:rsidRPr="00672E67">
        <w:rPr>
          <w:b/>
          <w:color w:val="FF0000"/>
        </w:rPr>
        <w:t xml:space="preserve"> of the scheduled appointment in order to meet the numerator requirements. </w:t>
      </w:r>
      <w:r w:rsidR="001E7DAF">
        <w:rPr>
          <w:b/>
          <w:color w:val="FF0000"/>
        </w:rPr>
        <w:t>There is no means in which to post date when a Clinical Summary is provided. This means that the Clinical Summary MUST be provided in a timely manner in order for a visit to count towards the numerator for this measure.</w:t>
      </w:r>
    </w:p>
    <w:p w:rsidR="001A51EC" w:rsidRDefault="001A51EC" w:rsidP="001A51EC"/>
    <w:p w:rsidR="001A51EC" w:rsidRDefault="006361D8" w:rsidP="001A51EC">
      <w:pPr>
        <w:jc w:val="center"/>
      </w:pPr>
      <w:r>
        <w:rPr>
          <w:noProof/>
        </w:rPr>
        <w:drawing>
          <wp:inline distT="0" distB="0" distL="0" distR="0" wp14:anchorId="172E8FEB" wp14:editId="7053DE98">
            <wp:extent cx="6154420" cy="33870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4420" cy="3387090"/>
                    </a:xfrm>
                    <a:prstGeom prst="rect">
                      <a:avLst/>
                    </a:prstGeom>
                    <a:noFill/>
                    <a:ln>
                      <a:noFill/>
                    </a:ln>
                  </pic:spPr>
                </pic:pic>
              </a:graphicData>
            </a:graphic>
          </wp:inline>
        </w:drawing>
      </w:r>
    </w:p>
    <w:p w:rsidR="001A51EC" w:rsidRDefault="001A51EC" w:rsidP="001A51EC"/>
    <w:p w:rsidR="001A51EC" w:rsidRDefault="001A51EC" w:rsidP="001A51EC"/>
    <w:p w:rsidR="001A51EC" w:rsidRDefault="001A51EC" w:rsidP="001A51EC"/>
    <w:p w:rsidR="009160C9" w:rsidRDefault="009160C9" w:rsidP="001A51EC">
      <w:r>
        <w:br w:type="page"/>
      </w:r>
    </w:p>
    <w:p w:rsidR="00906272" w:rsidRPr="00906272" w:rsidRDefault="00906272" w:rsidP="00B85C07">
      <w:pPr>
        <w:pStyle w:val="Heading4"/>
      </w:pPr>
      <w:bookmarkStart w:id="61" w:name="_Toc390171174"/>
      <w:r w:rsidRPr="00906272">
        <w:t>Send C-CDA to Portal: Clinical Summary</w:t>
      </w:r>
      <w:bookmarkEnd w:id="61"/>
    </w:p>
    <w:p w:rsidR="00906272" w:rsidRDefault="00906272" w:rsidP="001A51EC"/>
    <w:p w:rsidR="0016769F" w:rsidRDefault="001A51EC" w:rsidP="001A51EC">
      <w:r>
        <w:t xml:space="preserve">Choosing the </w:t>
      </w:r>
      <w:r w:rsidR="009160C9">
        <w:rPr>
          <w:b/>
        </w:rPr>
        <w:t>Clinical</w:t>
      </w:r>
      <w:r w:rsidRPr="00672E67">
        <w:rPr>
          <w:b/>
        </w:rPr>
        <w:t xml:space="preserve"> Summary</w:t>
      </w:r>
      <w:r>
        <w:t xml:space="preserve"> option under </w:t>
      </w:r>
      <w:r w:rsidRPr="00672E67">
        <w:rPr>
          <w:b/>
        </w:rPr>
        <w:t>Send C-CDA to Portal</w:t>
      </w:r>
      <w:r>
        <w:t xml:space="preserve"> will result in the dialogue window shown below. </w:t>
      </w:r>
      <w:r w:rsidR="0016769F">
        <w:t xml:space="preserve">The EP will be identified in the </w:t>
      </w:r>
      <w:r w:rsidR="0016769F" w:rsidRPr="00044173">
        <w:rPr>
          <w:b/>
        </w:rPr>
        <w:t>Provider</w:t>
      </w:r>
      <w:r w:rsidR="0016769F">
        <w:t xml:space="preserve"> field and the appointment date will be used in the </w:t>
      </w:r>
      <w:r w:rsidR="0016769F" w:rsidRPr="00CB0591">
        <w:rPr>
          <w:b/>
        </w:rPr>
        <w:t>Visit Date</w:t>
      </w:r>
      <w:r w:rsidR="0016769F">
        <w:t xml:space="preserve"> based on the details of the scheduled appointment. </w:t>
      </w:r>
    </w:p>
    <w:p w:rsidR="00906272" w:rsidRDefault="00906272" w:rsidP="001A51EC"/>
    <w:p w:rsidR="00906272" w:rsidRDefault="00906272" w:rsidP="001A51EC">
      <w:r>
        <w:t xml:space="preserve">The EP has the option to exclude any of the sections listed from the contents of the Clinical Summary. To exclude a section from the Clinical Summary, simply uncheck the box located to the left of the description of the section to be excluded. </w:t>
      </w:r>
    </w:p>
    <w:p w:rsidR="004143B8" w:rsidRDefault="004143B8" w:rsidP="001A51EC"/>
    <w:p w:rsidR="004143B8" w:rsidRDefault="004143B8" w:rsidP="001A51EC"/>
    <w:p w:rsidR="004143B8" w:rsidRDefault="007761B7" w:rsidP="004143B8">
      <w:pPr>
        <w:jc w:val="center"/>
      </w:pPr>
      <w:r>
        <w:rPr>
          <w:noProof/>
        </w:rPr>
        <w:drawing>
          <wp:inline distT="0" distB="0" distL="0" distR="0" wp14:anchorId="5C8F5E36" wp14:editId="031E142A">
            <wp:extent cx="5048885" cy="53193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885" cy="5319395"/>
                    </a:xfrm>
                    <a:prstGeom prst="rect">
                      <a:avLst/>
                    </a:prstGeom>
                    <a:noFill/>
                    <a:ln>
                      <a:noFill/>
                    </a:ln>
                  </pic:spPr>
                </pic:pic>
              </a:graphicData>
            </a:graphic>
          </wp:inline>
        </w:drawing>
      </w:r>
    </w:p>
    <w:p w:rsidR="004143B8" w:rsidRDefault="004143B8" w:rsidP="001A51EC"/>
    <w:p w:rsidR="0016769F" w:rsidRDefault="0016769F" w:rsidP="001A51EC"/>
    <w:p w:rsidR="004143B8" w:rsidRDefault="004143B8" w:rsidP="001A51EC"/>
    <w:p w:rsidR="007761B7" w:rsidRDefault="007761B7" w:rsidP="004143B8">
      <w:r>
        <w:br w:type="page"/>
      </w:r>
    </w:p>
    <w:p w:rsidR="004143B8" w:rsidRDefault="004143B8" w:rsidP="004143B8">
      <w:r>
        <w:t xml:space="preserve">Choosing the </w:t>
      </w:r>
      <w:r w:rsidRPr="0016769F">
        <w:rPr>
          <w:b/>
        </w:rPr>
        <w:t>Generate Xml</w:t>
      </w:r>
      <w:r>
        <w:t xml:space="preserve"> button will produce a file consisting of an electronic version of the Clinical Summary. This file can be saved to portable media and given to the patient. Selecting this option will result in a dialogue window appearing which will allow the user to indicate whether or not the Clinical Summary was provided to the patient. Choosing ‘Yes’ on this window will allow the visit to count towards the numerator for this measure, assuming that this action was performed within 1 business day of the scheduled appointment. </w:t>
      </w:r>
    </w:p>
    <w:p w:rsidR="004143B8" w:rsidRDefault="004143B8" w:rsidP="004143B8"/>
    <w:p w:rsidR="004143B8" w:rsidRDefault="000917C8" w:rsidP="004143B8">
      <w:pPr>
        <w:jc w:val="center"/>
      </w:pPr>
      <w:r>
        <w:rPr>
          <w:noProof/>
        </w:rPr>
        <w:drawing>
          <wp:inline distT="0" distB="0" distL="0" distR="0" wp14:anchorId="33F83ADE" wp14:editId="54F7258D">
            <wp:extent cx="4150360" cy="1343660"/>
            <wp:effectExtent l="0" t="0" r="254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360" cy="1343660"/>
                    </a:xfrm>
                    <a:prstGeom prst="rect">
                      <a:avLst/>
                    </a:prstGeom>
                    <a:noFill/>
                    <a:ln>
                      <a:noFill/>
                    </a:ln>
                  </pic:spPr>
                </pic:pic>
              </a:graphicData>
            </a:graphic>
          </wp:inline>
        </w:drawing>
      </w:r>
    </w:p>
    <w:p w:rsidR="004143B8" w:rsidRDefault="004143B8" w:rsidP="004143B8"/>
    <w:p w:rsidR="004143B8" w:rsidRDefault="004143B8" w:rsidP="004143B8"/>
    <w:p w:rsidR="004143B8" w:rsidRDefault="004143B8" w:rsidP="004143B8">
      <w:r>
        <w:t xml:space="preserve">Choosing the </w:t>
      </w:r>
      <w:r w:rsidRPr="0016769F">
        <w:rPr>
          <w:b/>
        </w:rPr>
        <w:t>View</w:t>
      </w:r>
      <w:r>
        <w:t xml:space="preserve"> option will open a new page in the browser and display the Clinical Summary for this visit. This page can then be printed and given to the patient. Selecting this option will result in a dialogue window appearing which will allow the user to indicate whether or not the Clinical Summary was provided to the patient. Choosing ‘Yes’ on this window will allow the visit to count towards the numerator for this measure, assuming that this action was performed within 1 business day of the scheduled appointment.</w:t>
      </w:r>
    </w:p>
    <w:p w:rsidR="004143B8" w:rsidRDefault="004143B8" w:rsidP="004143B8"/>
    <w:p w:rsidR="004143B8" w:rsidRDefault="000917C8" w:rsidP="004143B8">
      <w:pPr>
        <w:jc w:val="center"/>
      </w:pPr>
      <w:r>
        <w:rPr>
          <w:noProof/>
        </w:rPr>
        <w:drawing>
          <wp:inline distT="0" distB="0" distL="0" distR="0" wp14:anchorId="286866F8" wp14:editId="4842FC47">
            <wp:extent cx="4150360" cy="1343660"/>
            <wp:effectExtent l="0" t="0" r="254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360" cy="1343660"/>
                    </a:xfrm>
                    <a:prstGeom prst="rect">
                      <a:avLst/>
                    </a:prstGeom>
                    <a:noFill/>
                    <a:ln>
                      <a:noFill/>
                    </a:ln>
                  </pic:spPr>
                </pic:pic>
              </a:graphicData>
            </a:graphic>
          </wp:inline>
        </w:drawing>
      </w:r>
    </w:p>
    <w:p w:rsidR="004143B8" w:rsidRDefault="004143B8" w:rsidP="004143B8"/>
    <w:p w:rsidR="004143B8" w:rsidRDefault="004143B8" w:rsidP="004143B8"/>
    <w:p w:rsidR="004143B8" w:rsidRDefault="004143B8" w:rsidP="004143B8">
      <w:r>
        <w:t xml:space="preserve">Choosing </w:t>
      </w:r>
      <w:r w:rsidRPr="00CB0591">
        <w:rPr>
          <w:b/>
        </w:rPr>
        <w:t>Send to Portal</w:t>
      </w:r>
      <w:r>
        <w:t xml:space="preserve"> will send the Clinical Summary to the patient’s Portal account. The patient must be configured with Patient Portal order to use this option. Selecting this option will result in the Clinical Summary being sent directly to the Patient Portal account for the patient scheduled to the appointment. As such, choosing this option will allow the visit to count towards the numerator for this measure, assuming that this action was performed within 1 business day of the scheduled appointment.</w:t>
      </w:r>
    </w:p>
    <w:p w:rsidR="004143B8" w:rsidRDefault="004143B8" w:rsidP="004143B8"/>
    <w:p w:rsidR="004143B8" w:rsidRDefault="004143B8" w:rsidP="004143B8">
      <w:r w:rsidRPr="00044173">
        <w:rPr>
          <w:b/>
          <w:color w:val="FF0000"/>
        </w:rPr>
        <w:t xml:space="preserve">NOTE: If the patient is not configured with Patient Portal, choosing the </w:t>
      </w:r>
      <w:r>
        <w:rPr>
          <w:b/>
          <w:color w:val="FF0000"/>
        </w:rPr>
        <w:t>Send to Portal</w:t>
      </w:r>
      <w:r w:rsidRPr="00044173">
        <w:rPr>
          <w:b/>
          <w:color w:val="FF0000"/>
        </w:rPr>
        <w:t xml:space="preserve"> option under Send </w:t>
      </w:r>
      <w:r>
        <w:rPr>
          <w:b/>
          <w:color w:val="FF0000"/>
        </w:rPr>
        <w:t>Clinical Summary</w:t>
      </w:r>
      <w:r w:rsidRPr="00044173">
        <w:rPr>
          <w:b/>
          <w:color w:val="FF0000"/>
        </w:rPr>
        <w:t xml:space="preserve"> will result in a warning informing the user that the patient </w:t>
      </w:r>
      <w:r>
        <w:rPr>
          <w:b/>
          <w:color w:val="FF0000"/>
        </w:rPr>
        <w:t>requires an active Patient Portal account to use this feature. The Clinical S</w:t>
      </w:r>
      <w:r w:rsidR="000917C8">
        <w:rPr>
          <w:b/>
          <w:color w:val="FF0000"/>
        </w:rPr>
        <w:t>ummary MUST be provided within 1</w:t>
      </w:r>
      <w:r>
        <w:rPr>
          <w:b/>
          <w:color w:val="FF0000"/>
        </w:rPr>
        <w:t xml:space="preserve"> business day of the scheduled appointment in order for the EP to receive credit for that visit. Clinical Summaries cannot be back dated. </w:t>
      </w:r>
    </w:p>
    <w:p w:rsidR="001A51EC" w:rsidRDefault="001A51EC" w:rsidP="001A51EC"/>
    <w:p w:rsidR="001A51EC" w:rsidRDefault="001A51EC" w:rsidP="001A51EC">
      <w:pPr>
        <w:jc w:val="center"/>
      </w:pPr>
      <w:r>
        <w:br w:type="page"/>
      </w:r>
    </w:p>
    <w:p w:rsidR="00906272" w:rsidRPr="00906272" w:rsidRDefault="00906272" w:rsidP="00B85C07">
      <w:pPr>
        <w:pStyle w:val="Heading4"/>
      </w:pPr>
      <w:bookmarkStart w:id="62" w:name="_Toc390171175"/>
      <w:r w:rsidRPr="00906272">
        <w:t>Send C-CDA to Portal: Clinical Summary &amp; Health Summary</w:t>
      </w:r>
      <w:bookmarkEnd w:id="62"/>
    </w:p>
    <w:p w:rsidR="00906272" w:rsidRDefault="00906272" w:rsidP="00906272"/>
    <w:p w:rsidR="00906272" w:rsidRDefault="00906272" w:rsidP="00906272">
      <w:r>
        <w:t xml:space="preserve">Choosing the </w:t>
      </w:r>
      <w:r w:rsidRPr="00672E67">
        <w:rPr>
          <w:b/>
        </w:rPr>
        <w:t>Clinical Summary &amp; Health Summary</w:t>
      </w:r>
      <w:r>
        <w:t xml:space="preserve"> option under </w:t>
      </w:r>
      <w:r w:rsidRPr="00672E67">
        <w:rPr>
          <w:b/>
        </w:rPr>
        <w:t>Send C-CDA to Portal</w:t>
      </w:r>
      <w:r>
        <w:t xml:space="preserve"> will result in the dialogue window shown below. The EP will be identified in the </w:t>
      </w:r>
      <w:r w:rsidRPr="00044173">
        <w:rPr>
          <w:b/>
        </w:rPr>
        <w:t>Provider</w:t>
      </w:r>
      <w:r>
        <w:t xml:space="preserve"> field and the appointment date will be used in the </w:t>
      </w:r>
      <w:r w:rsidRPr="00CB0591">
        <w:rPr>
          <w:b/>
        </w:rPr>
        <w:t>Visit Date</w:t>
      </w:r>
      <w:r>
        <w:t xml:space="preserve"> based on the details of the scheduled appointment. </w:t>
      </w:r>
    </w:p>
    <w:p w:rsidR="00906272" w:rsidRDefault="00906272" w:rsidP="00906272"/>
    <w:p w:rsidR="00057CAD" w:rsidRDefault="00057CAD" w:rsidP="00057CAD">
      <w:r>
        <w:t xml:space="preserve">The EP has the option to exclude any of the sections listed from the contents of the Clinical Summary. To exclude a section from the Clinical Summary, simply uncheck the box located to the left of the description of the section to be excluded. </w:t>
      </w:r>
    </w:p>
    <w:p w:rsidR="007761B7" w:rsidRDefault="007761B7" w:rsidP="00057CAD"/>
    <w:p w:rsidR="000917C8" w:rsidRDefault="000917C8" w:rsidP="00057CAD"/>
    <w:p w:rsidR="000917C8" w:rsidRDefault="007761B7" w:rsidP="000917C8">
      <w:pPr>
        <w:jc w:val="center"/>
      </w:pPr>
      <w:r>
        <w:rPr>
          <w:noProof/>
        </w:rPr>
        <w:drawing>
          <wp:inline distT="0" distB="0" distL="0" distR="0" wp14:anchorId="4CD514DF" wp14:editId="258E8A20">
            <wp:extent cx="5343525" cy="54546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3525" cy="5454650"/>
                    </a:xfrm>
                    <a:prstGeom prst="rect">
                      <a:avLst/>
                    </a:prstGeom>
                    <a:noFill/>
                    <a:ln>
                      <a:noFill/>
                    </a:ln>
                  </pic:spPr>
                </pic:pic>
              </a:graphicData>
            </a:graphic>
          </wp:inline>
        </w:drawing>
      </w:r>
    </w:p>
    <w:p w:rsidR="00057CAD" w:rsidRDefault="00057CAD" w:rsidP="00906272"/>
    <w:p w:rsidR="000254A9" w:rsidRDefault="000254A9" w:rsidP="000917C8"/>
    <w:p w:rsidR="007761B7" w:rsidRDefault="007761B7" w:rsidP="000917C8">
      <w:r>
        <w:br w:type="page"/>
      </w:r>
    </w:p>
    <w:p w:rsidR="000917C8" w:rsidRDefault="000917C8" w:rsidP="000917C8">
      <w:r>
        <w:t xml:space="preserve">Choosing the </w:t>
      </w:r>
      <w:r w:rsidRPr="0016769F">
        <w:rPr>
          <w:b/>
        </w:rPr>
        <w:t>Generate Xml</w:t>
      </w:r>
      <w:r>
        <w:t xml:space="preserve"> button will produce a file consisting of an electronic version of the Clinical Summary. This file can be saved to portable media and given to the patient. Selecting this option will result in a dialogue window appearing which will allow the user to indicate whether or not the Clinical Summary was provided to the patient. Choosing ‘Yes’ on this window will allow the visit to count towards the numerator for this measure, assuming that this action was performed within 1 business day of the scheduled appointment. </w:t>
      </w:r>
    </w:p>
    <w:p w:rsidR="000917C8" w:rsidRDefault="000917C8" w:rsidP="000917C8"/>
    <w:p w:rsidR="000917C8" w:rsidRDefault="000917C8" w:rsidP="000917C8">
      <w:pPr>
        <w:jc w:val="center"/>
      </w:pPr>
      <w:r>
        <w:rPr>
          <w:noProof/>
        </w:rPr>
        <w:drawing>
          <wp:inline distT="0" distB="0" distL="0" distR="0" wp14:anchorId="6855C2AB" wp14:editId="3D19FA2E">
            <wp:extent cx="4150360" cy="1343660"/>
            <wp:effectExtent l="0" t="0" r="254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360" cy="1343660"/>
                    </a:xfrm>
                    <a:prstGeom prst="rect">
                      <a:avLst/>
                    </a:prstGeom>
                    <a:noFill/>
                    <a:ln>
                      <a:noFill/>
                    </a:ln>
                  </pic:spPr>
                </pic:pic>
              </a:graphicData>
            </a:graphic>
          </wp:inline>
        </w:drawing>
      </w:r>
    </w:p>
    <w:p w:rsidR="000917C8" w:rsidRDefault="000917C8" w:rsidP="000917C8"/>
    <w:p w:rsidR="000917C8" w:rsidRDefault="000917C8" w:rsidP="000917C8"/>
    <w:p w:rsidR="000917C8" w:rsidRDefault="000917C8" w:rsidP="000917C8">
      <w:r>
        <w:t xml:space="preserve">Choosing the </w:t>
      </w:r>
      <w:r w:rsidRPr="0016769F">
        <w:rPr>
          <w:b/>
        </w:rPr>
        <w:t>View</w:t>
      </w:r>
      <w:r>
        <w:t xml:space="preserve"> option will open a new page in the browser and display the Clinical Summary for this visit. This page can then be printed and given to the patient. Selecting this option will result in a dialogue window appearing which will allow the user to indicate whether or not the Clinical Summary was provided to the patient. Choosing ‘Yes’ on this window will allow the visit to count towards the numerator for this measure, assuming that this action was performed within 1 business day of the scheduled appointment.</w:t>
      </w:r>
    </w:p>
    <w:p w:rsidR="000917C8" w:rsidRDefault="000917C8" w:rsidP="000917C8"/>
    <w:p w:rsidR="000917C8" w:rsidRDefault="000917C8" w:rsidP="000917C8">
      <w:pPr>
        <w:jc w:val="center"/>
      </w:pPr>
      <w:r>
        <w:rPr>
          <w:noProof/>
        </w:rPr>
        <w:drawing>
          <wp:inline distT="0" distB="0" distL="0" distR="0" wp14:anchorId="289F8B4F" wp14:editId="0BB00BF3">
            <wp:extent cx="4150360" cy="1343660"/>
            <wp:effectExtent l="0" t="0" r="254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360" cy="1343660"/>
                    </a:xfrm>
                    <a:prstGeom prst="rect">
                      <a:avLst/>
                    </a:prstGeom>
                    <a:noFill/>
                    <a:ln>
                      <a:noFill/>
                    </a:ln>
                  </pic:spPr>
                </pic:pic>
              </a:graphicData>
            </a:graphic>
          </wp:inline>
        </w:drawing>
      </w:r>
    </w:p>
    <w:p w:rsidR="000917C8" w:rsidRDefault="000917C8" w:rsidP="000917C8"/>
    <w:p w:rsidR="000917C8" w:rsidRDefault="000917C8" w:rsidP="000917C8"/>
    <w:p w:rsidR="000917C8" w:rsidRDefault="000917C8" w:rsidP="000917C8">
      <w:r>
        <w:t xml:space="preserve">Choosing </w:t>
      </w:r>
      <w:r w:rsidRPr="00CB0591">
        <w:rPr>
          <w:b/>
        </w:rPr>
        <w:t>Send to Portal</w:t>
      </w:r>
      <w:r>
        <w:t xml:space="preserve"> will send the Clinical Summary to the patient’s Portal account. The patient must be configured with Patient Portal order to use this option. Selecting this option will result in the Clinical Summary being sent directly to the Patient Portal account for the patient scheduled to the appointment. As such, choosing this option will allow the visit to count towards the numerator for this measure, assuming that this action was performed within 1 business day of the scheduled appointment.</w:t>
      </w:r>
    </w:p>
    <w:p w:rsidR="000917C8" w:rsidRDefault="000917C8" w:rsidP="000917C8"/>
    <w:p w:rsidR="000917C8" w:rsidRDefault="000917C8" w:rsidP="000917C8">
      <w:r w:rsidRPr="00044173">
        <w:rPr>
          <w:b/>
          <w:color w:val="FF0000"/>
        </w:rPr>
        <w:t xml:space="preserve">NOTE: If the patient is not configured with Patient Portal, choosing the </w:t>
      </w:r>
      <w:r>
        <w:rPr>
          <w:b/>
          <w:color w:val="FF0000"/>
        </w:rPr>
        <w:t>Send to Portal</w:t>
      </w:r>
      <w:r w:rsidRPr="00044173">
        <w:rPr>
          <w:b/>
          <w:color w:val="FF0000"/>
        </w:rPr>
        <w:t xml:space="preserve"> option under Send </w:t>
      </w:r>
      <w:r>
        <w:rPr>
          <w:b/>
          <w:color w:val="FF0000"/>
        </w:rPr>
        <w:t>Clinical Summary</w:t>
      </w:r>
      <w:r w:rsidRPr="00044173">
        <w:rPr>
          <w:b/>
          <w:color w:val="FF0000"/>
        </w:rPr>
        <w:t xml:space="preserve"> will result in a warning informing the user that the patient </w:t>
      </w:r>
      <w:r>
        <w:rPr>
          <w:b/>
          <w:color w:val="FF0000"/>
        </w:rPr>
        <w:t xml:space="preserve">requires an active Patient Portal account to use this feature. The Clinical Summary MUST be provided within 1 business days of the scheduled appointment in order for the EP to receive credit for that visit. Clinical Summaries cannot be back dated. </w:t>
      </w:r>
    </w:p>
    <w:p w:rsidR="001A51EC" w:rsidRDefault="001A51EC" w:rsidP="001A51EC"/>
    <w:p w:rsidR="00651B15" w:rsidRDefault="00651B15" w:rsidP="00651B15">
      <w:pPr>
        <w:jc w:val="center"/>
      </w:pPr>
      <w:r>
        <w:br w:type="page"/>
      </w:r>
    </w:p>
    <w:p w:rsidR="0075430E" w:rsidRPr="00906272" w:rsidRDefault="0075430E" w:rsidP="00B85C07">
      <w:pPr>
        <w:pStyle w:val="Heading4"/>
      </w:pPr>
      <w:bookmarkStart w:id="63" w:name="_Toc390171176"/>
      <w:r w:rsidRPr="00906272">
        <w:t xml:space="preserve">Send C-CDA to Portal: Clinical Summary </w:t>
      </w:r>
      <w:r>
        <w:t>Declined</w:t>
      </w:r>
      <w:bookmarkEnd w:id="63"/>
    </w:p>
    <w:p w:rsidR="001A51EC" w:rsidRDefault="001A51EC" w:rsidP="001A51EC"/>
    <w:p w:rsidR="00C263C3" w:rsidRDefault="00C263C3" w:rsidP="00C263C3">
      <w:r>
        <w:t xml:space="preserve">Choosing the </w:t>
      </w:r>
      <w:r w:rsidRPr="00C263C3">
        <w:rPr>
          <w:b/>
        </w:rPr>
        <w:t xml:space="preserve">Clinical Summary Declined </w:t>
      </w:r>
      <w:r>
        <w:t xml:space="preserve">option under </w:t>
      </w:r>
      <w:r w:rsidRPr="00672E67">
        <w:rPr>
          <w:b/>
        </w:rPr>
        <w:t>Send C-CDA to Portal</w:t>
      </w:r>
      <w:r>
        <w:t xml:space="preserve"> will result in the dialogue window shown below. </w:t>
      </w:r>
      <w:r w:rsidR="000254A9">
        <w:t>Selecting this option will allow the visit to count towards the numerator for this measure,</w:t>
      </w:r>
      <w:r w:rsidR="000254A9" w:rsidRPr="001036FC">
        <w:t xml:space="preserve"> </w:t>
      </w:r>
      <w:r w:rsidR="000254A9">
        <w:t>assuming that this action was performed within 1 business day of the scheduled appointment.</w:t>
      </w:r>
    </w:p>
    <w:p w:rsidR="00C263C3" w:rsidRDefault="00C263C3" w:rsidP="00C263C3"/>
    <w:p w:rsidR="007E7AC3" w:rsidRDefault="0075430E" w:rsidP="0075430E">
      <w:pPr>
        <w:jc w:val="center"/>
      </w:pPr>
      <w:r>
        <w:rPr>
          <w:noProof/>
        </w:rPr>
        <w:drawing>
          <wp:inline distT="0" distB="0" distL="0" distR="0" wp14:anchorId="7BC7303B" wp14:editId="2392482A">
            <wp:extent cx="379095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0950" cy="1257300"/>
                    </a:xfrm>
                    <a:prstGeom prst="rect">
                      <a:avLst/>
                    </a:prstGeom>
                    <a:noFill/>
                    <a:ln>
                      <a:noFill/>
                    </a:ln>
                  </pic:spPr>
                </pic:pic>
              </a:graphicData>
            </a:graphic>
          </wp:inline>
        </w:drawing>
      </w:r>
    </w:p>
    <w:p w:rsidR="007E7AC3" w:rsidRDefault="007E7AC3"/>
    <w:p w:rsidR="007E7AC3" w:rsidRDefault="007E7AC3"/>
    <w:p w:rsidR="00FF1A33" w:rsidRDefault="00FF1A33"/>
    <w:p w:rsidR="007E7AC3" w:rsidRPr="00C263C3" w:rsidRDefault="00C263C3" w:rsidP="001E33B1">
      <w:pPr>
        <w:pStyle w:val="Heading5"/>
      </w:pPr>
      <w:r w:rsidRPr="00C263C3">
        <w:t>Clinical Summary in Patient Portal</w:t>
      </w:r>
    </w:p>
    <w:p w:rsidR="007E7AC3" w:rsidRDefault="007E7AC3"/>
    <w:p w:rsidR="007E7AC3" w:rsidRDefault="00C263C3">
      <w:r>
        <w:t xml:space="preserve">Once a </w:t>
      </w:r>
      <w:r w:rsidR="008F1583">
        <w:rPr>
          <w:b/>
        </w:rPr>
        <w:t>Clinical</w:t>
      </w:r>
      <w:r w:rsidRPr="00AC04DE">
        <w:rPr>
          <w:b/>
        </w:rPr>
        <w:t xml:space="preserve"> Summary</w:t>
      </w:r>
      <w:r>
        <w:t xml:space="preserve"> has been sent to a patient, the patient is able to access the document by logging into their Patient Portal account and going to the </w:t>
      </w:r>
      <w:r w:rsidRPr="00AC04DE">
        <w:rPr>
          <w:b/>
        </w:rPr>
        <w:t>Clinical Documents</w:t>
      </w:r>
      <w:r>
        <w:t xml:space="preserve"> tab. The </w:t>
      </w:r>
      <w:r w:rsidR="008F1583">
        <w:t>Clinical</w:t>
      </w:r>
      <w:r>
        <w:t xml:space="preserve"> Summary will show up on the list of documents for this patient. The patient can choose to </w:t>
      </w:r>
      <w:r w:rsidRPr="00AC04DE">
        <w:rPr>
          <w:b/>
        </w:rPr>
        <w:t>View</w:t>
      </w:r>
      <w:r>
        <w:t xml:space="preserve"> the document, </w:t>
      </w:r>
      <w:r w:rsidRPr="00AC04DE">
        <w:rPr>
          <w:b/>
        </w:rPr>
        <w:t>Download</w:t>
      </w:r>
      <w:r>
        <w:t xml:space="preserve"> the document to their computer, or </w:t>
      </w:r>
      <w:r w:rsidRPr="00AC04DE">
        <w:rPr>
          <w:b/>
        </w:rPr>
        <w:t>Transmit</w:t>
      </w:r>
      <w:r>
        <w:t xml:space="preserve"> the document using Direct to another provider. </w:t>
      </w:r>
    </w:p>
    <w:p w:rsidR="00C233C4" w:rsidRDefault="00C233C4"/>
    <w:p w:rsidR="00C233C4" w:rsidRPr="00C233C4" w:rsidRDefault="00C233C4">
      <w:pPr>
        <w:rPr>
          <w:b/>
          <w:color w:val="FF0000"/>
        </w:rPr>
      </w:pPr>
      <w:r w:rsidRPr="00C233C4">
        <w:rPr>
          <w:b/>
          <w:color w:val="FF0000"/>
        </w:rPr>
        <w:t xml:space="preserve">NOTE: The options for View, Download, or Transmit in relation to Clinical Summary when selected by the patient will </w:t>
      </w:r>
      <w:r w:rsidRPr="00C233C4">
        <w:rPr>
          <w:b/>
          <w:color w:val="FF0000"/>
          <w:u w:val="single"/>
        </w:rPr>
        <w:t>NOT</w:t>
      </w:r>
      <w:r w:rsidRPr="00C233C4">
        <w:rPr>
          <w:b/>
          <w:color w:val="FF0000"/>
        </w:rPr>
        <w:t xml:space="preserve"> count towards the numerator for Measure 2</w:t>
      </w:r>
      <w:r>
        <w:rPr>
          <w:b/>
          <w:color w:val="FF0000"/>
        </w:rPr>
        <w:t>: View, Download, or Transmit</w:t>
      </w:r>
      <w:r w:rsidRPr="00C233C4">
        <w:rPr>
          <w:b/>
          <w:color w:val="FF0000"/>
        </w:rPr>
        <w:t xml:space="preserve"> under </w:t>
      </w:r>
      <w:r>
        <w:rPr>
          <w:b/>
          <w:color w:val="FF0000"/>
        </w:rPr>
        <w:t xml:space="preserve">Core Measure #7: </w:t>
      </w:r>
      <w:r w:rsidRPr="00C233C4">
        <w:rPr>
          <w:b/>
          <w:color w:val="FF0000"/>
        </w:rPr>
        <w:t>Patient Electronic Access</w:t>
      </w:r>
      <w:r>
        <w:rPr>
          <w:b/>
          <w:color w:val="FF0000"/>
        </w:rPr>
        <w:t xml:space="preserve">. Only Health Summaries accessed by the patient will be included under the numerator for Patient Electronic Access.  </w:t>
      </w:r>
      <w:r w:rsidRPr="00C233C4">
        <w:rPr>
          <w:b/>
          <w:color w:val="FF0000"/>
        </w:rPr>
        <w:t xml:space="preserve"> </w:t>
      </w:r>
    </w:p>
    <w:p w:rsidR="005142D7" w:rsidRDefault="005142D7"/>
    <w:p w:rsidR="004F7433" w:rsidRDefault="00C263C3">
      <w:r>
        <w:rPr>
          <w:noProof/>
        </w:rPr>
        <w:drawing>
          <wp:inline distT="0" distB="0" distL="0" distR="0" wp14:anchorId="3DE728FB" wp14:editId="681C0816">
            <wp:extent cx="6854190" cy="156654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4190" cy="1566545"/>
                    </a:xfrm>
                    <a:prstGeom prst="rect">
                      <a:avLst/>
                    </a:prstGeom>
                    <a:noFill/>
                    <a:ln>
                      <a:noFill/>
                    </a:ln>
                  </pic:spPr>
                </pic:pic>
              </a:graphicData>
            </a:graphic>
          </wp:inline>
        </w:drawing>
      </w:r>
    </w:p>
    <w:p w:rsidR="004F7433" w:rsidRDefault="004F7433">
      <w:r>
        <w:br w:type="page"/>
      </w:r>
    </w:p>
    <w:p w:rsidR="00C263C3" w:rsidRDefault="004F7433" w:rsidP="004F7433">
      <w:pPr>
        <w:pStyle w:val="Heading2"/>
      </w:pPr>
      <w:bookmarkStart w:id="64" w:name="_Toc390171177"/>
      <w:r w:rsidRPr="009F3C18">
        <w:t>Stage 2 - Core #9: Protect Electronic Health Information</w:t>
      </w:r>
      <w:bookmarkEnd w:id="64"/>
      <w:r>
        <w:t xml:space="preserve"> </w:t>
      </w:r>
    </w:p>
    <w:p w:rsidR="004F7433" w:rsidRDefault="004F7433"/>
    <w:tbl>
      <w:tblPr>
        <w:tblW w:w="10815" w:type="dxa"/>
        <w:tblInd w:w="93" w:type="dxa"/>
        <w:tblLook w:val="04A0" w:firstRow="1" w:lastRow="0" w:firstColumn="1" w:lastColumn="0" w:noHBand="0" w:noVBand="1"/>
      </w:tblPr>
      <w:tblGrid>
        <w:gridCol w:w="1340"/>
        <w:gridCol w:w="9475"/>
      </w:tblGrid>
      <w:tr w:rsidR="00FF1A33" w:rsidRPr="00FF1A33" w:rsidTr="00FF1A3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FF1A33" w:rsidRPr="004F7433" w:rsidRDefault="00FF1A33" w:rsidP="004F7433">
            <w:pPr>
              <w:rPr>
                <w:b/>
              </w:rPr>
            </w:pPr>
            <w:r w:rsidRPr="004F7433">
              <w:rPr>
                <w:b/>
                <w:color w:val="FFFFFF" w:themeColor="background1"/>
                <w:sz w:val="32"/>
              </w:rPr>
              <w:t>Protect Electronic Health Information</w:t>
            </w:r>
          </w:p>
        </w:tc>
      </w:tr>
      <w:tr w:rsidR="00FF1A33" w:rsidRPr="00FF1A33" w:rsidTr="00FF1A33">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FF1A33" w:rsidRPr="00FF1A33" w:rsidRDefault="00FF1A33" w:rsidP="00FF1A33">
            <w:pPr>
              <w:jc w:val="right"/>
              <w:rPr>
                <w:rFonts w:ascii="Calibri" w:eastAsia="Times New Roman" w:hAnsi="Calibri" w:cs="Times New Roman"/>
                <w:b/>
                <w:bCs/>
                <w:color w:val="FFFFFF"/>
              </w:rPr>
            </w:pPr>
            <w:r w:rsidRPr="00FF1A33">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FF1A33" w:rsidRPr="00FF1A33" w:rsidRDefault="00FF1A33" w:rsidP="00FF1A33">
            <w:pPr>
              <w:rPr>
                <w:rFonts w:ascii="Calibri" w:eastAsia="Times New Roman" w:hAnsi="Calibri" w:cs="Times New Roman"/>
                <w:color w:val="000000"/>
              </w:rPr>
            </w:pPr>
            <w:r w:rsidRPr="00FF1A33">
              <w:rPr>
                <w:rFonts w:ascii="Calibri" w:eastAsia="Times New Roman" w:hAnsi="Calibri" w:cs="Times New Roman"/>
                <w:color w:val="000000"/>
              </w:rPr>
              <w:t>Protect electronic health information created or maintained by the certified EHR technology (CEHRT) through the implementation of appropriate technical capabilities</w:t>
            </w:r>
          </w:p>
        </w:tc>
      </w:tr>
      <w:tr w:rsidR="00FF1A33" w:rsidRPr="00FF1A33" w:rsidTr="00FF1A33">
        <w:trPr>
          <w:trHeight w:val="300"/>
        </w:trPr>
        <w:tc>
          <w:tcPr>
            <w:tcW w:w="1340" w:type="dxa"/>
            <w:vMerge/>
            <w:tcBorders>
              <w:top w:val="nil"/>
              <w:left w:val="single" w:sz="4" w:space="0" w:color="auto"/>
              <w:bottom w:val="nil"/>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r w:rsidR="00FF1A33" w:rsidRPr="00FF1A33" w:rsidTr="00FF1A33">
        <w:trPr>
          <w:trHeight w:val="300"/>
        </w:trPr>
        <w:tc>
          <w:tcPr>
            <w:tcW w:w="1340" w:type="dxa"/>
            <w:vMerge/>
            <w:tcBorders>
              <w:top w:val="nil"/>
              <w:left w:val="single" w:sz="4" w:space="0" w:color="auto"/>
              <w:bottom w:val="nil"/>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r w:rsidR="00FF1A33" w:rsidRPr="00FF1A33" w:rsidTr="00FF1A33">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FF1A33" w:rsidRPr="00FF1A33" w:rsidRDefault="00FF1A33" w:rsidP="00FF1A33">
            <w:pPr>
              <w:jc w:val="right"/>
              <w:rPr>
                <w:rFonts w:ascii="Calibri" w:eastAsia="Times New Roman" w:hAnsi="Calibri" w:cs="Times New Roman"/>
                <w:b/>
                <w:bCs/>
                <w:color w:val="FFFFFF"/>
              </w:rPr>
            </w:pPr>
            <w:r w:rsidRPr="00FF1A33">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FF1A33" w:rsidRPr="00FF1A33" w:rsidRDefault="00FF1A33" w:rsidP="00FF1A33">
            <w:pPr>
              <w:rPr>
                <w:rFonts w:ascii="Calibri" w:eastAsia="Times New Roman" w:hAnsi="Calibri" w:cs="Times New Roman"/>
                <w:color w:val="000000"/>
              </w:rPr>
            </w:pPr>
            <w:r w:rsidRPr="00FF1A33">
              <w:rPr>
                <w:rFonts w:ascii="Calibri" w:eastAsia="Times New Roman" w:hAnsi="Calibri" w:cs="Times New Roman"/>
                <w:color w:val="000000"/>
              </w:rPr>
              <w:t>Conduct or review a security risk analysis in accordance with the requirements under 45 CFR 164.308(a) (1), including addressing the encryption/security of data stored in CEHRT in accordance with requirements under 45 CFR 164.312 (a)(2)(iv) and 45 CFR 164.306(d)(3), and implement security updates as necessary and correct identified security deficiencies as part of the provider's risk management process for EPs</w:t>
            </w:r>
          </w:p>
        </w:tc>
      </w:tr>
      <w:tr w:rsidR="00FF1A33" w:rsidRPr="00FF1A33" w:rsidTr="00FF1A33">
        <w:trPr>
          <w:trHeight w:val="300"/>
        </w:trPr>
        <w:tc>
          <w:tcPr>
            <w:tcW w:w="1340" w:type="dxa"/>
            <w:vMerge/>
            <w:tcBorders>
              <w:top w:val="single" w:sz="4" w:space="0" w:color="auto"/>
              <w:left w:val="single" w:sz="4" w:space="0" w:color="auto"/>
              <w:bottom w:val="single" w:sz="4" w:space="0" w:color="000000"/>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r w:rsidR="00FF1A33" w:rsidRPr="00FF1A33" w:rsidTr="00FF1A33">
        <w:trPr>
          <w:trHeight w:val="300"/>
        </w:trPr>
        <w:tc>
          <w:tcPr>
            <w:tcW w:w="1340" w:type="dxa"/>
            <w:vMerge/>
            <w:tcBorders>
              <w:top w:val="single" w:sz="4" w:space="0" w:color="auto"/>
              <w:left w:val="single" w:sz="4" w:space="0" w:color="auto"/>
              <w:bottom w:val="single" w:sz="4" w:space="0" w:color="000000"/>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r w:rsidR="00FF1A33" w:rsidRPr="00FF1A33" w:rsidTr="00FF1A33">
        <w:trPr>
          <w:trHeight w:val="300"/>
        </w:trPr>
        <w:tc>
          <w:tcPr>
            <w:tcW w:w="1340" w:type="dxa"/>
            <w:vMerge w:val="restart"/>
            <w:tcBorders>
              <w:top w:val="nil"/>
              <w:left w:val="single" w:sz="4" w:space="0" w:color="auto"/>
              <w:bottom w:val="nil"/>
              <w:right w:val="nil"/>
            </w:tcBorders>
            <w:shd w:val="clear" w:color="000000" w:fill="1F497D"/>
            <w:vAlign w:val="center"/>
            <w:hideMark/>
          </w:tcPr>
          <w:p w:rsidR="00FF1A33" w:rsidRPr="00FF1A33" w:rsidRDefault="00FF1A33" w:rsidP="00FF1A33">
            <w:pPr>
              <w:jc w:val="right"/>
              <w:rPr>
                <w:rFonts w:ascii="Calibri" w:eastAsia="Times New Roman" w:hAnsi="Calibri" w:cs="Times New Roman"/>
                <w:b/>
                <w:bCs/>
                <w:color w:val="FFFFFF"/>
              </w:rPr>
            </w:pPr>
            <w:r w:rsidRPr="00FF1A33">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FF1A33" w:rsidRPr="00FF1A33" w:rsidRDefault="00FF1A33" w:rsidP="00FF1A33">
            <w:pPr>
              <w:rPr>
                <w:rFonts w:ascii="Calibri" w:eastAsia="Times New Roman" w:hAnsi="Calibri" w:cs="Times New Roman"/>
                <w:color w:val="000000"/>
              </w:rPr>
            </w:pPr>
            <w:r w:rsidRPr="00FF1A33">
              <w:rPr>
                <w:rFonts w:ascii="Calibri" w:eastAsia="Times New Roman" w:hAnsi="Calibri" w:cs="Times New Roman"/>
                <w:color w:val="000000"/>
              </w:rPr>
              <w:t>No exclusion</w:t>
            </w:r>
          </w:p>
        </w:tc>
      </w:tr>
      <w:tr w:rsidR="00FF1A33" w:rsidRPr="00FF1A33" w:rsidTr="00FF1A33">
        <w:trPr>
          <w:trHeight w:val="300"/>
        </w:trPr>
        <w:tc>
          <w:tcPr>
            <w:tcW w:w="1340" w:type="dxa"/>
            <w:vMerge/>
            <w:tcBorders>
              <w:top w:val="nil"/>
              <w:left w:val="single" w:sz="4" w:space="0" w:color="auto"/>
              <w:bottom w:val="nil"/>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r w:rsidR="00FF1A33" w:rsidRPr="00FF1A33" w:rsidTr="00FF1A33">
        <w:trPr>
          <w:trHeight w:val="300"/>
        </w:trPr>
        <w:tc>
          <w:tcPr>
            <w:tcW w:w="1340" w:type="dxa"/>
            <w:vMerge/>
            <w:tcBorders>
              <w:top w:val="nil"/>
              <w:left w:val="single" w:sz="4" w:space="0" w:color="auto"/>
              <w:bottom w:val="nil"/>
              <w:right w:val="nil"/>
            </w:tcBorders>
            <w:vAlign w:val="center"/>
            <w:hideMark/>
          </w:tcPr>
          <w:p w:rsidR="00FF1A33" w:rsidRPr="00FF1A33" w:rsidRDefault="00FF1A33" w:rsidP="00FF1A3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FF1A33" w:rsidRPr="00FF1A33" w:rsidRDefault="00FF1A33" w:rsidP="00FF1A33">
            <w:pPr>
              <w:rPr>
                <w:rFonts w:ascii="Calibri" w:eastAsia="Times New Roman" w:hAnsi="Calibri" w:cs="Times New Roman"/>
                <w:color w:val="000000"/>
              </w:rPr>
            </w:pPr>
          </w:p>
        </w:tc>
      </w:tr>
    </w:tbl>
    <w:p w:rsidR="005142D7" w:rsidRDefault="005142D7"/>
    <w:p w:rsidR="00C263C3" w:rsidRDefault="00C263C3"/>
    <w:tbl>
      <w:tblPr>
        <w:tblW w:w="10815" w:type="dxa"/>
        <w:tblInd w:w="93" w:type="dxa"/>
        <w:tblLook w:val="04A0" w:firstRow="1" w:lastRow="0" w:firstColumn="1" w:lastColumn="0" w:noHBand="0" w:noVBand="1"/>
      </w:tblPr>
      <w:tblGrid>
        <w:gridCol w:w="1435"/>
        <w:gridCol w:w="9380"/>
      </w:tblGrid>
      <w:tr w:rsidR="009C005F" w:rsidRPr="00244863" w:rsidTr="00F62560">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9C005F" w:rsidRPr="00244863" w:rsidRDefault="009C005F" w:rsidP="00F62560">
            <w:pPr>
              <w:rPr>
                <w:rFonts w:ascii="Calibri" w:eastAsia="Times New Roman" w:hAnsi="Calibri" w:cs="Times New Roman"/>
                <w:b/>
                <w:bCs/>
                <w:color w:val="FFFFFF"/>
                <w:sz w:val="28"/>
                <w:szCs w:val="28"/>
              </w:rPr>
            </w:pPr>
            <w:r w:rsidRPr="009C005F">
              <w:rPr>
                <w:rFonts w:ascii="Calibri" w:eastAsia="Times New Roman" w:hAnsi="Calibri" w:cs="Times New Roman"/>
                <w:b/>
                <w:bCs/>
                <w:color w:val="FFFFFF"/>
                <w:sz w:val="28"/>
                <w:szCs w:val="28"/>
              </w:rPr>
              <w:t>Protect Electronic Health Information</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9C005F" w:rsidRPr="00244863" w:rsidTr="00F62560">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9C005F" w:rsidRPr="00244863" w:rsidRDefault="009C005F" w:rsidP="00F62560">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9C005F" w:rsidRPr="00244863" w:rsidRDefault="009D794C" w:rsidP="009D794C">
            <w:pPr>
              <w:rPr>
                <w:rFonts w:ascii="Calibri" w:eastAsia="Times New Roman" w:hAnsi="Calibri" w:cs="Times New Roman"/>
                <w:color w:val="000000"/>
              </w:rPr>
            </w:pPr>
            <w:r w:rsidRPr="009D794C">
              <w:rPr>
                <w:rFonts w:ascii="Calibri" w:eastAsia="Times New Roman" w:hAnsi="Calibri" w:cs="Times New Roman"/>
                <w:color w:val="000000"/>
              </w:rPr>
              <w:t>Eligible professionals (EPs) must attest YES to conducting or reviewin</w:t>
            </w:r>
            <w:r>
              <w:rPr>
                <w:rFonts w:ascii="Calibri" w:eastAsia="Times New Roman" w:hAnsi="Calibri" w:cs="Times New Roman"/>
                <w:color w:val="000000"/>
              </w:rPr>
              <w:t xml:space="preserve">g a security risk analysis and </w:t>
            </w:r>
            <w:r w:rsidRPr="009D794C">
              <w:rPr>
                <w:rFonts w:ascii="Calibri" w:eastAsia="Times New Roman" w:hAnsi="Calibri" w:cs="Times New Roman"/>
                <w:color w:val="000000"/>
              </w:rPr>
              <w:t>implementing security updates as needed to meet this measure.</w:t>
            </w:r>
          </w:p>
        </w:tc>
      </w:tr>
      <w:tr w:rsidR="009C005F"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9C005F" w:rsidRPr="00244863" w:rsidRDefault="009C005F"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C005F" w:rsidRPr="00244863" w:rsidRDefault="009C005F" w:rsidP="00F62560">
            <w:pPr>
              <w:rPr>
                <w:rFonts w:ascii="Calibri" w:eastAsia="Times New Roman" w:hAnsi="Calibri" w:cs="Times New Roman"/>
                <w:color w:val="000000"/>
              </w:rPr>
            </w:pPr>
          </w:p>
        </w:tc>
      </w:tr>
      <w:tr w:rsidR="009C005F"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9C005F" w:rsidRPr="00244863" w:rsidRDefault="009C005F"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C005F" w:rsidRPr="00244863" w:rsidRDefault="009C005F" w:rsidP="00F62560">
            <w:pPr>
              <w:rPr>
                <w:rFonts w:ascii="Calibri" w:eastAsia="Times New Roman" w:hAnsi="Calibri" w:cs="Times New Roman"/>
                <w:color w:val="000000"/>
              </w:rPr>
            </w:pPr>
          </w:p>
        </w:tc>
      </w:tr>
    </w:tbl>
    <w:p w:rsidR="009C005F" w:rsidRDefault="009C005F"/>
    <w:p w:rsidR="009C005F" w:rsidRDefault="009C005F"/>
    <w:p w:rsidR="009C005F" w:rsidRDefault="009C005F"/>
    <w:p w:rsidR="008D3D1A" w:rsidRPr="009F3C18" w:rsidRDefault="008D3D1A" w:rsidP="009F3C18">
      <w:pPr>
        <w:pStyle w:val="Heading3"/>
      </w:pPr>
      <w:bookmarkStart w:id="65" w:name="_Toc390171178"/>
      <w:r w:rsidRPr="009F3C18">
        <w:t>Protect Electronic Health Information: Explanation of Measure</w:t>
      </w:r>
      <w:bookmarkEnd w:id="65"/>
    </w:p>
    <w:p w:rsidR="008D3D1A" w:rsidRDefault="008D3D1A" w:rsidP="008D3D1A">
      <w:pPr>
        <w:rPr>
          <w:b/>
        </w:rPr>
      </w:pPr>
    </w:p>
    <w:p w:rsidR="008D3D1A" w:rsidRDefault="008D3D1A" w:rsidP="008D3D1A">
      <w:r>
        <w:t xml:space="preserve">This measure does not have a numerator, denominator or reporting threshold. Instead, it is a Yes/No attestation by the EP. This means that there is nothing to track within the CEHRT as far as reporting specific numbers. Instead, the EP is supposed to have performed </w:t>
      </w:r>
      <w:r w:rsidR="00DE39B7">
        <w:t xml:space="preserve">the </w:t>
      </w:r>
      <w:r>
        <w:t>work outside of the CEHRT</w:t>
      </w:r>
      <w:r w:rsidR="00DE39B7">
        <w:t xml:space="preserve"> and attest that </w:t>
      </w:r>
      <w:r w:rsidR="00DE7D49">
        <w:t xml:space="preserve">the </w:t>
      </w:r>
      <w:r w:rsidR="00DE39B7">
        <w:t>work had been done.</w:t>
      </w:r>
    </w:p>
    <w:p w:rsidR="00DE39B7" w:rsidRDefault="00DE39B7" w:rsidP="008D3D1A"/>
    <w:p w:rsidR="00244863" w:rsidRDefault="00DE39B7" w:rsidP="008D3D1A">
      <w:pPr>
        <w:rPr>
          <w:rFonts w:ascii="Calibri" w:eastAsia="Times New Roman" w:hAnsi="Calibri" w:cs="Times New Roman"/>
          <w:color w:val="000000"/>
        </w:rPr>
      </w:pPr>
      <w:r>
        <w:t xml:space="preserve">In the case of this measure, the EP is required to perform a security risk analysis and implement security updates as necessary to correct security deficiencies identified by the analysis. </w:t>
      </w:r>
      <w:r w:rsidR="00DE7D49">
        <w:t xml:space="preserve">This needs to be done in accordance with </w:t>
      </w:r>
      <w:r w:rsidR="00DE7D49" w:rsidRPr="00FF1A33">
        <w:rPr>
          <w:rFonts w:ascii="Calibri" w:eastAsia="Times New Roman" w:hAnsi="Calibri" w:cs="Times New Roman"/>
          <w:color w:val="000000"/>
        </w:rPr>
        <w:t>45 CFR 164.308(a) (1)</w:t>
      </w:r>
      <w:r w:rsidR="00DE7D49">
        <w:rPr>
          <w:rFonts w:ascii="Calibri" w:eastAsia="Times New Roman" w:hAnsi="Calibri" w:cs="Times New Roman"/>
          <w:color w:val="000000"/>
        </w:rPr>
        <w:t xml:space="preserve">, </w:t>
      </w:r>
      <w:r w:rsidR="00DE7D49" w:rsidRPr="00FF1A33">
        <w:rPr>
          <w:rFonts w:ascii="Calibri" w:eastAsia="Times New Roman" w:hAnsi="Calibri" w:cs="Times New Roman"/>
          <w:color w:val="000000"/>
        </w:rPr>
        <w:t>45 CFR 164.312 (a)(2)(iv)</w:t>
      </w:r>
      <w:r w:rsidR="00DE7D49">
        <w:rPr>
          <w:rFonts w:ascii="Calibri" w:eastAsia="Times New Roman" w:hAnsi="Calibri" w:cs="Times New Roman"/>
          <w:color w:val="000000"/>
        </w:rPr>
        <w:t>, and</w:t>
      </w:r>
      <w:r w:rsidR="00DE7D49" w:rsidRPr="00FF1A33">
        <w:rPr>
          <w:rFonts w:ascii="Calibri" w:eastAsia="Times New Roman" w:hAnsi="Calibri" w:cs="Times New Roman"/>
          <w:color w:val="000000"/>
        </w:rPr>
        <w:t xml:space="preserve"> 45 CFR 164.306(d)(3)</w:t>
      </w:r>
      <w:r w:rsidR="00DE7D49">
        <w:rPr>
          <w:rFonts w:ascii="Calibri" w:eastAsia="Times New Roman" w:hAnsi="Calibri" w:cs="Times New Roman"/>
          <w:color w:val="000000"/>
        </w:rPr>
        <w:t xml:space="preserve">. </w:t>
      </w:r>
    </w:p>
    <w:p w:rsidR="00244863" w:rsidRDefault="00244863" w:rsidP="008D3D1A">
      <w:pPr>
        <w:rPr>
          <w:rFonts w:ascii="Calibri" w:eastAsia="Times New Roman" w:hAnsi="Calibri" w:cs="Times New Roman"/>
          <w:color w:val="000000"/>
        </w:rPr>
      </w:pPr>
    </w:p>
    <w:p w:rsidR="004F7433" w:rsidRDefault="004F7433">
      <w:pPr>
        <w:rPr>
          <w:rFonts w:ascii="Calibri" w:eastAsia="Times New Roman" w:hAnsi="Calibri" w:cs="Times New Roman"/>
          <w:color w:val="000000"/>
        </w:rPr>
      </w:pPr>
      <w:r>
        <w:rPr>
          <w:rFonts w:ascii="Calibri" w:eastAsia="Times New Roman" w:hAnsi="Calibri" w:cs="Times New Roman"/>
          <w:color w:val="000000"/>
        </w:rPr>
        <w:br w:type="page"/>
      </w:r>
    </w:p>
    <w:p w:rsidR="00244863" w:rsidRDefault="004F7433" w:rsidP="004F7433">
      <w:pPr>
        <w:pStyle w:val="Heading2"/>
        <w:rPr>
          <w:rFonts w:ascii="Calibri" w:eastAsia="Times New Roman" w:hAnsi="Calibri" w:cs="Times New Roman"/>
          <w:color w:val="000000"/>
        </w:rPr>
      </w:pPr>
      <w:bookmarkStart w:id="66" w:name="_Toc390171179"/>
      <w:r w:rsidRPr="00244863">
        <w:rPr>
          <w:rFonts w:eastAsia="Times New Roman"/>
        </w:rPr>
        <w:t>Stage 2 - Core #10: Clinical Lab-Test Results</w:t>
      </w:r>
      <w:bookmarkEnd w:id="66"/>
      <w:r>
        <w:rPr>
          <w:rFonts w:ascii="Calibri" w:eastAsia="Times New Roman" w:hAnsi="Calibri" w:cs="Times New Roman"/>
          <w:color w:val="000000"/>
        </w:rPr>
        <w:t xml:space="preserve"> </w:t>
      </w:r>
    </w:p>
    <w:p w:rsidR="004F7433" w:rsidRDefault="004F7433" w:rsidP="008D3D1A">
      <w:pPr>
        <w:rPr>
          <w:rFonts w:ascii="Calibri" w:eastAsia="Times New Roman" w:hAnsi="Calibri" w:cs="Times New Roman"/>
          <w:color w:val="000000"/>
        </w:rPr>
      </w:pPr>
    </w:p>
    <w:tbl>
      <w:tblPr>
        <w:tblW w:w="10815" w:type="dxa"/>
        <w:tblInd w:w="93" w:type="dxa"/>
        <w:tblLook w:val="04A0" w:firstRow="1" w:lastRow="0" w:firstColumn="1" w:lastColumn="0" w:noHBand="0" w:noVBand="1"/>
      </w:tblPr>
      <w:tblGrid>
        <w:gridCol w:w="1340"/>
        <w:gridCol w:w="9475"/>
      </w:tblGrid>
      <w:tr w:rsidR="00244863" w:rsidRPr="00244863" w:rsidTr="0024486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244863" w:rsidRPr="004F7433" w:rsidRDefault="00244863" w:rsidP="004F7433">
            <w:pPr>
              <w:rPr>
                <w:b/>
              </w:rPr>
            </w:pPr>
            <w:r w:rsidRPr="004F7433">
              <w:rPr>
                <w:b/>
                <w:color w:val="FFFFFF" w:themeColor="background1"/>
                <w:sz w:val="32"/>
              </w:rPr>
              <w:t>Clinical Lab-Test Results</w:t>
            </w:r>
          </w:p>
        </w:tc>
      </w:tr>
      <w:tr w:rsidR="00244863" w:rsidRPr="00244863" w:rsidTr="00244863">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Incorporate clinical lab-test results into Certified EHR Technology (CEHRT) as structured data</w:t>
            </w:r>
          </w:p>
        </w:tc>
      </w:tr>
      <w:tr w:rsidR="00244863" w:rsidRPr="00244863" w:rsidTr="00244863">
        <w:trPr>
          <w:trHeight w:val="300"/>
        </w:trPr>
        <w:tc>
          <w:tcPr>
            <w:tcW w:w="1340" w:type="dxa"/>
            <w:vMerge/>
            <w:tcBorders>
              <w:top w:val="nil"/>
              <w:left w:val="single" w:sz="4" w:space="0" w:color="auto"/>
              <w:bottom w:val="nil"/>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340" w:type="dxa"/>
            <w:vMerge/>
            <w:tcBorders>
              <w:top w:val="nil"/>
              <w:left w:val="single" w:sz="4" w:space="0" w:color="auto"/>
              <w:bottom w:val="nil"/>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More than 55 percent of all clinical lab tests results ordered by the EP during the EHR reporting period whose results are either in a positive/negative or numerical format are incorporated in Certified EHR Technology as structured data</w:t>
            </w:r>
          </w:p>
        </w:tc>
      </w:tr>
      <w:tr w:rsidR="00244863" w:rsidRPr="00244863" w:rsidTr="00244863">
        <w:trPr>
          <w:trHeight w:val="300"/>
        </w:trPr>
        <w:tc>
          <w:tcPr>
            <w:tcW w:w="1340" w:type="dxa"/>
            <w:vMerge/>
            <w:tcBorders>
              <w:top w:val="single" w:sz="4" w:space="0" w:color="auto"/>
              <w:left w:val="single" w:sz="4" w:space="0" w:color="auto"/>
              <w:bottom w:val="single" w:sz="4" w:space="0" w:color="000000"/>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340" w:type="dxa"/>
            <w:vMerge/>
            <w:tcBorders>
              <w:top w:val="single" w:sz="4" w:space="0" w:color="auto"/>
              <w:left w:val="single" w:sz="4" w:space="0" w:color="auto"/>
              <w:bottom w:val="single" w:sz="4" w:space="0" w:color="000000"/>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340" w:type="dxa"/>
            <w:vMerge w:val="restart"/>
            <w:tcBorders>
              <w:top w:val="nil"/>
              <w:left w:val="single" w:sz="4" w:space="0" w:color="auto"/>
              <w:bottom w:val="nil"/>
              <w:right w:val="nil"/>
            </w:tcBorders>
            <w:shd w:val="clear" w:color="000000" w:fill="1F497D"/>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Any EP who orders no lab tests where results are either in a positive/negative affirmation or numeric format during the EHR reporting period</w:t>
            </w:r>
          </w:p>
        </w:tc>
      </w:tr>
      <w:tr w:rsidR="00244863" w:rsidRPr="00244863" w:rsidTr="00244863">
        <w:trPr>
          <w:trHeight w:val="300"/>
        </w:trPr>
        <w:tc>
          <w:tcPr>
            <w:tcW w:w="1340" w:type="dxa"/>
            <w:vMerge/>
            <w:tcBorders>
              <w:top w:val="nil"/>
              <w:left w:val="single" w:sz="4" w:space="0" w:color="auto"/>
              <w:bottom w:val="nil"/>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340" w:type="dxa"/>
            <w:vMerge/>
            <w:tcBorders>
              <w:top w:val="nil"/>
              <w:left w:val="single" w:sz="4" w:space="0" w:color="auto"/>
              <w:bottom w:val="nil"/>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bl>
    <w:p w:rsidR="00244863" w:rsidRPr="00244863" w:rsidRDefault="00244863" w:rsidP="008D3D1A">
      <w:pPr>
        <w:rPr>
          <w:rFonts w:ascii="Calibri" w:eastAsia="Times New Roman" w:hAnsi="Calibri" w:cs="Times New Roman"/>
          <w:color w:val="000000"/>
        </w:rPr>
      </w:pPr>
    </w:p>
    <w:p w:rsidR="008D3D1A" w:rsidRDefault="008D3D1A" w:rsidP="008D3D1A"/>
    <w:tbl>
      <w:tblPr>
        <w:tblW w:w="10815" w:type="dxa"/>
        <w:tblInd w:w="93" w:type="dxa"/>
        <w:tblLook w:val="04A0" w:firstRow="1" w:lastRow="0" w:firstColumn="1" w:lastColumn="0" w:noHBand="0" w:noVBand="1"/>
      </w:tblPr>
      <w:tblGrid>
        <w:gridCol w:w="1435"/>
        <w:gridCol w:w="9380"/>
      </w:tblGrid>
      <w:tr w:rsidR="00244863" w:rsidRPr="00244863" w:rsidTr="0024486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244863" w:rsidRPr="00244863" w:rsidRDefault="00651B15" w:rsidP="00244863">
            <w:pPr>
              <w:rPr>
                <w:rFonts w:ascii="Calibri" w:eastAsia="Times New Roman" w:hAnsi="Calibri" w:cs="Times New Roman"/>
                <w:b/>
                <w:bCs/>
                <w:color w:val="FFFFFF"/>
                <w:sz w:val="28"/>
                <w:szCs w:val="28"/>
              </w:rPr>
            </w:pPr>
            <w:r w:rsidRPr="00244863">
              <w:rPr>
                <w:rFonts w:ascii="Calibri" w:eastAsia="Times New Roman" w:hAnsi="Calibri" w:cs="Times New Roman"/>
                <w:b/>
                <w:bCs/>
                <w:color w:val="FFFFFF"/>
                <w:sz w:val="28"/>
                <w:szCs w:val="28"/>
              </w:rPr>
              <w:t>Clinical Lab-Test Results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244863" w:rsidRPr="00244863" w:rsidTr="0024486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Denominator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Number of lab tests ordered during the EHR reporting period by the EP whose results are expressed in a positive or negative affirmation or as a number</w:t>
            </w:r>
          </w:p>
        </w:tc>
      </w:tr>
      <w:tr w:rsidR="00244863" w:rsidRPr="00244863" w:rsidTr="00244863">
        <w:trPr>
          <w:trHeight w:val="300"/>
        </w:trPr>
        <w:tc>
          <w:tcPr>
            <w:tcW w:w="1435" w:type="dxa"/>
            <w:vMerge/>
            <w:tcBorders>
              <w:top w:val="nil"/>
              <w:left w:val="single" w:sz="4" w:space="0" w:color="auto"/>
              <w:bottom w:val="single" w:sz="4" w:space="0" w:color="000000"/>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Numerator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Number of lab test results which are expressed in a positive or negative affirmation or as a numeric result which are incorporated in CEHRT as structured data</w:t>
            </w:r>
          </w:p>
        </w:tc>
      </w:tr>
      <w:tr w:rsidR="00244863" w:rsidRPr="00244863" w:rsidTr="00244863">
        <w:trPr>
          <w:trHeight w:val="300"/>
        </w:trPr>
        <w:tc>
          <w:tcPr>
            <w:tcW w:w="1435" w:type="dxa"/>
            <w:vMerge/>
            <w:tcBorders>
              <w:top w:val="nil"/>
              <w:left w:val="single" w:sz="4" w:space="0" w:color="auto"/>
              <w:bottom w:val="single" w:sz="4" w:space="0" w:color="000000"/>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r w:rsidR="00244863" w:rsidRPr="00244863" w:rsidTr="00244863">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244863" w:rsidRPr="00244863" w:rsidRDefault="00244863" w:rsidP="00244863">
            <w:pPr>
              <w:jc w:val="right"/>
              <w:rPr>
                <w:rFonts w:ascii="Calibri" w:eastAsia="Times New Roman" w:hAnsi="Calibri" w:cs="Times New Roman"/>
                <w:b/>
                <w:bCs/>
                <w:color w:val="FFFFFF"/>
              </w:rPr>
            </w:pPr>
            <w:r w:rsidRPr="00244863">
              <w:rPr>
                <w:rFonts w:ascii="Calibri" w:eastAsia="Times New Roman" w:hAnsi="Calibri" w:cs="Times New Roman"/>
                <w:b/>
                <w:bCs/>
                <w:color w:val="FFFFFF"/>
              </w:rPr>
              <w:t>Threshold</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244863" w:rsidRPr="00244863" w:rsidRDefault="00244863" w:rsidP="00244863">
            <w:pPr>
              <w:rPr>
                <w:rFonts w:ascii="Calibri" w:eastAsia="Times New Roman" w:hAnsi="Calibri" w:cs="Times New Roman"/>
                <w:color w:val="000000"/>
              </w:rPr>
            </w:pPr>
            <w:r w:rsidRPr="00244863">
              <w:rPr>
                <w:rFonts w:ascii="Calibri" w:eastAsia="Times New Roman" w:hAnsi="Calibri" w:cs="Times New Roman"/>
                <w:color w:val="000000"/>
              </w:rPr>
              <w:t>Any EP who orders no lab tests where results are either in a positive/negative affirmation or numeric format during the EHR reporting period</w:t>
            </w:r>
          </w:p>
        </w:tc>
      </w:tr>
      <w:tr w:rsidR="00244863" w:rsidRPr="00244863" w:rsidTr="00244863">
        <w:trPr>
          <w:trHeight w:val="300"/>
        </w:trPr>
        <w:tc>
          <w:tcPr>
            <w:tcW w:w="1435" w:type="dxa"/>
            <w:vMerge/>
            <w:tcBorders>
              <w:top w:val="nil"/>
              <w:left w:val="single" w:sz="4" w:space="0" w:color="auto"/>
              <w:bottom w:val="single" w:sz="4" w:space="0" w:color="000000"/>
              <w:right w:val="nil"/>
            </w:tcBorders>
            <w:vAlign w:val="center"/>
            <w:hideMark/>
          </w:tcPr>
          <w:p w:rsidR="00244863" w:rsidRPr="00244863" w:rsidRDefault="00244863" w:rsidP="0024486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244863" w:rsidRPr="00244863" w:rsidRDefault="00244863" w:rsidP="00244863">
            <w:pPr>
              <w:rPr>
                <w:rFonts w:ascii="Calibri" w:eastAsia="Times New Roman" w:hAnsi="Calibri" w:cs="Times New Roman"/>
                <w:color w:val="000000"/>
              </w:rPr>
            </w:pPr>
          </w:p>
        </w:tc>
      </w:tr>
    </w:tbl>
    <w:p w:rsidR="00C263C3" w:rsidRDefault="00C263C3"/>
    <w:p w:rsidR="00C263C3" w:rsidRDefault="00C263C3"/>
    <w:p w:rsidR="002A65FE" w:rsidRPr="009F3C18" w:rsidRDefault="002A65FE" w:rsidP="002A65FE">
      <w:pPr>
        <w:pStyle w:val="Heading3"/>
      </w:pPr>
      <w:bookmarkStart w:id="67" w:name="_Toc390171180"/>
      <w:r>
        <w:rPr>
          <w:rFonts w:eastAsia="Times New Roman"/>
        </w:rPr>
        <w:t>Lab-Test Results</w:t>
      </w:r>
      <w:r w:rsidRPr="009F3C18">
        <w:t>: Explanation of Measure</w:t>
      </w:r>
      <w:bookmarkEnd w:id="67"/>
    </w:p>
    <w:p w:rsidR="002A65FE" w:rsidRDefault="002A65FE" w:rsidP="002A65FE"/>
    <w:p w:rsidR="002A65FE" w:rsidRDefault="002A65FE" w:rsidP="002A65FE">
      <w:r>
        <w:t xml:space="preserve">This measure is based the number of Lab Requests generated by the EP during the reporting period. This measure is unique in that it is the only measure which is directly related to the amount of Lab Requests created by an EP. This means that, based on the Lab Requests that have been created, the same patient can count towards both the numerator and denominator multiple times during a reporting period for an individual EP. As such, care should be taken to ensure that the proper work is done to ensure that the EP will meet the threshold for this measure.  </w:t>
      </w:r>
    </w:p>
    <w:p w:rsidR="002A65FE" w:rsidRDefault="002A65FE" w:rsidP="002A65FE"/>
    <w:p w:rsidR="002A65FE" w:rsidRDefault="002A65FE" w:rsidP="002A65FE">
      <w:r>
        <w:t xml:space="preserve">For each Lab Request created by the EP, the Lab Panels related to the order need to be incorporated in the CEHRT for that Lab Request to count towards the numerator for this measure. Each Lab Request can count at most once for both numerator and denominator, meaning that Lab Requests which contain multiple results will still only count as one entry for the purposes of this measure. </w:t>
      </w:r>
    </w:p>
    <w:p w:rsidR="00675D7F" w:rsidRDefault="00675D7F" w:rsidP="002A65FE"/>
    <w:p w:rsidR="00675D7F" w:rsidRDefault="00675D7F" w:rsidP="002A65FE">
      <w:r>
        <w:t xml:space="preserve">Only Lab Requests whose result can be expressed as a number or positive/negative value will count towards the denominator of this measure. Every Lab Request generated within the Valant Premium Psychiatric Suite is assumed to have a result which meets </w:t>
      </w:r>
      <w:r w:rsidR="00B5533D">
        <w:t>these criteria</w:t>
      </w:r>
      <w:r>
        <w:t xml:space="preserve">, so every Lab Request created by an EP during the reporting period will appear in the denominator for this measure. </w:t>
      </w:r>
    </w:p>
    <w:p w:rsidR="002A65FE" w:rsidRDefault="002A65FE" w:rsidP="002A65FE"/>
    <w:p w:rsidR="002A65FE" w:rsidRDefault="002A65FE" w:rsidP="002A65FE">
      <w:r>
        <w:t xml:space="preserve">Each EP will need to ensure that the </w:t>
      </w:r>
      <w:r w:rsidR="00641B4A">
        <w:t>Lab Requests</w:t>
      </w:r>
      <w:r>
        <w:t xml:space="preserve"> created during the reporting period have results entered in the CEHRT in order to receive credit for the numerator for this measure. If more than on</w:t>
      </w:r>
      <w:r w:rsidR="00AC59CF">
        <w:t>e EP has a</w:t>
      </w:r>
      <w:r>
        <w:t xml:space="preserve"> </w:t>
      </w:r>
      <w:r w:rsidR="00641B4A">
        <w:t>Lab Request</w:t>
      </w:r>
      <w:r>
        <w:t xml:space="preserve"> with the same patient during the reporting period, then each EP will need to ensure that the </w:t>
      </w:r>
      <w:r w:rsidR="00AC59CF">
        <w:t>Lab Panels</w:t>
      </w:r>
      <w:r>
        <w:t xml:space="preserve"> have been entered for their own </w:t>
      </w:r>
      <w:r w:rsidR="00AC59CF">
        <w:t>Lab Request</w:t>
      </w:r>
      <w:r>
        <w:t xml:space="preserve"> for that result to count towards the numerator for that EP.  </w:t>
      </w:r>
    </w:p>
    <w:p w:rsidR="002A65FE" w:rsidRDefault="002A65FE" w:rsidP="002A65FE"/>
    <w:p w:rsidR="002A65FE" w:rsidRDefault="002A65FE" w:rsidP="002A65FE">
      <w:r>
        <w:br w:type="page"/>
      </w:r>
    </w:p>
    <w:p w:rsidR="009C7A25" w:rsidRPr="004736F7" w:rsidRDefault="009C7A25" w:rsidP="009C7A25">
      <w:pPr>
        <w:pStyle w:val="Heading3"/>
      </w:pPr>
      <w:bookmarkStart w:id="68" w:name="_Toc390081343"/>
      <w:bookmarkStart w:id="69" w:name="_Toc390171181"/>
      <w:r>
        <w:t>Lab Test Results</w:t>
      </w:r>
      <w:r w:rsidRPr="004736F7">
        <w:t xml:space="preserve">: </w:t>
      </w:r>
      <w:r>
        <w:t>Meaningful Use Measures</w:t>
      </w:r>
      <w:bookmarkEnd w:id="68"/>
    </w:p>
    <w:p w:rsidR="009C7A25" w:rsidRPr="00DF721A" w:rsidRDefault="009C7A25" w:rsidP="009C7A25"/>
    <w:p w:rsidR="009C7A25" w:rsidRDefault="009C7A25" w:rsidP="009C7A25">
      <w:r>
        <w:t xml:space="preserve">There is a single line item related to Lab Test Results in the Stage 2 list of Meaningful Use Measures. The name of this line item is </w:t>
      </w:r>
      <w:r>
        <w:rPr>
          <w:b/>
        </w:rPr>
        <w:t>Lab Results</w:t>
      </w:r>
      <w:r w:rsidRPr="00FD0136">
        <w:t>.</w:t>
      </w:r>
    </w:p>
    <w:p w:rsidR="009C7A25" w:rsidRDefault="009C7A25" w:rsidP="009C7A25"/>
    <w:p w:rsidR="009C7A25" w:rsidRDefault="009C7A25" w:rsidP="009C7A25"/>
    <w:p w:rsidR="009C7A25" w:rsidRDefault="009C7A25" w:rsidP="009C7A25">
      <w:r>
        <w:rPr>
          <w:noProof/>
        </w:rPr>
        <w:drawing>
          <wp:inline distT="0" distB="0" distL="0" distR="0">
            <wp:extent cx="6854190" cy="454025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9C7A25" w:rsidRDefault="009C7A25" w:rsidP="009C7A25"/>
    <w:p w:rsidR="002A65FE" w:rsidRPr="004736F7" w:rsidRDefault="009C7A25" w:rsidP="009C7A25">
      <w:pPr>
        <w:pStyle w:val="Heading3"/>
      </w:pPr>
      <w:r>
        <w:rPr>
          <w:b w:val="0"/>
        </w:rPr>
        <w:br w:type="page"/>
      </w:r>
      <w:r w:rsidR="00F863BD">
        <w:rPr>
          <w:rFonts w:eastAsia="Times New Roman"/>
        </w:rPr>
        <w:t>Lab-Test Results</w:t>
      </w:r>
      <w:r w:rsidR="002A65FE" w:rsidRPr="004736F7">
        <w:t>: Recording of Numerator in Valant</w:t>
      </w:r>
      <w:bookmarkEnd w:id="69"/>
    </w:p>
    <w:p w:rsidR="002A65FE" w:rsidRDefault="002A65FE" w:rsidP="002A65FE"/>
    <w:p w:rsidR="002A65FE" w:rsidRDefault="00AC59CF" w:rsidP="002A65FE">
      <w:r>
        <w:t>Recording the result of a</w:t>
      </w:r>
      <w:r w:rsidR="002A65FE">
        <w:t xml:space="preserve"> </w:t>
      </w:r>
      <w:r>
        <w:t>Lab Request</w:t>
      </w:r>
      <w:r w:rsidR="002A65FE">
        <w:t xml:space="preserve"> such that the </w:t>
      </w:r>
      <w:r>
        <w:t>result</w:t>
      </w:r>
      <w:r w:rsidR="002A65FE">
        <w:t xml:space="preserve"> will count towards the numerator for th</w:t>
      </w:r>
      <w:r>
        <w:t xml:space="preserve">e purposes of this measure can be achieved </w:t>
      </w:r>
      <w:r w:rsidR="00AA5EBD">
        <w:t xml:space="preserve">one of two ways: </w:t>
      </w:r>
      <w:r>
        <w:t xml:space="preserve">by using the </w:t>
      </w:r>
      <w:r w:rsidRPr="00AC59CF">
        <w:rPr>
          <w:b/>
        </w:rPr>
        <w:t>Lab Panel</w:t>
      </w:r>
      <w:r>
        <w:t xml:space="preserve"> tab in the patient chart</w:t>
      </w:r>
      <w:r w:rsidR="00AA5EBD">
        <w:t xml:space="preserve"> or by using eLabs</w:t>
      </w:r>
      <w:r>
        <w:t xml:space="preserve">. </w:t>
      </w:r>
      <w:r w:rsidR="00F2557D">
        <w:t>It is important to note that t</w:t>
      </w:r>
      <w:r w:rsidR="00CD3385">
        <w:t xml:space="preserve">here must be a Lab Request entered in the patient chart in order for a Lab Panel to be linked to the Lab Request. </w:t>
      </w:r>
    </w:p>
    <w:p w:rsidR="0059707F" w:rsidRDefault="0059707F" w:rsidP="002A65FE"/>
    <w:p w:rsidR="002A65FE" w:rsidRDefault="002A65FE" w:rsidP="002A65FE">
      <w:r>
        <w:t xml:space="preserve">For more information on the </w:t>
      </w:r>
      <w:r w:rsidR="00F2557D">
        <w:t>Lab Panel</w:t>
      </w:r>
      <w:r w:rsidR="00AA5EBD">
        <w:t>s</w:t>
      </w:r>
      <w:r>
        <w:t xml:space="preserve"> feature beyond what is described here, please refer to documentation </w:t>
      </w:r>
      <w:r w:rsidRPr="00D377DD">
        <w:rPr>
          <w:highlight w:val="yellow"/>
        </w:rPr>
        <w:t>XXXXX</w:t>
      </w:r>
      <w:r>
        <w:t>.</w:t>
      </w:r>
      <w:r w:rsidR="00AA5EBD">
        <w:t xml:space="preserve"> For more information on the eLabs feature beyond what is described here, please refer to documentation </w:t>
      </w:r>
      <w:r w:rsidR="00AA5EBD" w:rsidRPr="00D377DD">
        <w:rPr>
          <w:highlight w:val="yellow"/>
        </w:rPr>
        <w:t>XXXXX</w:t>
      </w:r>
      <w:r w:rsidR="00AA5EBD">
        <w:t>.</w:t>
      </w:r>
    </w:p>
    <w:p w:rsidR="002A65FE" w:rsidRDefault="002A65FE" w:rsidP="002A65FE"/>
    <w:p w:rsidR="00AA5EBD" w:rsidRDefault="00B45B75" w:rsidP="00AA5EBD">
      <w:pPr>
        <w:pStyle w:val="Heading4"/>
      </w:pPr>
      <w:bookmarkStart w:id="70" w:name="_Toc390171182"/>
      <w:r>
        <w:t xml:space="preserve">Lab-Test Results: </w:t>
      </w:r>
      <w:r w:rsidR="00AA5EBD">
        <w:t>Lab Panels</w:t>
      </w:r>
      <w:bookmarkEnd w:id="70"/>
    </w:p>
    <w:p w:rsidR="00AA5EBD" w:rsidRDefault="00AA5EBD" w:rsidP="002A65FE"/>
    <w:p w:rsidR="002A65FE" w:rsidRDefault="0059707F" w:rsidP="002A65FE">
      <w:r>
        <w:t>To upload the results from a Lab Request</w:t>
      </w:r>
      <w:r w:rsidR="002A65FE">
        <w:t xml:space="preserve">, navigate to the </w:t>
      </w:r>
      <w:r>
        <w:t>Lab Panels</w:t>
      </w:r>
      <w:r w:rsidR="002A65FE">
        <w:t xml:space="preserve"> tab in the patient chart. </w:t>
      </w:r>
    </w:p>
    <w:p w:rsidR="00C263C3" w:rsidRDefault="00C263C3"/>
    <w:p w:rsidR="00CD3385" w:rsidRDefault="00CD3385">
      <w:r>
        <w:rPr>
          <w:noProof/>
        </w:rPr>
        <w:drawing>
          <wp:inline distT="0" distB="0" distL="0" distR="0" wp14:anchorId="166F2B35" wp14:editId="41D9435B">
            <wp:extent cx="6854190" cy="30988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4190" cy="309880"/>
                    </a:xfrm>
                    <a:prstGeom prst="rect">
                      <a:avLst/>
                    </a:prstGeom>
                    <a:noFill/>
                    <a:ln>
                      <a:noFill/>
                    </a:ln>
                  </pic:spPr>
                </pic:pic>
              </a:graphicData>
            </a:graphic>
          </wp:inline>
        </w:drawing>
      </w:r>
    </w:p>
    <w:p w:rsidR="00CD3385" w:rsidRDefault="00CD3385"/>
    <w:p w:rsidR="00CD3385" w:rsidRDefault="00CD3385"/>
    <w:p w:rsidR="00AA5EBD" w:rsidRDefault="00AA5EBD">
      <w:r>
        <w:t xml:space="preserve">Once in the Lab Panels tab, clicking on the </w:t>
      </w:r>
      <w:r w:rsidRPr="00AA5EBD">
        <w:rPr>
          <w:b/>
        </w:rPr>
        <w:t>New Lab Panel</w:t>
      </w:r>
      <w:r>
        <w:t xml:space="preserve"> button will start the process of entering the results of the Lab Request into the patient’s chart. </w:t>
      </w:r>
    </w:p>
    <w:p w:rsidR="00AA5EBD" w:rsidRDefault="00AA5EBD"/>
    <w:p w:rsidR="00AA5EBD" w:rsidRDefault="00AA5EBD">
      <w:r>
        <w:rPr>
          <w:noProof/>
        </w:rPr>
        <w:drawing>
          <wp:inline distT="0" distB="0" distL="0" distR="0" wp14:anchorId="46F9CF41" wp14:editId="7890B83E">
            <wp:extent cx="6854190" cy="61214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4190" cy="612140"/>
                    </a:xfrm>
                    <a:prstGeom prst="rect">
                      <a:avLst/>
                    </a:prstGeom>
                    <a:noFill/>
                    <a:ln>
                      <a:noFill/>
                    </a:ln>
                  </pic:spPr>
                </pic:pic>
              </a:graphicData>
            </a:graphic>
          </wp:inline>
        </w:drawing>
      </w:r>
    </w:p>
    <w:p w:rsidR="00CD3385" w:rsidRDefault="00CD3385"/>
    <w:p w:rsidR="00CD3385" w:rsidRDefault="00CD3385"/>
    <w:p w:rsidR="00AA5EBD" w:rsidRDefault="00AA5EBD">
      <w:r>
        <w:t xml:space="preserve">The lower half of the screen will become active once the New Lab Panel button is clicked. The user will be able to enter a Date for the Lab Panel as well as select the name of the Panel being entered. Once this has been done, the results can be entered by using the </w:t>
      </w:r>
      <w:r w:rsidRPr="00AA5EBD">
        <w:rPr>
          <w:b/>
        </w:rPr>
        <w:t>New Lab Results</w:t>
      </w:r>
      <w:r>
        <w:t xml:space="preserve"> button. Each result which consists of a number or a positive/negative outcome needs to be recorded for the purposes of this measure. </w:t>
      </w:r>
    </w:p>
    <w:p w:rsidR="00AA5EBD" w:rsidRDefault="00AA5EBD"/>
    <w:p w:rsidR="003B6554" w:rsidRDefault="00AA5EBD">
      <w:r>
        <w:rPr>
          <w:noProof/>
        </w:rPr>
        <w:drawing>
          <wp:inline distT="0" distB="0" distL="0" distR="0" wp14:anchorId="62F9153D" wp14:editId="08B0A299">
            <wp:extent cx="6854190" cy="249682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4190" cy="2496820"/>
                    </a:xfrm>
                    <a:prstGeom prst="rect">
                      <a:avLst/>
                    </a:prstGeom>
                    <a:noFill/>
                    <a:ln>
                      <a:noFill/>
                    </a:ln>
                  </pic:spPr>
                </pic:pic>
              </a:graphicData>
            </a:graphic>
          </wp:inline>
        </w:drawing>
      </w:r>
      <w:r w:rsidR="003B6554">
        <w:br w:type="page"/>
      </w:r>
    </w:p>
    <w:p w:rsidR="00CD3385" w:rsidRDefault="003B6554">
      <w:r>
        <w:t xml:space="preserve">With the results entered, choosing the Save button will </w:t>
      </w:r>
      <w:r w:rsidR="00B45B75">
        <w:t xml:space="preserve">cause the </w:t>
      </w:r>
      <w:r w:rsidR="00B45B75" w:rsidRPr="00B45B75">
        <w:rPr>
          <w:b/>
        </w:rPr>
        <w:t>Incorporating Lab Results for a Lab Request</w:t>
      </w:r>
      <w:r w:rsidR="00B45B75">
        <w:t xml:space="preserve"> dialogue window to appear. It is here where the Lab Panel can be tied to an existing Lab Request. A Lab Request must be selected from the list in order to incorporate the Lab Panel to it. Checking the box next to the Lab Request which the Lab Panel relates to and choosing </w:t>
      </w:r>
      <w:r w:rsidR="00B45B75" w:rsidRPr="00B45B75">
        <w:rPr>
          <w:b/>
        </w:rPr>
        <w:t>Save</w:t>
      </w:r>
      <w:r w:rsidR="00B45B75">
        <w:t xml:space="preserve"> will cause the Lab Panel to be incorporated into the patient chart and mark the Lab Request as having its results incorporated. Doing this will make the Lab Request become eligible for the numerator for this measure.</w:t>
      </w:r>
    </w:p>
    <w:p w:rsidR="00B45B75" w:rsidRDefault="00B45B75"/>
    <w:p w:rsidR="00B45B75" w:rsidRPr="000C0704" w:rsidRDefault="00B45B75">
      <w:pPr>
        <w:rPr>
          <w:b/>
          <w:color w:val="FF0000"/>
        </w:rPr>
      </w:pPr>
      <w:r w:rsidRPr="000C0704">
        <w:rPr>
          <w:b/>
          <w:color w:val="FF0000"/>
        </w:rPr>
        <w:t xml:space="preserve">NOTE: A Lab Request </w:t>
      </w:r>
      <w:r w:rsidRPr="000C0704">
        <w:rPr>
          <w:b/>
          <w:color w:val="FF0000"/>
          <w:u w:val="single"/>
        </w:rPr>
        <w:t>must</w:t>
      </w:r>
      <w:r w:rsidRPr="000C0704">
        <w:rPr>
          <w:b/>
          <w:color w:val="FF0000"/>
        </w:rPr>
        <w:t xml:space="preserve"> be selected when incorporating a Lab Panel in order for that Lab Request to become eligible for the numerator for this measure. </w:t>
      </w:r>
    </w:p>
    <w:p w:rsidR="00B45B75" w:rsidRDefault="00B45B75"/>
    <w:p w:rsidR="00B45B75" w:rsidRDefault="00B45B75">
      <w:r>
        <w:rPr>
          <w:noProof/>
        </w:rPr>
        <w:drawing>
          <wp:inline distT="0" distB="0" distL="0" distR="0" wp14:anchorId="7B5A8E76" wp14:editId="5C183EA0">
            <wp:extent cx="6854190" cy="3212465"/>
            <wp:effectExtent l="0" t="0" r="381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4190" cy="3212465"/>
                    </a:xfrm>
                    <a:prstGeom prst="rect">
                      <a:avLst/>
                    </a:prstGeom>
                    <a:noFill/>
                    <a:ln>
                      <a:noFill/>
                    </a:ln>
                  </pic:spPr>
                </pic:pic>
              </a:graphicData>
            </a:graphic>
          </wp:inline>
        </w:drawing>
      </w:r>
    </w:p>
    <w:p w:rsidR="00B45B75" w:rsidRDefault="00B45B75"/>
    <w:p w:rsidR="00B45B75" w:rsidRDefault="00B45B75"/>
    <w:p w:rsidR="00B45B75" w:rsidRDefault="00B45B75" w:rsidP="00B45B75">
      <w:pPr>
        <w:pStyle w:val="Heading4"/>
      </w:pPr>
    </w:p>
    <w:p w:rsidR="000C0704" w:rsidRDefault="00B45B75" w:rsidP="00B45B75">
      <w:pPr>
        <w:pStyle w:val="Heading4"/>
      </w:pPr>
      <w:bookmarkStart w:id="71" w:name="_Toc390171183"/>
      <w:r>
        <w:t>Lab-Test Results: eLabs</w:t>
      </w:r>
      <w:bookmarkEnd w:id="71"/>
      <w:r>
        <w:t xml:space="preserve"> </w:t>
      </w:r>
    </w:p>
    <w:p w:rsidR="000C0704" w:rsidRDefault="000C0704" w:rsidP="00B45B75">
      <w:pPr>
        <w:pStyle w:val="Heading4"/>
      </w:pPr>
    </w:p>
    <w:p w:rsidR="00FA052C" w:rsidRDefault="00E76D9E" w:rsidP="00E76D9E">
      <w:r>
        <w:t xml:space="preserve">If a Lab Request is sent using the eLabs feature, then the electronic result will automatically be incorporated into the patient chart. Additionally, due to the nature of eLabs, the lab result will </w:t>
      </w:r>
      <w:r w:rsidR="00FA052C">
        <w:t xml:space="preserve">tied to the Lab Request. This means that, if a Lab Request is sent using the eLabs feature, then the returned results will make the Lab Request become eligible for the numerator for this measure with no further action required by the EP. </w:t>
      </w:r>
    </w:p>
    <w:p w:rsidR="00FA052C" w:rsidRDefault="00FA052C" w:rsidP="00E76D9E"/>
    <w:p w:rsidR="00B6260A" w:rsidRDefault="00FA052C" w:rsidP="00E76D9E">
      <w:pPr>
        <w:rPr>
          <w:rFonts w:ascii="Calibri" w:eastAsia="Times New Roman" w:hAnsi="Calibri" w:cs="Times New Roman"/>
          <w:color w:val="000000"/>
        </w:rPr>
      </w:pPr>
      <w:r>
        <w:t xml:space="preserve">Since Lab Requests whose results can be </w:t>
      </w:r>
      <w:r w:rsidRPr="00244863">
        <w:rPr>
          <w:rFonts w:ascii="Calibri" w:eastAsia="Times New Roman" w:hAnsi="Calibri" w:cs="Times New Roman"/>
          <w:color w:val="000000"/>
        </w:rPr>
        <w:t xml:space="preserve">expressed in a positive or negative affirmation or as a numeric result </w:t>
      </w:r>
      <w:r>
        <w:rPr>
          <w:rFonts w:ascii="Calibri" w:eastAsia="Times New Roman" w:hAnsi="Calibri" w:cs="Times New Roman"/>
          <w:color w:val="000000"/>
        </w:rPr>
        <w:t xml:space="preserve">will count towards the denominator of this measure, only those requests sent using eLabs will have the option to appear in the numerator for this measure. </w:t>
      </w:r>
    </w:p>
    <w:p w:rsidR="00B6260A" w:rsidRDefault="00B6260A">
      <w:pPr>
        <w:rPr>
          <w:rFonts w:ascii="Calibri" w:eastAsia="Times New Roman" w:hAnsi="Calibri" w:cs="Times New Roman"/>
          <w:color w:val="000000"/>
        </w:rPr>
      </w:pPr>
      <w:r>
        <w:rPr>
          <w:rFonts w:ascii="Calibri" w:eastAsia="Times New Roman" w:hAnsi="Calibri" w:cs="Times New Roman"/>
          <w:color w:val="000000"/>
        </w:rPr>
        <w:br w:type="page"/>
      </w:r>
    </w:p>
    <w:p w:rsidR="00244863" w:rsidRDefault="00B6260A" w:rsidP="00B6260A">
      <w:pPr>
        <w:pStyle w:val="Heading2"/>
      </w:pPr>
      <w:bookmarkStart w:id="72" w:name="_Toc390171184"/>
      <w:r w:rsidRPr="00E95196">
        <w:rPr>
          <w:rFonts w:eastAsia="Times New Roman"/>
        </w:rPr>
        <w:t>Stage 2 - Core #11: Patient Lists</w:t>
      </w:r>
      <w:bookmarkEnd w:id="72"/>
      <w:r>
        <w:t xml:space="preserve"> </w:t>
      </w:r>
    </w:p>
    <w:p w:rsidR="00B6260A" w:rsidRDefault="00B6260A" w:rsidP="00E76D9E"/>
    <w:tbl>
      <w:tblPr>
        <w:tblW w:w="10815" w:type="dxa"/>
        <w:tblInd w:w="93" w:type="dxa"/>
        <w:tblLook w:val="04A0" w:firstRow="1" w:lastRow="0" w:firstColumn="1" w:lastColumn="0" w:noHBand="0" w:noVBand="1"/>
      </w:tblPr>
      <w:tblGrid>
        <w:gridCol w:w="1340"/>
        <w:gridCol w:w="9475"/>
      </w:tblGrid>
      <w:tr w:rsidR="00E95196" w:rsidRPr="00E95196" w:rsidTr="00E95196">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E95196" w:rsidRPr="00B6260A" w:rsidRDefault="00E95196" w:rsidP="00B6260A">
            <w:pPr>
              <w:rPr>
                <w:b/>
              </w:rPr>
            </w:pPr>
            <w:r w:rsidRPr="00B6260A">
              <w:rPr>
                <w:b/>
                <w:color w:val="FFFFFF" w:themeColor="background1"/>
                <w:sz w:val="32"/>
              </w:rPr>
              <w:t>Patient Lists</w:t>
            </w:r>
          </w:p>
        </w:tc>
      </w:tr>
      <w:tr w:rsidR="00E95196" w:rsidRPr="00E95196" w:rsidTr="00E95196">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E95196" w:rsidRPr="00E95196" w:rsidRDefault="00E95196" w:rsidP="00E95196">
            <w:pPr>
              <w:jc w:val="right"/>
              <w:rPr>
                <w:rFonts w:ascii="Calibri" w:eastAsia="Times New Roman" w:hAnsi="Calibri" w:cs="Times New Roman"/>
                <w:b/>
                <w:bCs/>
                <w:color w:val="FFFFFF"/>
              </w:rPr>
            </w:pPr>
            <w:r w:rsidRPr="00E95196">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E95196" w:rsidRPr="00E95196" w:rsidRDefault="00E95196" w:rsidP="00E95196">
            <w:pPr>
              <w:rPr>
                <w:rFonts w:ascii="Calibri" w:eastAsia="Times New Roman" w:hAnsi="Calibri" w:cs="Times New Roman"/>
                <w:color w:val="000000"/>
              </w:rPr>
            </w:pPr>
            <w:r w:rsidRPr="00E95196">
              <w:rPr>
                <w:rFonts w:ascii="Calibri" w:eastAsia="Times New Roman" w:hAnsi="Calibri" w:cs="Times New Roman"/>
                <w:color w:val="000000"/>
              </w:rPr>
              <w:t>Generate lists of patients by specific conditions to use for quality improvement, reduction of disparities, research, or outreach</w:t>
            </w:r>
          </w:p>
        </w:tc>
      </w:tr>
      <w:tr w:rsidR="00E95196" w:rsidRPr="00E95196" w:rsidTr="00E95196">
        <w:trPr>
          <w:trHeight w:val="300"/>
        </w:trPr>
        <w:tc>
          <w:tcPr>
            <w:tcW w:w="1340" w:type="dxa"/>
            <w:vMerge/>
            <w:tcBorders>
              <w:top w:val="nil"/>
              <w:left w:val="single" w:sz="4" w:space="0" w:color="auto"/>
              <w:bottom w:val="nil"/>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r w:rsidR="00E95196" w:rsidRPr="00E95196" w:rsidTr="00E95196">
        <w:trPr>
          <w:trHeight w:val="300"/>
        </w:trPr>
        <w:tc>
          <w:tcPr>
            <w:tcW w:w="1340" w:type="dxa"/>
            <w:vMerge/>
            <w:tcBorders>
              <w:top w:val="nil"/>
              <w:left w:val="single" w:sz="4" w:space="0" w:color="auto"/>
              <w:bottom w:val="nil"/>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r w:rsidR="00E95196" w:rsidRPr="00E95196" w:rsidTr="00E95196">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E95196" w:rsidRPr="00E95196" w:rsidRDefault="00E95196" w:rsidP="00E95196">
            <w:pPr>
              <w:jc w:val="right"/>
              <w:rPr>
                <w:rFonts w:ascii="Calibri" w:eastAsia="Times New Roman" w:hAnsi="Calibri" w:cs="Times New Roman"/>
                <w:b/>
                <w:bCs/>
                <w:color w:val="FFFFFF"/>
              </w:rPr>
            </w:pPr>
            <w:r w:rsidRPr="00E95196">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E95196" w:rsidRPr="00E95196" w:rsidRDefault="00E95196" w:rsidP="00E95196">
            <w:pPr>
              <w:rPr>
                <w:rFonts w:ascii="Calibri" w:eastAsia="Times New Roman" w:hAnsi="Calibri" w:cs="Times New Roman"/>
                <w:color w:val="000000"/>
              </w:rPr>
            </w:pPr>
            <w:r w:rsidRPr="00E95196">
              <w:rPr>
                <w:rFonts w:ascii="Calibri" w:eastAsia="Times New Roman" w:hAnsi="Calibri" w:cs="Times New Roman"/>
                <w:color w:val="000000"/>
              </w:rPr>
              <w:t>Generate at least one report listing patients of the EP with a specific condition</w:t>
            </w:r>
          </w:p>
        </w:tc>
      </w:tr>
      <w:tr w:rsidR="00E95196" w:rsidRPr="00E95196" w:rsidTr="00E9519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r w:rsidR="00E95196" w:rsidRPr="00E95196" w:rsidTr="00E9519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r w:rsidR="00E95196" w:rsidRPr="00E95196" w:rsidTr="00E95196">
        <w:trPr>
          <w:trHeight w:val="300"/>
        </w:trPr>
        <w:tc>
          <w:tcPr>
            <w:tcW w:w="1340" w:type="dxa"/>
            <w:vMerge w:val="restart"/>
            <w:tcBorders>
              <w:top w:val="nil"/>
              <w:left w:val="single" w:sz="4" w:space="0" w:color="auto"/>
              <w:bottom w:val="nil"/>
              <w:right w:val="nil"/>
            </w:tcBorders>
            <w:shd w:val="clear" w:color="000000" w:fill="1F497D"/>
            <w:vAlign w:val="center"/>
            <w:hideMark/>
          </w:tcPr>
          <w:p w:rsidR="00E95196" w:rsidRPr="00E95196" w:rsidRDefault="00E95196" w:rsidP="00E95196">
            <w:pPr>
              <w:jc w:val="right"/>
              <w:rPr>
                <w:rFonts w:ascii="Calibri" w:eastAsia="Times New Roman" w:hAnsi="Calibri" w:cs="Times New Roman"/>
                <w:b/>
                <w:bCs/>
                <w:color w:val="FFFFFF"/>
              </w:rPr>
            </w:pPr>
            <w:r w:rsidRPr="00E95196">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E95196" w:rsidRPr="00E95196" w:rsidRDefault="00E95196" w:rsidP="00E95196">
            <w:pPr>
              <w:rPr>
                <w:rFonts w:ascii="Calibri" w:eastAsia="Times New Roman" w:hAnsi="Calibri" w:cs="Times New Roman"/>
                <w:color w:val="000000"/>
              </w:rPr>
            </w:pPr>
            <w:r w:rsidRPr="00E95196">
              <w:rPr>
                <w:rFonts w:ascii="Calibri" w:eastAsia="Times New Roman" w:hAnsi="Calibri" w:cs="Times New Roman"/>
                <w:color w:val="000000"/>
              </w:rPr>
              <w:t>No exclusion</w:t>
            </w:r>
          </w:p>
        </w:tc>
      </w:tr>
      <w:tr w:rsidR="00E95196" w:rsidRPr="00E95196" w:rsidTr="00E95196">
        <w:trPr>
          <w:trHeight w:val="300"/>
        </w:trPr>
        <w:tc>
          <w:tcPr>
            <w:tcW w:w="1340" w:type="dxa"/>
            <w:vMerge/>
            <w:tcBorders>
              <w:top w:val="nil"/>
              <w:left w:val="single" w:sz="4" w:space="0" w:color="auto"/>
              <w:bottom w:val="nil"/>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r w:rsidR="00E95196" w:rsidRPr="00E95196" w:rsidTr="00E95196">
        <w:trPr>
          <w:trHeight w:val="300"/>
        </w:trPr>
        <w:tc>
          <w:tcPr>
            <w:tcW w:w="1340" w:type="dxa"/>
            <w:vMerge/>
            <w:tcBorders>
              <w:top w:val="nil"/>
              <w:left w:val="single" w:sz="4" w:space="0" w:color="auto"/>
              <w:bottom w:val="nil"/>
              <w:right w:val="nil"/>
            </w:tcBorders>
            <w:vAlign w:val="center"/>
            <w:hideMark/>
          </w:tcPr>
          <w:p w:rsidR="00E95196" w:rsidRPr="00E95196" w:rsidRDefault="00E95196" w:rsidP="00E95196">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E95196" w:rsidRPr="00E95196" w:rsidRDefault="00E95196" w:rsidP="00E95196">
            <w:pPr>
              <w:rPr>
                <w:rFonts w:ascii="Calibri" w:eastAsia="Times New Roman" w:hAnsi="Calibri" w:cs="Times New Roman"/>
                <w:color w:val="000000"/>
              </w:rPr>
            </w:pPr>
          </w:p>
        </w:tc>
      </w:tr>
    </w:tbl>
    <w:p w:rsidR="00C263C3" w:rsidRDefault="00C263C3"/>
    <w:p w:rsidR="00C263C3" w:rsidRDefault="00C263C3"/>
    <w:tbl>
      <w:tblPr>
        <w:tblW w:w="10815" w:type="dxa"/>
        <w:tblInd w:w="93" w:type="dxa"/>
        <w:tblLook w:val="04A0" w:firstRow="1" w:lastRow="0" w:firstColumn="1" w:lastColumn="0" w:noHBand="0" w:noVBand="1"/>
      </w:tblPr>
      <w:tblGrid>
        <w:gridCol w:w="1435"/>
        <w:gridCol w:w="9380"/>
      </w:tblGrid>
      <w:tr w:rsidR="00FA1670" w:rsidRPr="00244863" w:rsidTr="00F62560">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FA1670" w:rsidRPr="00244863" w:rsidRDefault="00FA1670" w:rsidP="00F62560">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Patient Lists:</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FA1670" w:rsidRPr="00244863" w:rsidTr="00F62560">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FA1670" w:rsidRPr="00244863" w:rsidRDefault="00FA1670" w:rsidP="00F62560">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FA1670" w:rsidRPr="00244863" w:rsidRDefault="00FA1670" w:rsidP="00FA1670">
            <w:pPr>
              <w:rPr>
                <w:rFonts w:ascii="Calibri" w:eastAsia="Times New Roman" w:hAnsi="Calibri" w:cs="Times New Roman"/>
                <w:color w:val="000000"/>
              </w:rPr>
            </w:pPr>
            <w:r w:rsidRPr="00FA1670">
              <w:rPr>
                <w:rFonts w:ascii="Calibri" w:eastAsia="Times New Roman" w:hAnsi="Calibri" w:cs="Times New Roman"/>
                <w:color w:val="000000"/>
              </w:rPr>
              <w:t xml:space="preserve">Eligible professionals (EPs) must attest YES to having generated at least one </w:t>
            </w:r>
            <w:r>
              <w:rPr>
                <w:rFonts w:ascii="Calibri" w:eastAsia="Times New Roman" w:hAnsi="Calibri" w:cs="Times New Roman"/>
                <w:color w:val="000000"/>
              </w:rPr>
              <w:t xml:space="preserve">report listing patients of the </w:t>
            </w:r>
            <w:r w:rsidRPr="00FA1670">
              <w:rPr>
                <w:rFonts w:ascii="Calibri" w:eastAsia="Times New Roman" w:hAnsi="Calibri" w:cs="Times New Roman"/>
                <w:color w:val="000000"/>
              </w:rPr>
              <w:t>EP with a specific condition to meet this measure.</w:t>
            </w:r>
          </w:p>
        </w:tc>
      </w:tr>
      <w:tr w:rsidR="00FA1670"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FA1670" w:rsidRPr="00244863" w:rsidRDefault="00FA1670"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FA1670" w:rsidRPr="00244863" w:rsidRDefault="00FA1670" w:rsidP="00F62560">
            <w:pPr>
              <w:rPr>
                <w:rFonts w:ascii="Calibri" w:eastAsia="Times New Roman" w:hAnsi="Calibri" w:cs="Times New Roman"/>
                <w:color w:val="000000"/>
              </w:rPr>
            </w:pPr>
          </w:p>
        </w:tc>
      </w:tr>
      <w:tr w:rsidR="00FA1670"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FA1670" w:rsidRPr="00244863" w:rsidRDefault="00FA1670"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FA1670" w:rsidRPr="00244863" w:rsidRDefault="00FA1670" w:rsidP="00F62560">
            <w:pPr>
              <w:rPr>
                <w:rFonts w:ascii="Calibri" w:eastAsia="Times New Roman" w:hAnsi="Calibri" w:cs="Times New Roman"/>
                <w:color w:val="000000"/>
              </w:rPr>
            </w:pPr>
          </w:p>
        </w:tc>
      </w:tr>
    </w:tbl>
    <w:p w:rsidR="00FA1670" w:rsidRDefault="00FA1670"/>
    <w:p w:rsidR="00C263C3" w:rsidRDefault="00C263C3"/>
    <w:p w:rsidR="00B36163" w:rsidRPr="009F3C18" w:rsidRDefault="00B36163" w:rsidP="009F3C18">
      <w:pPr>
        <w:pStyle w:val="Heading3"/>
      </w:pPr>
      <w:bookmarkStart w:id="73" w:name="_Toc390171185"/>
      <w:r w:rsidRPr="009F3C18">
        <w:t>Patient Lists: Explanation of Measure</w:t>
      </w:r>
      <w:bookmarkEnd w:id="73"/>
    </w:p>
    <w:p w:rsidR="00B36163" w:rsidRDefault="00B36163" w:rsidP="00B36163">
      <w:pPr>
        <w:rPr>
          <w:b/>
        </w:rPr>
      </w:pPr>
    </w:p>
    <w:p w:rsidR="00B36163" w:rsidRDefault="00B36163" w:rsidP="00B36163">
      <w:r>
        <w:t xml:space="preserve">This measure does not have a numerator, denominator or reporting threshold. Instead, it is a Yes/No attestation by the EP. This means that there is nothing to track within the CEHRT as far as reporting specific numbers. Instead, the EP is supposed to have performed </w:t>
      </w:r>
      <w:r w:rsidR="00905FD4">
        <w:t xml:space="preserve">a task at least once inside the </w:t>
      </w:r>
      <w:r>
        <w:t>CEHRT and attest that the work had been done.</w:t>
      </w:r>
    </w:p>
    <w:p w:rsidR="00905FD4" w:rsidRDefault="00905FD4"/>
    <w:p w:rsidR="00B36163" w:rsidRDefault="00B36163">
      <w:r>
        <w:t xml:space="preserve">For the purposes of this measure, </w:t>
      </w:r>
      <w:r w:rsidR="009F3C18">
        <w:t xml:space="preserve">an EP needs to make use of the </w:t>
      </w:r>
      <w:r w:rsidR="009F3C18" w:rsidRPr="00B62595">
        <w:rPr>
          <w:b/>
        </w:rPr>
        <w:t>Patient List/Reminders</w:t>
      </w:r>
      <w:r w:rsidR="009F3C18">
        <w:t xml:space="preserve"> </w:t>
      </w:r>
      <w:r w:rsidR="00B62595">
        <w:t>feature</w:t>
      </w:r>
      <w:r w:rsidR="009F3C18">
        <w:t xml:space="preserve"> within</w:t>
      </w:r>
      <w:r w:rsidR="00B62595">
        <w:t xml:space="preserve"> the</w:t>
      </w:r>
      <w:r w:rsidR="009F3C18">
        <w:t xml:space="preserve"> Valant Premium Psychiatrist Suite</w:t>
      </w:r>
      <w:r w:rsidR="00B62595">
        <w:t xml:space="preserve">. The EP can successfully attest to completing this measure once they have generated a list of patients based on the Diagnosis using the Patient List/Reminders feature. This needs to be done by each EP attesting under Meaningful Use. </w:t>
      </w:r>
    </w:p>
    <w:p w:rsidR="00B62595" w:rsidRDefault="00B62595">
      <w:r>
        <w:br w:type="page"/>
      </w:r>
    </w:p>
    <w:p w:rsidR="00B62595" w:rsidRPr="008B51F5" w:rsidRDefault="00B62595" w:rsidP="00B62595">
      <w:pPr>
        <w:pStyle w:val="Heading3"/>
      </w:pPr>
      <w:bookmarkStart w:id="74" w:name="_Toc390171186"/>
      <w:r w:rsidRPr="009F3C18">
        <w:t>Patient Lists</w:t>
      </w:r>
      <w:r w:rsidRPr="008B51F5">
        <w:t>: Recording of Numerator in Valant</w:t>
      </w:r>
      <w:bookmarkEnd w:id="74"/>
    </w:p>
    <w:p w:rsidR="00B62595" w:rsidRDefault="00B62595"/>
    <w:p w:rsidR="001640DF" w:rsidRDefault="0094450A">
      <w:r>
        <w:t xml:space="preserve">To generate a report listing patients based on a specific condition, </w:t>
      </w:r>
      <w:r w:rsidR="00D377DD">
        <w:t>the Patient List/Reminders feature must be used. For more information on the Patient List/Reminders feature</w:t>
      </w:r>
      <w:r w:rsidR="001640DF">
        <w:t xml:space="preserve"> beyond what is described here</w:t>
      </w:r>
      <w:r w:rsidR="00D377DD">
        <w:t xml:space="preserve">, please refer to documentation </w:t>
      </w:r>
      <w:r w:rsidR="00D377DD" w:rsidRPr="00D377DD">
        <w:rPr>
          <w:highlight w:val="yellow"/>
        </w:rPr>
        <w:t>XXXXX</w:t>
      </w:r>
      <w:r w:rsidR="00D377DD">
        <w:t>.</w:t>
      </w:r>
    </w:p>
    <w:p w:rsidR="001640DF" w:rsidRDefault="001640DF"/>
    <w:p w:rsidR="001640DF" w:rsidRDefault="0036592F">
      <w:r>
        <w:t xml:space="preserve">The Patient List/Reminders feature will generate a list of active patients which </w:t>
      </w:r>
      <w:r w:rsidR="00E9565B">
        <w:t xml:space="preserve">have </w:t>
      </w:r>
      <w:r>
        <w:t xml:space="preserve">the specified values tied to their patient record. </w:t>
      </w:r>
      <w:r w:rsidR="00E9565B">
        <w:t xml:space="preserve">For the purposes of this measure, only the Diagnosis filter needs to be used. </w:t>
      </w:r>
    </w:p>
    <w:p w:rsidR="001640DF" w:rsidRDefault="001640DF"/>
    <w:p w:rsidR="001640DF" w:rsidRDefault="001640DF"/>
    <w:p w:rsidR="001640DF" w:rsidRDefault="001640DF" w:rsidP="001640DF">
      <w:pPr>
        <w:jc w:val="center"/>
      </w:pPr>
      <w:r>
        <w:rPr>
          <w:noProof/>
        </w:rPr>
        <w:drawing>
          <wp:inline distT="0" distB="0" distL="0" distR="0" wp14:anchorId="29276069" wp14:editId="66AA5F47">
            <wp:extent cx="5645150" cy="17887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5150" cy="1788795"/>
                    </a:xfrm>
                    <a:prstGeom prst="rect">
                      <a:avLst/>
                    </a:prstGeom>
                    <a:noFill/>
                    <a:ln>
                      <a:noFill/>
                    </a:ln>
                  </pic:spPr>
                </pic:pic>
              </a:graphicData>
            </a:graphic>
          </wp:inline>
        </w:drawing>
      </w:r>
    </w:p>
    <w:p w:rsidR="001640DF" w:rsidRDefault="001640DF"/>
    <w:p w:rsidR="001640DF" w:rsidRDefault="001640DF"/>
    <w:p w:rsidR="001640DF" w:rsidRDefault="001640DF"/>
    <w:p w:rsidR="001640DF" w:rsidRDefault="00E9565B">
      <w:r>
        <w:t xml:space="preserve">The Diagnosis filter will only list diagnoses which are currently assigned to active patients within the practice. An EP can generate a list of patients who currently have the specified diagnosis as active by selecting a diagnosis from the drop down list and clicking on the </w:t>
      </w:r>
      <w:r w:rsidRPr="00E9565B">
        <w:rPr>
          <w:b/>
        </w:rPr>
        <w:t>Get List</w:t>
      </w:r>
      <w:r>
        <w:t xml:space="preserve"> button. The resulting list of patients will display in the table below. Once this has been done, the EP can successfully attest to having met the requirements of this measure. </w:t>
      </w:r>
    </w:p>
    <w:p w:rsidR="001640DF" w:rsidRDefault="001640DF"/>
    <w:p w:rsidR="00EE770C" w:rsidRDefault="00FE7309" w:rsidP="0036592F">
      <w:pPr>
        <w:jc w:val="center"/>
      </w:pPr>
      <w:r>
        <w:rPr>
          <w:noProof/>
        </w:rPr>
        <w:drawing>
          <wp:inline distT="0" distB="0" distL="0" distR="0" wp14:anchorId="31161D68" wp14:editId="3872E6DD">
            <wp:extent cx="5589905" cy="280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9905" cy="2806700"/>
                    </a:xfrm>
                    <a:prstGeom prst="rect">
                      <a:avLst/>
                    </a:prstGeom>
                    <a:noFill/>
                    <a:ln>
                      <a:noFill/>
                    </a:ln>
                  </pic:spPr>
                </pic:pic>
              </a:graphicData>
            </a:graphic>
          </wp:inline>
        </w:drawing>
      </w:r>
    </w:p>
    <w:p w:rsidR="00EE770C" w:rsidRDefault="00EE770C">
      <w:r>
        <w:br w:type="page"/>
      </w:r>
    </w:p>
    <w:p w:rsidR="00E95196" w:rsidRDefault="00EE770C" w:rsidP="00EE770C">
      <w:pPr>
        <w:pStyle w:val="Heading2"/>
      </w:pPr>
      <w:bookmarkStart w:id="75" w:name="_Toc390171187"/>
      <w:r w:rsidRPr="00651B15">
        <w:rPr>
          <w:rFonts w:eastAsia="Times New Roman"/>
        </w:rPr>
        <w:t>Stage 2 - Core #12: Preventive Care</w:t>
      </w:r>
      <w:bookmarkEnd w:id="75"/>
      <w:r>
        <w:t xml:space="preserve"> </w:t>
      </w:r>
    </w:p>
    <w:p w:rsidR="00EE770C" w:rsidRDefault="00EE770C" w:rsidP="00EE770C"/>
    <w:tbl>
      <w:tblPr>
        <w:tblW w:w="10815" w:type="dxa"/>
        <w:tblInd w:w="93" w:type="dxa"/>
        <w:tblLook w:val="04A0" w:firstRow="1" w:lastRow="0" w:firstColumn="1" w:lastColumn="0" w:noHBand="0" w:noVBand="1"/>
      </w:tblPr>
      <w:tblGrid>
        <w:gridCol w:w="1340"/>
        <w:gridCol w:w="9475"/>
      </w:tblGrid>
      <w:tr w:rsidR="00651B15" w:rsidRPr="00651B15" w:rsidTr="00651B15">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651B15" w:rsidRPr="00EE770C" w:rsidRDefault="00651B15" w:rsidP="00EE770C">
            <w:pPr>
              <w:rPr>
                <w:b/>
              </w:rPr>
            </w:pPr>
            <w:r w:rsidRPr="00EE770C">
              <w:rPr>
                <w:b/>
                <w:color w:val="FFFFFF" w:themeColor="background1"/>
                <w:sz w:val="32"/>
              </w:rPr>
              <w:t>Preventive Care</w:t>
            </w:r>
          </w:p>
        </w:tc>
      </w:tr>
      <w:tr w:rsidR="00651B15" w:rsidRPr="00651B15" w:rsidTr="00651B15">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 xml:space="preserve">Objective </w:t>
            </w:r>
          </w:p>
        </w:tc>
        <w:tc>
          <w:tcPr>
            <w:tcW w:w="9475" w:type="dxa"/>
            <w:vMerge w:val="restart"/>
            <w:tcBorders>
              <w:top w:val="nil"/>
              <w:left w:val="nil"/>
              <w:bottom w:val="nil"/>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Use clinically relevant information to identify patients who should receive reminders for preventive/follow-up care and send these patients the reminders, per patient preference</w:t>
            </w:r>
          </w:p>
        </w:tc>
      </w:tr>
      <w:tr w:rsidR="00651B15" w:rsidRPr="00651B15" w:rsidTr="00651B15">
        <w:trPr>
          <w:trHeight w:val="300"/>
        </w:trPr>
        <w:tc>
          <w:tcPr>
            <w:tcW w:w="1340" w:type="dxa"/>
            <w:vMerge/>
            <w:tcBorders>
              <w:top w:val="nil"/>
              <w:left w:val="single" w:sz="4" w:space="0" w:color="auto"/>
              <w:bottom w:val="nil"/>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340" w:type="dxa"/>
            <w:vMerge/>
            <w:tcBorders>
              <w:top w:val="nil"/>
              <w:left w:val="single" w:sz="4" w:space="0" w:color="auto"/>
              <w:bottom w:val="nil"/>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nil"/>
              <w:left w:val="nil"/>
              <w:bottom w:val="nil"/>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 xml:space="preserve">Measure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More than 10 percent of all unique patients who have had 2 or more office visits with the EP within the 24 months before the beginning of the EHR reporting period were sent a reminder, per patient preference when available</w:t>
            </w:r>
          </w:p>
        </w:tc>
      </w:tr>
      <w:tr w:rsidR="00651B15" w:rsidRPr="00651B15" w:rsidTr="00651B15">
        <w:trPr>
          <w:trHeight w:val="300"/>
        </w:trPr>
        <w:tc>
          <w:tcPr>
            <w:tcW w:w="1340" w:type="dxa"/>
            <w:vMerge/>
            <w:tcBorders>
              <w:top w:val="single" w:sz="4" w:space="0" w:color="auto"/>
              <w:left w:val="single" w:sz="4" w:space="0" w:color="auto"/>
              <w:bottom w:val="single" w:sz="4" w:space="0" w:color="000000"/>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340" w:type="dxa"/>
            <w:vMerge/>
            <w:tcBorders>
              <w:top w:val="single" w:sz="4" w:space="0" w:color="auto"/>
              <w:left w:val="single" w:sz="4" w:space="0" w:color="auto"/>
              <w:bottom w:val="single" w:sz="4" w:space="0" w:color="000000"/>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340" w:type="dxa"/>
            <w:vMerge w:val="restart"/>
            <w:tcBorders>
              <w:top w:val="nil"/>
              <w:left w:val="single" w:sz="4" w:space="0" w:color="auto"/>
              <w:bottom w:val="nil"/>
              <w:right w:val="nil"/>
            </w:tcBorders>
            <w:shd w:val="clear" w:color="000000" w:fill="1F497D"/>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 xml:space="preserve">Exclusion </w:t>
            </w:r>
          </w:p>
        </w:tc>
        <w:tc>
          <w:tcPr>
            <w:tcW w:w="9475" w:type="dxa"/>
            <w:vMerge w:val="restart"/>
            <w:tcBorders>
              <w:top w:val="single" w:sz="4" w:space="0" w:color="auto"/>
              <w:left w:val="nil"/>
              <w:bottom w:val="single" w:sz="4" w:space="0" w:color="000000"/>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Any EP who has had no office visits in the 24 months before the EHR reporting period</w:t>
            </w:r>
          </w:p>
        </w:tc>
      </w:tr>
      <w:tr w:rsidR="00651B15" w:rsidRPr="00651B15" w:rsidTr="00651B15">
        <w:trPr>
          <w:trHeight w:val="300"/>
        </w:trPr>
        <w:tc>
          <w:tcPr>
            <w:tcW w:w="1340" w:type="dxa"/>
            <w:vMerge/>
            <w:tcBorders>
              <w:top w:val="nil"/>
              <w:left w:val="single" w:sz="4" w:space="0" w:color="auto"/>
              <w:bottom w:val="nil"/>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340" w:type="dxa"/>
            <w:vMerge/>
            <w:tcBorders>
              <w:top w:val="nil"/>
              <w:left w:val="single" w:sz="4" w:space="0" w:color="auto"/>
              <w:bottom w:val="nil"/>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475"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bl>
    <w:p w:rsidR="00E95196" w:rsidRDefault="00E95196"/>
    <w:p w:rsidR="00C263C3" w:rsidRDefault="00C263C3"/>
    <w:tbl>
      <w:tblPr>
        <w:tblW w:w="10815" w:type="dxa"/>
        <w:tblInd w:w="93" w:type="dxa"/>
        <w:tblLook w:val="04A0" w:firstRow="1" w:lastRow="0" w:firstColumn="1" w:lastColumn="0" w:noHBand="0" w:noVBand="1"/>
      </w:tblPr>
      <w:tblGrid>
        <w:gridCol w:w="1435"/>
        <w:gridCol w:w="9380"/>
      </w:tblGrid>
      <w:tr w:rsidR="00651B15" w:rsidRPr="00651B15" w:rsidTr="00651B15">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651B15" w:rsidRPr="00651B15" w:rsidRDefault="00783907" w:rsidP="00651B15">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Patient Reminders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651B15" w:rsidRPr="00651B15" w:rsidTr="00651B15">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Denominator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Number of unique patients who have had two or more office visits with the EP in the 24 months prior to the beginning of the EHR reporting period</w:t>
            </w:r>
          </w:p>
        </w:tc>
      </w:tr>
      <w:tr w:rsidR="00651B15" w:rsidRPr="00651B15" w:rsidTr="00651B15">
        <w:trPr>
          <w:trHeight w:val="300"/>
        </w:trPr>
        <w:tc>
          <w:tcPr>
            <w:tcW w:w="1435" w:type="dxa"/>
            <w:vMerge/>
            <w:tcBorders>
              <w:top w:val="nil"/>
              <w:left w:val="single" w:sz="4" w:space="0" w:color="auto"/>
              <w:bottom w:val="single" w:sz="4" w:space="0" w:color="000000"/>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Numerator</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Number of patients in the denominator who were sent a reminder per patient preference when available during the EHR reporting period</w:t>
            </w:r>
          </w:p>
        </w:tc>
      </w:tr>
      <w:tr w:rsidR="00651B15" w:rsidRPr="00651B15" w:rsidTr="00651B15">
        <w:trPr>
          <w:trHeight w:val="300"/>
        </w:trPr>
        <w:tc>
          <w:tcPr>
            <w:tcW w:w="1435" w:type="dxa"/>
            <w:vMerge/>
            <w:tcBorders>
              <w:top w:val="nil"/>
              <w:left w:val="single" w:sz="4" w:space="0" w:color="auto"/>
              <w:bottom w:val="single" w:sz="4" w:space="0" w:color="000000"/>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r w:rsidR="00651B15" w:rsidRPr="00651B15" w:rsidTr="00651B15">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651B15" w:rsidRPr="00651B15" w:rsidRDefault="00651B15" w:rsidP="00651B15">
            <w:pPr>
              <w:jc w:val="right"/>
              <w:rPr>
                <w:rFonts w:ascii="Calibri" w:eastAsia="Times New Roman" w:hAnsi="Calibri" w:cs="Times New Roman"/>
                <w:b/>
                <w:bCs/>
                <w:color w:val="FFFFFF"/>
              </w:rPr>
            </w:pPr>
            <w:r w:rsidRPr="00651B15">
              <w:rPr>
                <w:rFonts w:ascii="Calibri" w:eastAsia="Times New Roman" w:hAnsi="Calibri" w:cs="Times New Roman"/>
                <w:b/>
                <w:bCs/>
                <w:color w:val="FFFFFF"/>
              </w:rPr>
              <w:t>Threshold</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651B15" w:rsidRPr="00651B15" w:rsidRDefault="00651B15" w:rsidP="00651B15">
            <w:pPr>
              <w:rPr>
                <w:rFonts w:ascii="Calibri" w:eastAsia="Times New Roman" w:hAnsi="Calibri" w:cs="Times New Roman"/>
                <w:color w:val="000000"/>
              </w:rPr>
            </w:pPr>
            <w:r w:rsidRPr="00651B15">
              <w:rPr>
                <w:rFonts w:ascii="Calibri" w:eastAsia="Times New Roman" w:hAnsi="Calibri" w:cs="Times New Roman"/>
                <w:color w:val="000000"/>
              </w:rPr>
              <w:t>The resulting percentage must be more than 10 percent in order for an EP to meet this measure</w:t>
            </w:r>
          </w:p>
        </w:tc>
      </w:tr>
      <w:tr w:rsidR="00651B15" w:rsidRPr="00651B15" w:rsidTr="00651B15">
        <w:trPr>
          <w:trHeight w:val="300"/>
        </w:trPr>
        <w:tc>
          <w:tcPr>
            <w:tcW w:w="1435" w:type="dxa"/>
            <w:vMerge/>
            <w:tcBorders>
              <w:top w:val="nil"/>
              <w:left w:val="single" w:sz="4" w:space="0" w:color="auto"/>
              <w:bottom w:val="single" w:sz="4" w:space="0" w:color="000000"/>
              <w:right w:val="nil"/>
            </w:tcBorders>
            <w:vAlign w:val="center"/>
            <w:hideMark/>
          </w:tcPr>
          <w:p w:rsidR="00651B15" w:rsidRPr="00651B15" w:rsidRDefault="00651B15" w:rsidP="00651B15">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651B15" w:rsidRPr="00651B15" w:rsidRDefault="00651B15" w:rsidP="00651B15">
            <w:pPr>
              <w:rPr>
                <w:rFonts w:ascii="Calibri" w:eastAsia="Times New Roman" w:hAnsi="Calibri" w:cs="Times New Roman"/>
                <w:color w:val="000000"/>
              </w:rPr>
            </w:pPr>
          </w:p>
        </w:tc>
      </w:tr>
    </w:tbl>
    <w:p w:rsidR="00C263C3" w:rsidRDefault="00C263C3"/>
    <w:p w:rsidR="00C263C3" w:rsidRDefault="00C263C3"/>
    <w:p w:rsidR="00783907" w:rsidRDefault="00783907"/>
    <w:p w:rsidR="001A5948" w:rsidRDefault="001A5948" w:rsidP="00783907">
      <w:pPr>
        <w:pStyle w:val="Heading3"/>
      </w:pPr>
      <w:r>
        <w:br w:type="page"/>
      </w:r>
    </w:p>
    <w:p w:rsidR="00783907" w:rsidRPr="008B51F5" w:rsidRDefault="00783907" w:rsidP="00867DDA">
      <w:pPr>
        <w:pStyle w:val="Heading3"/>
      </w:pPr>
      <w:bookmarkStart w:id="76" w:name="_Toc390171188"/>
      <w:r>
        <w:t>Preventative Care/Patient Reminders</w:t>
      </w:r>
      <w:r w:rsidRPr="008B51F5">
        <w:t>: Explanation of Measure</w:t>
      </w:r>
      <w:bookmarkEnd w:id="76"/>
    </w:p>
    <w:p w:rsidR="00783907" w:rsidRDefault="00783907" w:rsidP="00783907">
      <w:pPr>
        <w:rPr>
          <w:b/>
        </w:rPr>
      </w:pPr>
    </w:p>
    <w:p w:rsidR="00680A2A" w:rsidRDefault="00783907" w:rsidP="00783907">
      <w:r>
        <w:t xml:space="preserve">This measure is based on unique patients </w:t>
      </w:r>
      <w:r w:rsidR="006A734A">
        <w:t xml:space="preserve">who have had two </w:t>
      </w:r>
      <w:r w:rsidR="0058081F">
        <w:t>or</w:t>
      </w:r>
      <w:r w:rsidR="006A734A">
        <w:t xml:space="preserve"> more </w:t>
      </w:r>
      <w:r>
        <w:t>recorded visit</w:t>
      </w:r>
      <w:r w:rsidR="006A734A">
        <w:t>s with</w:t>
      </w:r>
      <w:r>
        <w:t xml:space="preserve"> the EP </w:t>
      </w:r>
      <w:r w:rsidR="006A734A">
        <w:t xml:space="preserve">in the 24 months leading up to </w:t>
      </w:r>
      <w:r>
        <w:t xml:space="preserve">the reporting period. </w:t>
      </w:r>
      <w:r w:rsidR="00680A2A">
        <w:t xml:space="preserve">This means that, unlike other the other Core Measures, this measure is </w:t>
      </w:r>
      <w:r w:rsidR="00680A2A" w:rsidRPr="00680A2A">
        <w:rPr>
          <w:b/>
          <w:u w:val="single"/>
        </w:rPr>
        <w:t>not</w:t>
      </w:r>
      <w:r w:rsidR="00680A2A">
        <w:t xml:space="preserve"> based on the patients seen during the reporting period. Instead, the denominator of this measure relates to patients that were seen two or more times within a 2 year window before the start of the reporting period. A patient will not count towards the denominator of this measure if they do not have two or more recorded visits in the 24 months leading up to the reporting period. </w:t>
      </w:r>
    </w:p>
    <w:p w:rsidR="00680A2A" w:rsidRDefault="00680A2A" w:rsidP="00783907"/>
    <w:p w:rsidR="00783907" w:rsidRDefault="00680A2A" w:rsidP="00783907">
      <w:r>
        <w:t>Like the other Core Measures, a given patient</w:t>
      </w:r>
      <w:r w:rsidR="00783907">
        <w:t xml:space="preserve"> can only count once for both numerator and denominator</w:t>
      </w:r>
      <w:r>
        <w:t xml:space="preserve"> for this measure</w:t>
      </w:r>
      <w:r w:rsidR="00783907">
        <w:t>.</w:t>
      </w:r>
      <w:r>
        <w:t xml:space="preserve"> T</w:t>
      </w:r>
      <w:r w:rsidR="00783907">
        <w:t xml:space="preserve">his measure applies to </w:t>
      </w:r>
      <w:r w:rsidR="00783907" w:rsidRPr="00D74C28">
        <w:rPr>
          <w:i/>
        </w:rPr>
        <w:t>all</w:t>
      </w:r>
      <w:r w:rsidR="00783907">
        <w:t xml:space="preserve"> patients, regardless of age</w:t>
      </w:r>
      <w:r>
        <w:t>.</w:t>
      </w:r>
    </w:p>
    <w:p w:rsidR="00680A2A" w:rsidRDefault="00680A2A" w:rsidP="00783907"/>
    <w:p w:rsidR="007A7363" w:rsidRDefault="00944E79" w:rsidP="007A7363">
      <w:r>
        <w:t xml:space="preserve">CMS has defined a Patient Reminder as being related to preventive/follow-up care that the patient is not already scheduled to receive. </w:t>
      </w:r>
      <w:r w:rsidR="007A7363">
        <w:t>From the CMS Final Rule:</w:t>
      </w:r>
    </w:p>
    <w:p w:rsidR="007A7363" w:rsidRDefault="007A7363" w:rsidP="007A7363"/>
    <w:p w:rsidR="007A7363" w:rsidRPr="007A7363" w:rsidRDefault="007A7363" w:rsidP="007A7363">
      <w:pPr>
        <w:ind w:left="720"/>
        <w:rPr>
          <w:i/>
        </w:rPr>
      </w:pPr>
      <w:r w:rsidRPr="007A7363">
        <w:rPr>
          <w:i/>
        </w:rPr>
        <w:t>We believe that reminders should be limited to new actions that need to be taken not of actions that are already taken. For example, a reminder to schedule your next mammogram is a reminder to take action, while a reminder that your next mammogram is scheduled for next week is a reminder of action already taken.</w:t>
      </w:r>
    </w:p>
    <w:p w:rsidR="007A7363" w:rsidRDefault="007A7363" w:rsidP="00944E79"/>
    <w:p w:rsidR="00680A2A" w:rsidRDefault="00944E79" w:rsidP="00944E79">
      <w:r>
        <w:t xml:space="preserve">This means that a reminder relating to a scheduled appointment </w:t>
      </w:r>
      <w:r w:rsidR="007A7363">
        <w:t>with the EP</w:t>
      </w:r>
      <w:r>
        <w:t xml:space="preserve"> will </w:t>
      </w:r>
      <w:r w:rsidRPr="007A7363">
        <w:rPr>
          <w:b/>
          <w:u w:val="single"/>
        </w:rPr>
        <w:t>not</w:t>
      </w:r>
      <w:r>
        <w:t xml:space="preserve"> satisfy </w:t>
      </w:r>
      <w:r w:rsidR="007A7363">
        <w:t xml:space="preserve">the requirements for this measure. Instead, a Patient Reminder needs to be for services outside of scheduled treatment. Examples of this include </w:t>
      </w:r>
      <w:r w:rsidR="007A7363" w:rsidRPr="007A7363">
        <w:t>referrals</w:t>
      </w:r>
      <w:r w:rsidR="007A7363">
        <w:t xml:space="preserve"> </w:t>
      </w:r>
      <w:r w:rsidR="007A7363" w:rsidRPr="007A7363">
        <w:t xml:space="preserve">or to </w:t>
      </w:r>
      <w:r w:rsidR="007A7363">
        <w:t xml:space="preserve">remind the patient to </w:t>
      </w:r>
      <w:r w:rsidR="007A7363" w:rsidRPr="007A7363">
        <w:t>engage in certain activities</w:t>
      </w:r>
      <w:r w:rsidR="007A7363">
        <w:t xml:space="preserve">. </w:t>
      </w:r>
    </w:p>
    <w:p w:rsidR="00680A2A" w:rsidRDefault="00680A2A" w:rsidP="00783907"/>
    <w:p w:rsidR="00A32795" w:rsidRDefault="00B00A3C" w:rsidP="00783907">
      <w:r>
        <w:t xml:space="preserve">In addition to sending the patient a pertinent Patient Reminder, the reminder itself must be sent using the patient’s preferred communication preference. Patient Reminders sent by a means outside of the patient’s preferred communication preference will </w:t>
      </w:r>
      <w:r w:rsidRPr="00B00A3C">
        <w:rPr>
          <w:b/>
          <w:u w:val="single"/>
        </w:rPr>
        <w:t>not</w:t>
      </w:r>
      <w:r>
        <w:t xml:space="preserve"> count towards the numerator for this measure.  </w:t>
      </w:r>
      <w:r w:rsidR="008A1652">
        <w:t xml:space="preserve">If the patient declines to provide their preferred communication medium, then any means of conveying the Patient Reminder will count towards the numerator. </w:t>
      </w:r>
    </w:p>
    <w:p w:rsidR="00A32795" w:rsidRDefault="00A32795" w:rsidP="00783907"/>
    <w:p w:rsidR="00783907" w:rsidRDefault="001A5948" w:rsidP="00783907">
      <w:r>
        <w:t>The act of sending a Patient Reminder is not tied to a specific EP. Once a pertinent Patient Reminder has been sent to the patient, a</w:t>
      </w:r>
      <w:r w:rsidR="00783907">
        <w:t xml:space="preserve">ll EP’s within a practice will receive credit for </w:t>
      </w:r>
      <w:r>
        <w:t>that</w:t>
      </w:r>
      <w:r w:rsidR="00783907">
        <w:t xml:space="preserve"> patient </w:t>
      </w:r>
      <w:r>
        <w:t xml:space="preserve">so long as the EP has had two or more recorded visits with the patient in the 24 months leading up to the reporting period. </w:t>
      </w:r>
      <w:r w:rsidR="00783907">
        <w:t xml:space="preserve">This means that, once the patient has </w:t>
      </w:r>
      <w:r w:rsidR="00A32795">
        <w:t>be sent a Patient Reminder</w:t>
      </w:r>
      <w:r w:rsidR="00783907">
        <w:t xml:space="preserve">, any EP who </w:t>
      </w:r>
      <w:r w:rsidR="008A1652">
        <w:t xml:space="preserve">meets the criteria for the patient falling within the denominator </w:t>
      </w:r>
      <w:r w:rsidR="00783907">
        <w:t>will have that patient appear in both the numerator and denominator for this particular measure.</w:t>
      </w:r>
    </w:p>
    <w:p w:rsidR="00783907" w:rsidRDefault="00783907"/>
    <w:p w:rsidR="00783907" w:rsidRDefault="00783907"/>
    <w:p w:rsidR="00C263C3" w:rsidRDefault="00C263C3"/>
    <w:p w:rsidR="005142D7" w:rsidRDefault="005142D7"/>
    <w:p w:rsidR="005142D7" w:rsidRDefault="005142D7"/>
    <w:p w:rsidR="005142D7" w:rsidRDefault="005142D7"/>
    <w:p w:rsidR="005142D7" w:rsidRDefault="005142D7"/>
    <w:p w:rsidR="005142D7" w:rsidRDefault="005142D7"/>
    <w:p w:rsidR="005142D7" w:rsidRDefault="005142D7"/>
    <w:p w:rsidR="005142D7" w:rsidRDefault="005142D7"/>
    <w:p w:rsidR="005142D7" w:rsidRDefault="005142D7"/>
    <w:p w:rsidR="005142D7" w:rsidRDefault="005142D7"/>
    <w:p w:rsidR="005142D7" w:rsidRDefault="005142D7"/>
    <w:p w:rsidR="005142D7" w:rsidRDefault="005142D7"/>
    <w:p w:rsidR="007E7AC3" w:rsidRDefault="007E7AC3"/>
    <w:p w:rsidR="007E7AC3" w:rsidRDefault="007E7AC3"/>
    <w:p w:rsidR="002658B0" w:rsidRDefault="002658B0"/>
    <w:p w:rsidR="00620D28" w:rsidRPr="004736F7" w:rsidRDefault="00620D28" w:rsidP="00620D28">
      <w:pPr>
        <w:pStyle w:val="Heading3"/>
      </w:pPr>
      <w:bookmarkStart w:id="77" w:name="_Toc390081352"/>
      <w:bookmarkStart w:id="78" w:name="_Toc390171189"/>
      <w:r>
        <w:t>Preventative Care/Patient Reminders</w:t>
      </w:r>
      <w:r w:rsidRPr="004736F7">
        <w:t xml:space="preserve">: </w:t>
      </w:r>
      <w:r>
        <w:t>Meaningful Use Measures</w:t>
      </w:r>
      <w:bookmarkEnd w:id="77"/>
    </w:p>
    <w:p w:rsidR="00620D28" w:rsidRPr="00DF721A" w:rsidRDefault="00620D28" w:rsidP="00620D28"/>
    <w:p w:rsidR="00620D28" w:rsidRDefault="00620D28" w:rsidP="00620D28">
      <w:r>
        <w:t xml:space="preserve">There is a single line item related to Patient Reminders in the Stage </w:t>
      </w:r>
      <w:r w:rsidR="004B07BE">
        <w:t>2</w:t>
      </w:r>
      <w:r>
        <w:t xml:space="preserve"> list of Meaningful Use Measures. The name of this line item is </w:t>
      </w:r>
      <w:r>
        <w:rPr>
          <w:b/>
        </w:rPr>
        <w:t>Preventative Care (Patient Reminders)</w:t>
      </w:r>
      <w:r w:rsidRPr="00FD0136">
        <w:t>.</w:t>
      </w:r>
    </w:p>
    <w:p w:rsidR="00620D28" w:rsidRDefault="00620D28" w:rsidP="00620D28"/>
    <w:p w:rsidR="00620D28" w:rsidRDefault="00620D28" w:rsidP="00620D28"/>
    <w:p w:rsidR="00620D28" w:rsidRDefault="00235859" w:rsidP="00620D28">
      <w:r>
        <w:rPr>
          <w:noProof/>
        </w:rPr>
        <w:drawing>
          <wp:inline distT="0" distB="0" distL="0" distR="0">
            <wp:extent cx="6854190" cy="454025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3A44ED" w:rsidRPr="008B51F5" w:rsidRDefault="00620D28" w:rsidP="00620D28">
      <w:pPr>
        <w:pStyle w:val="Heading3"/>
      </w:pPr>
      <w:r>
        <w:rPr>
          <w:b w:val="0"/>
        </w:rPr>
        <w:br w:type="page"/>
      </w:r>
      <w:r w:rsidR="003A44ED">
        <w:t>Preventative Care/Patient Reminders</w:t>
      </w:r>
      <w:r w:rsidR="003A44ED" w:rsidRPr="008B51F5">
        <w:t>: Recording of Numerator in Valant</w:t>
      </w:r>
      <w:bookmarkEnd w:id="78"/>
    </w:p>
    <w:p w:rsidR="002658B0" w:rsidRDefault="002658B0"/>
    <w:p w:rsidR="002658B0" w:rsidRDefault="00B84D53">
      <w:r>
        <w:t xml:space="preserve">The Valant Premium Psychiatrist Suite has been certified to track when the EP indicates that a Patient Reminder has been sent using the preferred communication preference for their patient. However, sending the actual Patient Reminder is outside the scope of the certification. This means that an EP will need to ensure that a Patient Reminder is actually sent and that the Patient Reminder was sent using the patient’s preferred communication preference. Once the reminder has been sent using the patients preferred communication method, the EP can record the action using the </w:t>
      </w:r>
      <w:r w:rsidRPr="00B84D53">
        <w:rPr>
          <w:b/>
        </w:rPr>
        <w:t>Patient List/Reminders</w:t>
      </w:r>
      <w:r>
        <w:t xml:space="preserve"> feature. </w:t>
      </w:r>
      <w:r w:rsidR="00607BE8">
        <w:t xml:space="preserve">For more information on the Patient List/Reminders feature beyond what is described here, please refer to documentation </w:t>
      </w:r>
      <w:r w:rsidR="00607BE8" w:rsidRPr="00D377DD">
        <w:rPr>
          <w:highlight w:val="yellow"/>
        </w:rPr>
        <w:t>XXXXX</w:t>
      </w:r>
      <w:r w:rsidR="00607BE8">
        <w:t>.</w:t>
      </w:r>
    </w:p>
    <w:p w:rsidR="002658B0" w:rsidRDefault="002658B0"/>
    <w:p w:rsidR="00FE7309" w:rsidRDefault="00607BE8">
      <w:r>
        <w:t xml:space="preserve">The Patient List/Reminders feature will generate a list of active patients which have the specified values tied to their patient record. For the purposes of this measure, any combination of filters can be used to generate a list of patients for which Patient Reminders can be sent. </w:t>
      </w:r>
      <w:r w:rsidR="00FE7309">
        <w:t xml:space="preserve">In the example below, the EP has generated a list of patients who currently have the specified diagnosis by selecting a diagnosis from the drop down list and clicking on the </w:t>
      </w:r>
      <w:r w:rsidR="00FE7309" w:rsidRPr="00E9565B">
        <w:rPr>
          <w:b/>
        </w:rPr>
        <w:t>Get List</w:t>
      </w:r>
      <w:r w:rsidR="00FE7309">
        <w:t xml:space="preserve"> button.</w:t>
      </w:r>
      <w:r w:rsidR="003F2255" w:rsidRPr="003F2255">
        <w:t xml:space="preserve"> </w:t>
      </w:r>
      <w:r w:rsidR="003F2255">
        <w:t>Included in the details of the patient list are the patient’s ID, Name, and Communication Preference.</w:t>
      </w:r>
    </w:p>
    <w:p w:rsidR="00C25CBB" w:rsidRDefault="00C25CBB"/>
    <w:p w:rsidR="00FE7309" w:rsidRDefault="00FE7309"/>
    <w:p w:rsidR="00FE7309" w:rsidRDefault="00FE7309" w:rsidP="00FE7309">
      <w:pPr>
        <w:jc w:val="center"/>
      </w:pPr>
      <w:r>
        <w:rPr>
          <w:noProof/>
        </w:rPr>
        <w:drawing>
          <wp:inline distT="0" distB="0" distL="0" distR="0" wp14:anchorId="2B0F7C16" wp14:editId="0C181CA1">
            <wp:extent cx="5589905" cy="2806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9905" cy="2806700"/>
                    </a:xfrm>
                    <a:prstGeom prst="rect">
                      <a:avLst/>
                    </a:prstGeom>
                    <a:noFill/>
                    <a:ln>
                      <a:noFill/>
                    </a:ln>
                  </pic:spPr>
                </pic:pic>
              </a:graphicData>
            </a:graphic>
          </wp:inline>
        </w:drawing>
      </w:r>
    </w:p>
    <w:p w:rsidR="00FE7309" w:rsidRDefault="00FE7309"/>
    <w:p w:rsidR="00FE7309" w:rsidRDefault="00FE7309"/>
    <w:p w:rsidR="003F2255" w:rsidRDefault="003F2255">
      <w:r>
        <w:br w:type="page"/>
      </w:r>
    </w:p>
    <w:p w:rsidR="00FE7309" w:rsidRDefault="00FE7309">
      <w:r>
        <w:t>The Communication Preference for a patient can</w:t>
      </w:r>
      <w:r w:rsidR="003F2255">
        <w:t xml:space="preserve"> be set in </w:t>
      </w:r>
      <w:r w:rsidR="003F2255" w:rsidRPr="003F2255">
        <w:rPr>
          <w:b/>
        </w:rPr>
        <w:t>Persons and Institutions: Patients</w:t>
      </w:r>
      <w:r w:rsidR="003F2255">
        <w:t xml:space="preserve"> under the </w:t>
      </w:r>
      <w:r w:rsidR="003F2255" w:rsidRPr="003F2255">
        <w:rPr>
          <w:b/>
        </w:rPr>
        <w:t>Misc</w:t>
      </w:r>
      <w:r w:rsidR="003F2255">
        <w:t xml:space="preserve"> tab. The field is called </w:t>
      </w:r>
      <w:r w:rsidR="003F2255" w:rsidRPr="003F2255">
        <w:rPr>
          <w:b/>
        </w:rPr>
        <w:t>Confidential Preference</w:t>
      </w:r>
      <w:r w:rsidR="003F2255">
        <w:t xml:space="preserve"> and the following options can be selected: Email, Mail, Main Phone, Phone 2, Phone 3, Phone 4, and Secure Messaging. Only a single option can be selected for the patient’s Confidential Preference. </w:t>
      </w:r>
    </w:p>
    <w:p w:rsidR="003F2255" w:rsidRDefault="003F2255"/>
    <w:p w:rsidR="003F2255" w:rsidRDefault="003F2255">
      <w:r>
        <w:rPr>
          <w:noProof/>
        </w:rPr>
        <w:drawing>
          <wp:inline distT="0" distB="0" distL="0" distR="0" wp14:anchorId="140F0EA7" wp14:editId="20B1DF0F">
            <wp:extent cx="6854190" cy="1311910"/>
            <wp:effectExtent l="0" t="0" r="381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4190" cy="1311910"/>
                    </a:xfrm>
                    <a:prstGeom prst="rect">
                      <a:avLst/>
                    </a:prstGeom>
                    <a:noFill/>
                    <a:ln>
                      <a:noFill/>
                    </a:ln>
                  </pic:spPr>
                </pic:pic>
              </a:graphicData>
            </a:graphic>
          </wp:inline>
        </w:drawing>
      </w:r>
    </w:p>
    <w:p w:rsidR="00FE7309" w:rsidRDefault="00FE7309"/>
    <w:p w:rsidR="00353792" w:rsidRDefault="00353792"/>
    <w:p w:rsidR="00353792" w:rsidRDefault="00353792"/>
    <w:p w:rsidR="00353792" w:rsidRDefault="00353792"/>
    <w:p w:rsidR="002658B0" w:rsidRDefault="002E50CC">
      <w:r>
        <w:t xml:space="preserve">Once a list of patients has been generated, check the box to the right of the patient ID for which Patient Reminders have been sent. With the appropriate patients selected, clicking on the button </w:t>
      </w:r>
      <w:r w:rsidRPr="002E50CC">
        <w:rPr>
          <w:b/>
        </w:rPr>
        <w:t>Reminder sent for preventative/follow-up care</w:t>
      </w:r>
      <w:r>
        <w:t xml:space="preserve"> will allow the EP to indicate that a Patient Reminder was sent.</w:t>
      </w:r>
    </w:p>
    <w:p w:rsidR="002658B0" w:rsidRDefault="002658B0"/>
    <w:p w:rsidR="002E50CC" w:rsidRDefault="00FE7309">
      <w:r>
        <w:rPr>
          <w:noProof/>
        </w:rPr>
        <w:drawing>
          <wp:inline distT="0" distB="0" distL="0" distR="0" wp14:anchorId="62C6F360" wp14:editId="05739B2C">
            <wp:extent cx="6854190" cy="297370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4190" cy="2973705"/>
                    </a:xfrm>
                    <a:prstGeom prst="rect">
                      <a:avLst/>
                    </a:prstGeom>
                    <a:noFill/>
                    <a:ln>
                      <a:noFill/>
                    </a:ln>
                  </pic:spPr>
                </pic:pic>
              </a:graphicData>
            </a:graphic>
          </wp:inline>
        </w:drawing>
      </w:r>
      <w:r w:rsidR="002E50CC">
        <w:br w:type="page"/>
      </w:r>
    </w:p>
    <w:p w:rsidR="002658B0" w:rsidRDefault="002E50CC">
      <w:r>
        <w:t xml:space="preserve">In the dialogue window which results, the EP related to the Patient Reminder as well as the date that the reminder was sent are required fields in order to continue. This dialogue window allows the EP to confirm that an appropriate Patient Reminder was sent using the patient’s preferred communication preference on the date specified. Once the fields have been completed, clicking </w:t>
      </w:r>
      <w:r w:rsidRPr="002E50CC">
        <w:rPr>
          <w:b/>
        </w:rPr>
        <w:t>Confirm</w:t>
      </w:r>
      <w:r>
        <w:t xml:space="preserve"> will continue to Patient Reminder process. </w:t>
      </w:r>
    </w:p>
    <w:p w:rsidR="00C46D58" w:rsidRDefault="00C46D58"/>
    <w:p w:rsidR="002E50CC" w:rsidRDefault="002E50CC"/>
    <w:p w:rsidR="002E50CC" w:rsidRDefault="002E50CC" w:rsidP="002E50CC">
      <w:pPr>
        <w:jc w:val="center"/>
      </w:pPr>
      <w:r>
        <w:rPr>
          <w:noProof/>
        </w:rPr>
        <w:drawing>
          <wp:inline distT="0" distB="0" distL="0" distR="0" wp14:anchorId="3F148CAC" wp14:editId="12658A57">
            <wp:extent cx="4874260" cy="299783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4260" cy="2997835"/>
                    </a:xfrm>
                    <a:prstGeom prst="rect">
                      <a:avLst/>
                    </a:prstGeom>
                    <a:noFill/>
                    <a:ln>
                      <a:noFill/>
                    </a:ln>
                  </pic:spPr>
                </pic:pic>
              </a:graphicData>
            </a:graphic>
          </wp:inline>
        </w:drawing>
      </w:r>
    </w:p>
    <w:p w:rsidR="00BA245D" w:rsidRDefault="00BA245D"/>
    <w:p w:rsidR="00BA245D" w:rsidRDefault="00BA245D"/>
    <w:p w:rsidR="00BA245D" w:rsidRDefault="002E50CC">
      <w:r>
        <w:t xml:space="preserve">Once the Confirm button has been selected, the EP will be presented with a summary of the information that has been entered. Additionally, there is a warning message informing the user that this feature is only </w:t>
      </w:r>
      <w:r w:rsidRPr="002E50CC">
        <w:rPr>
          <w:b/>
          <w:u w:val="single"/>
        </w:rPr>
        <w:t>indicating</w:t>
      </w:r>
      <w:r>
        <w:t xml:space="preserve"> that a Patient Reminder was sent using the patient’s preferred communication preference. It is </w:t>
      </w:r>
      <w:r w:rsidRPr="002E50CC">
        <w:rPr>
          <w:b/>
          <w:u w:val="single"/>
        </w:rPr>
        <w:t>not</w:t>
      </w:r>
      <w:r>
        <w:t xml:space="preserve"> sending a reminder to the selected patients. </w:t>
      </w:r>
    </w:p>
    <w:p w:rsidR="002E50CC" w:rsidRDefault="002E50CC"/>
    <w:p w:rsidR="00BA245D" w:rsidRDefault="002E50CC">
      <w:r>
        <w:t xml:space="preserve">Assuming the information presented is correct, the EP can once again click the Confirm button to complete the indication that Patient Reminders were sent to the selected patients using their preferred communication preference. </w:t>
      </w:r>
      <w:r w:rsidR="00837EAE">
        <w:t xml:space="preserve">Doing so will allow for the selected patients to be eligible for the numerator of this measure. </w:t>
      </w:r>
    </w:p>
    <w:p w:rsidR="002C66F1" w:rsidRDefault="002C66F1"/>
    <w:p w:rsidR="00EE770C" w:rsidRDefault="002E50CC" w:rsidP="002E50CC">
      <w:pPr>
        <w:jc w:val="center"/>
      </w:pPr>
      <w:r>
        <w:rPr>
          <w:noProof/>
        </w:rPr>
        <w:drawing>
          <wp:inline distT="0" distB="0" distL="0" distR="0" wp14:anchorId="5C78D5A4" wp14:editId="22A8CA99">
            <wp:extent cx="4874260" cy="2774950"/>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4260" cy="2774950"/>
                    </a:xfrm>
                    <a:prstGeom prst="rect">
                      <a:avLst/>
                    </a:prstGeom>
                    <a:noFill/>
                    <a:ln>
                      <a:noFill/>
                    </a:ln>
                  </pic:spPr>
                </pic:pic>
              </a:graphicData>
            </a:graphic>
          </wp:inline>
        </w:drawing>
      </w:r>
      <w:r w:rsidR="00EE770C">
        <w:br w:type="page"/>
      </w:r>
    </w:p>
    <w:p w:rsidR="00EE770C" w:rsidRDefault="00EE770C" w:rsidP="00EE770C">
      <w:pPr>
        <w:pStyle w:val="Heading2"/>
        <w:rPr>
          <w:rFonts w:eastAsia="Times New Roman"/>
        </w:rPr>
      </w:pPr>
      <w:bookmarkStart w:id="79" w:name="_Toc390171190"/>
      <w:r w:rsidRPr="005E6F86">
        <w:rPr>
          <w:rFonts w:eastAsia="Times New Roman"/>
        </w:rPr>
        <w:t>Stage 2 - Core #13: Patient-Specific Education Resources</w:t>
      </w:r>
      <w:bookmarkEnd w:id="79"/>
    </w:p>
    <w:p w:rsidR="00EE770C" w:rsidRDefault="00EE770C" w:rsidP="00EE770C"/>
    <w:tbl>
      <w:tblPr>
        <w:tblW w:w="10905" w:type="dxa"/>
        <w:tblInd w:w="93" w:type="dxa"/>
        <w:tblLook w:val="04A0" w:firstRow="1" w:lastRow="0" w:firstColumn="1" w:lastColumn="0" w:noHBand="0" w:noVBand="1"/>
      </w:tblPr>
      <w:tblGrid>
        <w:gridCol w:w="1340"/>
        <w:gridCol w:w="9565"/>
      </w:tblGrid>
      <w:tr w:rsidR="005E6F86" w:rsidRPr="005E6F86" w:rsidTr="005E6F86">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5E6F86" w:rsidRPr="00EE770C" w:rsidRDefault="005E6F86" w:rsidP="00EE770C">
            <w:pPr>
              <w:rPr>
                <w:b/>
              </w:rPr>
            </w:pPr>
            <w:r w:rsidRPr="00EE770C">
              <w:rPr>
                <w:b/>
                <w:color w:val="FFFFFF" w:themeColor="background1"/>
                <w:sz w:val="32"/>
              </w:rPr>
              <w:t>Patient-Specific Education Resources</w:t>
            </w:r>
          </w:p>
        </w:tc>
      </w:tr>
      <w:tr w:rsidR="005E6F86" w:rsidRPr="005E6F86" w:rsidTr="005E6F86">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Use clinically relevant information from Certified EHR Technology to identify patient-specific education resources and provide those resources to the patient</w:t>
            </w:r>
          </w:p>
        </w:tc>
      </w:tr>
      <w:tr w:rsidR="005E6F86" w:rsidRPr="005E6F86" w:rsidTr="005E6F86">
        <w:trPr>
          <w:trHeight w:val="300"/>
        </w:trPr>
        <w:tc>
          <w:tcPr>
            <w:tcW w:w="1340" w:type="dxa"/>
            <w:vMerge/>
            <w:tcBorders>
              <w:top w:val="nil"/>
              <w:left w:val="single" w:sz="4" w:space="0" w:color="auto"/>
              <w:bottom w:val="nil"/>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340" w:type="dxa"/>
            <w:vMerge/>
            <w:tcBorders>
              <w:top w:val="nil"/>
              <w:left w:val="single" w:sz="4" w:space="0" w:color="auto"/>
              <w:bottom w:val="nil"/>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Patient-specific education resources identified by Certified EHR Technology are provided to patients for more than 10 percent of all unique patients with office visits seen by the EP during the EHR reporting</w:t>
            </w:r>
            <w:r>
              <w:rPr>
                <w:rFonts w:ascii="Calibri" w:eastAsia="Times New Roman" w:hAnsi="Calibri" w:cs="Times New Roman"/>
                <w:color w:val="000000"/>
              </w:rPr>
              <w:t xml:space="preserve"> </w:t>
            </w:r>
            <w:r w:rsidRPr="005E6F86">
              <w:rPr>
                <w:rFonts w:ascii="Calibri" w:eastAsia="Times New Roman" w:hAnsi="Calibri" w:cs="Times New Roman"/>
                <w:color w:val="000000"/>
              </w:rPr>
              <w:t>period</w:t>
            </w:r>
          </w:p>
        </w:tc>
      </w:tr>
      <w:tr w:rsidR="005E6F86" w:rsidRPr="005E6F86" w:rsidTr="005E6F8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340" w:type="dxa"/>
            <w:vMerge w:val="restart"/>
            <w:tcBorders>
              <w:top w:val="nil"/>
              <w:left w:val="single" w:sz="4" w:space="0" w:color="auto"/>
              <w:bottom w:val="nil"/>
              <w:right w:val="nil"/>
            </w:tcBorders>
            <w:shd w:val="clear" w:color="000000" w:fill="1F497D"/>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Any EP who has no office visits during the EHR reporting period</w:t>
            </w:r>
          </w:p>
        </w:tc>
      </w:tr>
      <w:tr w:rsidR="005E6F86" w:rsidRPr="005E6F86" w:rsidTr="005E6F86">
        <w:trPr>
          <w:trHeight w:val="300"/>
        </w:trPr>
        <w:tc>
          <w:tcPr>
            <w:tcW w:w="1340" w:type="dxa"/>
            <w:vMerge/>
            <w:tcBorders>
              <w:top w:val="nil"/>
              <w:left w:val="single" w:sz="4" w:space="0" w:color="auto"/>
              <w:bottom w:val="nil"/>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340" w:type="dxa"/>
            <w:vMerge/>
            <w:tcBorders>
              <w:top w:val="nil"/>
              <w:left w:val="single" w:sz="4" w:space="0" w:color="auto"/>
              <w:bottom w:val="nil"/>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bl>
    <w:p w:rsidR="006A0E88" w:rsidRDefault="006A0E88"/>
    <w:p w:rsidR="006A0E88" w:rsidRDefault="006A0E88"/>
    <w:p w:rsidR="002C66F1" w:rsidRDefault="002C66F1"/>
    <w:tbl>
      <w:tblPr>
        <w:tblW w:w="10905" w:type="dxa"/>
        <w:tblInd w:w="93" w:type="dxa"/>
        <w:tblLook w:val="04A0" w:firstRow="1" w:lastRow="0" w:firstColumn="1" w:lastColumn="0" w:noHBand="0" w:noVBand="1"/>
      </w:tblPr>
      <w:tblGrid>
        <w:gridCol w:w="1435"/>
        <w:gridCol w:w="9470"/>
      </w:tblGrid>
      <w:tr w:rsidR="005E6F86" w:rsidRPr="005E6F86" w:rsidTr="005E6F86">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5E6F86" w:rsidRPr="005E6F86" w:rsidRDefault="005E6F86" w:rsidP="005E6F86">
            <w:pPr>
              <w:rPr>
                <w:rFonts w:ascii="Calibri" w:eastAsia="Times New Roman" w:hAnsi="Calibri" w:cs="Times New Roman"/>
                <w:b/>
                <w:bCs/>
                <w:color w:val="FFFFFF"/>
                <w:sz w:val="28"/>
                <w:szCs w:val="28"/>
              </w:rPr>
            </w:pPr>
            <w:r w:rsidRPr="005E6F86">
              <w:rPr>
                <w:rFonts w:ascii="Calibri" w:eastAsia="Times New Roman" w:hAnsi="Calibri" w:cs="Times New Roman"/>
                <w:b/>
                <w:bCs/>
                <w:color w:val="FFFFFF"/>
                <w:sz w:val="28"/>
                <w:szCs w:val="28"/>
              </w:rPr>
              <w:t>Patient-Specific Education Resources</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5E6F86" w:rsidRPr="005E6F86" w:rsidTr="005E6F86">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Number of unique patients with office visits seen by the EP during the EHR reporting period</w:t>
            </w:r>
          </w:p>
        </w:tc>
      </w:tr>
      <w:tr w:rsidR="005E6F86" w:rsidRPr="005E6F86" w:rsidTr="005E6F86">
        <w:trPr>
          <w:trHeight w:val="300"/>
        </w:trPr>
        <w:tc>
          <w:tcPr>
            <w:tcW w:w="1435" w:type="dxa"/>
            <w:vMerge/>
            <w:tcBorders>
              <w:top w:val="nil"/>
              <w:left w:val="single" w:sz="4" w:space="0" w:color="auto"/>
              <w:bottom w:val="single" w:sz="4" w:space="0" w:color="000000"/>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Number of patients in the denominator who were provided patient-specific education resources identified by the Certified EHR Technology</w:t>
            </w:r>
          </w:p>
        </w:tc>
      </w:tr>
      <w:tr w:rsidR="005E6F86" w:rsidRPr="005E6F86" w:rsidTr="005E6F86">
        <w:trPr>
          <w:trHeight w:val="300"/>
        </w:trPr>
        <w:tc>
          <w:tcPr>
            <w:tcW w:w="1435" w:type="dxa"/>
            <w:vMerge/>
            <w:tcBorders>
              <w:top w:val="nil"/>
              <w:left w:val="single" w:sz="4" w:space="0" w:color="auto"/>
              <w:bottom w:val="single" w:sz="4" w:space="0" w:color="000000"/>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r w:rsidR="005E6F86" w:rsidRPr="005E6F86" w:rsidTr="005E6F86">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5E6F86" w:rsidRPr="005E6F86" w:rsidRDefault="005E6F86" w:rsidP="005E6F86">
            <w:pPr>
              <w:jc w:val="right"/>
              <w:rPr>
                <w:rFonts w:ascii="Calibri" w:eastAsia="Times New Roman" w:hAnsi="Calibri" w:cs="Times New Roman"/>
                <w:b/>
                <w:bCs/>
                <w:color w:val="FFFFFF"/>
              </w:rPr>
            </w:pPr>
            <w:r w:rsidRPr="005E6F86">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5E6F86" w:rsidRPr="005E6F86" w:rsidRDefault="005E6F86" w:rsidP="005E6F86">
            <w:pPr>
              <w:rPr>
                <w:rFonts w:ascii="Calibri" w:eastAsia="Times New Roman" w:hAnsi="Calibri" w:cs="Times New Roman"/>
                <w:color w:val="000000"/>
              </w:rPr>
            </w:pPr>
            <w:r w:rsidRPr="005E6F86">
              <w:rPr>
                <w:rFonts w:ascii="Calibri" w:eastAsia="Times New Roman" w:hAnsi="Calibri" w:cs="Times New Roman"/>
                <w:color w:val="000000"/>
              </w:rPr>
              <w:t>The resulting percentage must be more than 10 percent in order for an EP to meet this measure</w:t>
            </w:r>
          </w:p>
        </w:tc>
      </w:tr>
      <w:tr w:rsidR="005E6F86" w:rsidRPr="005E6F86" w:rsidTr="005E6F86">
        <w:trPr>
          <w:trHeight w:val="300"/>
        </w:trPr>
        <w:tc>
          <w:tcPr>
            <w:tcW w:w="1435" w:type="dxa"/>
            <w:vMerge/>
            <w:tcBorders>
              <w:top w:val="nil"/>
              <w:left w:val="single" w:sz="4" w:space="0" w:color="auto"/>
              <w:bottom w:val="single" w:sz="4" w:space="0" w:color="000000"/>
              <w:right w:val="nil"/>
            </w:tcBorders>
            <w:vAlign w:val="center"/>
            <w:hideMark/>
          </w:tcPr>
          <w:p w:rsidR="005E6F86" w:rsidRPr="005E6F86" w:rsidRDefault="005E6F86" w:rsidP="005E6F8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5E6F86" w:rsidRPr="005E6F86" w:rsidRDefault="005E6F86" w:rsidP="005E6F86">
            <w:pPr>
              <w:rPr>
                <w:rFonts w:ascii="Calibri" w:eastAsia="Times New Roman" w:hAnsi="Calibri" w:cs="Times New Roman"/>
                <w:color w:val="000000"/>
              </w:rPr>
            </w:pPr>
          </w:p>
        </w:tc>
      </w:tr>
    </w:tbl>
    <w:p w:rsidR="002C66F1" w:rsidRDefault="002C66F1"/>
    <w:p w:rsidR="005E6F86" w:rsidRDefault="005E6F86"/>
    <w:p w:rsidR="005E6F86" w:rsidRDefault="005E6F86"/>
    <w:p w:rsidR="005E6F86" w:rsidRPr="004736F7" w:rsidRDefault="005E6F86" w:rsidP="005E6F86">
      <w:pPr>
        <w:pStyle w:val="Heading3"/>
      </w:pPr>
      <w:bookmarkStart w:id="80" w:name="_Toc390171191"/>
      <w:r w:rsidRPr="005E6F86">
        <w:t>Patient-Specific Education Resources</w:t>
      </w:r>
      <w:r w:rsidRPr="004736F7">
        <w:t>: Explanation of Measure</w:t>
      </w:r>
      <w:bookmarkEnd w:id="80"/>
    </w:p>
    <w:p w:rsidR="005E6F86" w:rsidRDefault="005E6F86" w:rsidP="005E6F86"/>
    <w:p w:rsidR="005E6F86" w:rsidRDefault="005E6F86" w:rsidP="005E6F86">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5E6F86" w:rsidRDefault="005E6F86" w:rsidP="005E6F86"/>
    <w:p w:rsidR="005E6F86" w:rsidRDefault="005E6F86" w:rsidP="005E6F86">
      <w:r>
        <w:t xml:space="preserve">Providing a patient with patient-specific education resources that were identified by the CEHRT can occur before, during or after the reporting period. This means that it does not matter when the education resources were provided so long as it is done prior to generating the measures for submission to CMS. Additionally, once the education resources have been provided to a patient, then that patient will always appear in the numerator for an EP that has a recorded visit with that patient during the reporting period. </w:t>
      </w:r>
    </w:p>
    <w:p w:rsidR="005E6F86" w:rsidRDefault="005E6F86" w:rsidP="005E6F86"/>
    <w:p w:rsidR="00BA55C9" w:rsidRDefault="007A2A57" w:rsidP="005E6F86">
      <w:r>
        <w:t xml:space="preserve">Providing a patient with patient-specific education resources that were identified by the CEHRT </w:t>
      </w:r>
      <w:r w:rsidR="005E6F86">
        <w:t>is not tied to an individual EP within a practice. All EP’s within a practice will receive cred</w:t>
      </w:r>
      <w:r>
        <w:t xml:space="preserve">it for a patient who have been provided with patient-specific education resources that were identified by the CEHRT </w:t>
      </w:r>
      <w:r w:rsidR="005E6F86">
        <w:t>so long as that patient has a recorded visit with the EP during the reporting pe</w:t>
      </w:r>
      <w:r>
        <w:t>riod. This means that, once a patient has been provided education resources</w:t>
      </w:r>
      <w:r w:rsidR="005E6F86">
        <w:t xml:space="preserve">, any EP who has a recorded visit with that patient during the reporting period will have that patient appear in both the numerator and denominator for this particular measure. </w:t>
      </w:r>
      <w:r w:rsidR="00BA55C9">
        <w:br w:type="page"/>
      </w:r>
    </w:p>
    <w:p w:rsidR="00C25CBB" w:rsidRPr="004736F7" w:rsidRDefault="00C25CBB" w:rsidP="00C25CBB">
      <w:pPr>
        <w:pStyle w:val="Heading3"/>
      </w:pPr>
      <w:bookmarkStart w:id="81" w:name="_Toc390081356"/>
      <w:bookmarkStart w:id="82" w:name="_Toc390171192"/>
      <w:r w:rsidRPr="005E6F86">
        <w:t>Patient-Specific Education Resources</w:t>
      </w:r>
      <w:r w:rsidRPr="004736F7">
        <w:t xml:space="preserve">: </w:t>
      </w:r>
      <w:r>
        <w:t>Meaningful Use Measures</w:t>
      </w:r>
      <w:bookmarkEnd w:id="81"/>
    </w:p>
    <w:p w:rsidR="00C25CBB" w:rsidRPr="00DF721A" w:rsidRDefault="00C25CBB" w:rsidP="00C25CBB"/>
    <w:p w:rsidR="00C25CBB" w:rsidRDefault="00C25CBB" w:rsidP="00C25CBB">
      <w:r>
        <w:t xml:space="preserve">There is a single line item related to </w:t>
      </w:r>
      <w:r w:rsidRPr="005E6F86">
        <w:t>Patient-Specific Education Resources</w:t>
      </w:r>
      <w:r>
        <w:t xml:space="preserve"> i</w:t>
      </w:r>
      <w:r w:rsidR="00663D5A">
        <w:t>n the Stage 2</w:t>
      </w:r>
      <w:r>
        <w:t xml:space="preserve"> list of Meaningful Use Measures. The name of this line item is </w:t>
      </w:r>
      <w:r w:rsidRPr="00B8270D">
        <w:rPr>
          <w:b/>
        </w:rPr>
        <w:t>Patient-Specific Education Resources</w:t>
      </w:r>
      <w:r w:rsidRPr="00FD0136">
        <w:t>.</w:t>
      </w:r>
    </w:p>
    <w:p w:rsidR="00C25CBB" w:rsidRDefault="00C25CBB" w:rsidP="00C25CBB"/>
    <w:p w:rsidR="00C25CBB" w:rsidRDefault="00C25CBB" w:rsidP="00C25CBB"/>
    <w:p w:rsidR="00C25CBB" w:rsidRDefault="00547EF0" w:rsidP="00C25CBB">
      <w:r>
        <w:rPr>
          <w:noProof/>
        </w:rPr>
        <w:drawing>
          <wp:inline distT="0" distB="0" distL="0" distR="0">
            <wp:extent cx="6854190" cy="454025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BA55C9" w:rsidRPr="008B51F5" w:rsidRDefault="00C25CBB" w:rsidP="00C25CBB">
      <w:pPr>
        <w:pStyle w:val="Heading3"/>
      </w:pPr>
      <w:r>
        <w:rPr>
          <w:b w:val="0"/>
        </w:rPr>
        <w:br w:type="page"/>
      </w:r>
      <w:r w:rsidR="00BA55C9" w:rsidRPr="005E6F86">
        <w:t>Patient-Specific Education Resources</w:t>
      </w:r>
      <w:r w:rsidR="00BA55C9" w:rsidRPr="008B51F5">
        <w:t xml:space="preserve">: </w:t>
      </w:r>
      <w:r w:rsidR="009E5746" w:rsidRPr="00AB1945">
        <w:t>Recording of Numerator in Valant</w:t>
      </w:r>
      <w:bookmarkEnd w:id="82"/>
    </w:p>
    <w:p w:rsidR="005E6F86" w:rsidRDefault="005E6F86" w:rsidP="005E6F86"/>
    <w:p w:rsidR="00663D5A" w:rsidRDefault="00663D5A" w:rsidP="00663D5A">
      <w:r>
        <w:t xml:space="preserve">The purpose of this measure is to provide the patient with education materials that have been identified by the CEHRT. This means that, in order to receive credit for the numerator for this measure, the link to the educational material needs to come from within the CEHRT. There are three tabs within the patient chart that Patient-Specific Education Resources are identified in the Valant Premium Psychiatrist Suite: </w:t>
      </w:r>
      <w:r w:rsidRPr="004F555D">
        <w:rPr>
          <w:b/>
        </w:rPr>
        <w:t>Diagnoses</w:t>
      </w:r>
      <w:r>
        <w:t xml:space="preserve">, </w:t>
      </w:r>
      <w:r w:rsidRPr="00687BFD">
        <w:rPr>
          <w:b/>
        </w:rPr>
        <w:t>Medications</w:t>
      </w:r>
      <w:r>
        <w:t xml:space="preserve">, and </w:t>
      </w:r>
      <w:r w:rsidRPr="004F555D">
        <w:rPr>
          <w:b/>
        </w:rPr>
        <w:t>Lab Panels</w:t>
      </w:r>
      <w:r>
        <w:t xml:space="preserve">. </w:t>
      </w:r>
    </w:p>
    <w:p w:rsidR="00663D5A" w:rsidRDefault="00663D5A" w:rsidP="00663D5A"/>
    <w:p w:rsidR="00663D5A" w:rsidRDefault="00663D5A" w:rsidP="00663D5A">
      <w:r>
        <w:t xml:space="preserve">The source used for Patient-Specific Education Resources in the Valant Premium Psychiatrist Suite in </w:t>
      </w:r>
      <w:r w:rsidRPr="00A028F7">
        <w:rPr>
          <w:b/>
        </w:rPr>
        <w:t>MedlinePlus</w:t>
      </w:r>
      <w:r>
        <w:t xml:space="preserve">. The information can be accessed by either using the Infobutton (which appears as a blue circle with an ‘i’ in the center) or by using the context search function (which appears as a link connected to the description). Both options, when used, will allow the EP to indicate that educational material was provided to the patient. </w:t>
      </w:r>
    </w:p>
    <w:p w:rsidR="00663D5A" w:rsidRDefault="00663D5A" w:rsidP="00663D5A"/>
    <w:p w:rsidR="00663D5A" w:rsidRDefault="00663D5A" w:rsidP="00663D5A">
      <w:r>
        <w:t xml:space="preserve">For more information on Patient-Specific Education Resources feature beyond what is described here, please refer to documentation </w:t>
      </w:r>
      <w:r w:rsidRPr="00D377DD">
        <w:rPr>
          <w:highlight w:val="yellow"/>
        </w:rPr>
        <w:t>XXXXX</w:t>
      </w:r>
      <w:r>
        <w:t>.</w:t>
      </w:r>
    </w:p>
    <w:p w:rsidR="00663D5A" w:rsidRDefault="00663D5A" w:rsidP="00663D5A"/>
    <w:p w:rsidR="00663D5A" w:rsidRDefault="00663D5A" w:rsidP="00663D5A"/>
    <w:p w:rsidR="00663D5A" w:rsidRDefault="00663D5A" w:rsidP="00663D5A">
      <w:pPr>
        <w:pStyle w:val="Heading4"/>
      </w:pPr>
      <w:bookmarkStart w:id="83" w:name="_Toc390081358"/>
      <w:r>
        <w:t>Patient-Specific Education Resources: Diagnoses</w:t>
      </w:r>
      <w:bookmarkEnd w:id="83"/>
    </w:p>
    <w:p w:rsidR="00663D5A" w:rsidRDefault="00663D5A" w:rsidP="00663D5A"/>
    <w:p w:rsidR="00663D5A" w:rsidRDefault="00663D5A" w:rsidP="00663D5A">
      <w:r>
        <w:t xml:space="preserve">Patient-Specific Education Resources are identified in the patient chart under the </w:t>
      </w:r>
      <w:r w:rsidRPr="00D93A57">
        <w:rPr>
          <w:b/>
        </w:rPr>
        <w:t>Diagnoses</w:t>
      </w:r>
      <w:r>
        <w:t xml:space="preserve"> tab. </w:t>
      </w:r>
    </w:p>
    <w:p w:rsidR="00663D5A" w:rsidRDefault="00663D5A" w:rsidP="00663D5A"/>
    <w:p w:rsidR="00663D5A" w:rsidRDefault="00663D5A" w:rsidP="00663D5A">
      <w:r>
        <w:rPr>
          <w:noProof/>
        </w:rPr>
        <w:drawing>
          <wp:inline distT="0" distB="0" distL="0" distR="0" wp14:anchorId="15931D9B" wp14:editId="47E38971">
            <wp:extent cx="6877685" cy="325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77685" cy="325755"/>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r>
        <w:t xml:space="preserve">Any diagnosis that has been entered for a patient will have both an Infobutton icon (which appears as a blue circle with an ‘i’ in the center) and a link for the code and description. Clicking on either the Infobutton or the link will open a new tab in the browser and provide education resources for this diagnosis. </w:t>
      </w:r>
    </w:p>
    <w:p w:rsidR="00663D5A" w:rsidRDefault="00663D5A" w:rsidP="00663D5A"/>
    <w:p w:rsidR="00663D5A" w:rsidRDefault="00663D5A" w:rsidP="00663D5A">
      <w:pPr>
        <w:jc w:val="center"/>
      </w:pPr>
      <w:r>
        <w:rPr>
          <w:noProof/>
        </w:rPr>
        <w:drawing>
          <wp:inline distT="0" distB="0" distL="0" distR="0" wp14:anchorId="7F1C8E7C" wp14:editId="05933478">
            <wp:extent cx="4619625" cy="61214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9625" cy="612140"/>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p w:rsidR="00663D5A" w:rsidRDefault="00663D5A" w:rsidP="00663D5A">
      <w:r>
        <w:t xml:space="preserve">Once the link has been clicked, the user will be able to indicate that the Patient-Specific Education Resources identified were provided to the patient. Choosing </w:t>
      </w:r>
      <w:r w:rsidRPr="00656CD6">
        <w:rPr>
          <w:b/>
        </w:rPr>
        <w:t>Yes</w:t>
      </w:r>
      <w:r>
        <w:t xml:space="preserve"> from this dialogue window will allow for the patient to be eligible to appear in the numerator for this measure.</w:t>
      </w:r>
    </w:p>
    <w:p w:rsidR="00663D5A" w:rsidRDefault="00663D5A" w:rsidP="00663D5A"/>
    <w:p w:rsidR="00663D5A" w:rsidRDefault="00663D5A" w:rsidP="00663D5A">
      <w:pPr>
        <w:jc w:val="center"/>
      </w:pPr>
      <w:r>
        <w:rPr>
          <w:noProof/>
        </w:rPr>
        <w:drawing>
          <wp:inline distT="0" distB="0" distL="0" distR="0" wp14:anchorId="7B509803" wp14:editId="5DE4A2AD">
            <wp:extent cx="4142740" cy="13360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2740" cy="1336040"/>
                    </a:xfrm>
                    <a:prstGeom prst="rect">
                      <a:avLst/>
                    </a:prstGeom>
                    <a:noFill/>
                    <a:ln>
                      <a:noFill/>
                    </a:ln>
                  </pic:spPr>
                </pic:pic>
              </a:graphicData>
            </a:graphic>
          </wp:inline>
        </w:drawing>
      </w:r>
    </w:p>
    <w:p w:rsidR="00663D5A" w:rsidRDefault="00663D5A" w:rsidP="00663D5A"/>
    <w:p w:rsidR="00663D5A" w:rsidRDefault="00663D5A" w:rsidP="00663D5A">
      <w:r>
        <w:br w:type="page"/>
      </w:r>
    </w:p>
    <w:p w:rsidR="00663D5A" w:rsidRDefault="00663D5A" w:rsidP="00663D5A">
      <w:pPr>
        <w:pStyle w:val="Heading4"/>
      </w:pPr>
      <w:bookmarkStart w:id="84" w:name="_Toc390081359"/>
      <w:r>
        <w:t>Patient-Specific Education Resources: Medications</w:t>
      </w:r>
      <w:bookmarkEnd w:id="84"/>
    </w:p>
    <w:p w:rsidR="00663D5A" w:rsidRDefault="00663D5A" w:rsidP="00663D5A"/>
    <w:p w:rsidR="00663D5A" w:rsidRDefault="00663D5A" w:rsidP="00663D5A">
      <w:r>
        <w:t xml:space="preserve">Patient-Specific Education Resources are identified in the patient chart under the </w:t>
      </w:r>
      <w:r>
        <w:rPr>
          <w:b/>
        </w:rPr>
        <w:t>Medications</w:t>
      </w:r>
      <w:r>
        <w:t xml:space="preserve"> tab. </w:t>
      </w:r>
    </w:p>
    <w:p w:rsidR="00663D5A" w:rsidRDefault="00663D5A" w:rsidP="00663D5A"/>
    <w:p w:rsidR="00663D5A" w:rsidRDefault="00663D5A" w:rsidP="00663D5A">
      <w:r>
        <w:rPr>
          <w:noProof/>
        </w:rPr>
        <w:drawing>
          <wp:inline distT="0" distB="0" distL="0" distR="0" wp14:anchorId="27419CCB" wp14:editId="1B28D856">
            <wp:extent cx="6854190" cy="278130"/>
            <wp:effectExtent l="0" t="0" r="381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4190" cy="278130"/>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r>
        <w:t xml:space="preserve">Any medication that has been entered for a patient will have both an Infobutton icon (which appears as a blue circle with an ‘i’ in the center) and a link for the code and description. Clicking on either the Infobutton or the link will open a new tab in the browser and provide education resources for this medication. </w:t>
      </w:r>
    </w:p>
    <w:p w:rsidR="00663D5A" w:rsidRDefault="00663D5A" w:rsidP="00663D5A"/>
    <w:p w:rsidR="00663D5A" w:rsidRDefault="00663D5A" w:rsidP="00663D5A">
      <w:pPr>
        <w:jc w:val="center"/>
      </w:pPr>
      <w:r>
        <w:rPr>
          <w:noProof/>
        </w:rPr>
        <w:drawing>
          <wp:inline distT="0" distB="0" distL="0" distR="0" wp14:anchorId="090024C0" wp14:editId="658E947E">
            <wp:extent cx="6854190" cy="795020"/>
            <wp:effectExtent l="0" t="0" r="381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4190" cy="795020"/>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p w:rsidR="00663D5A" w:rsidRDefault="00663D5A" w:rsidP="00663D5A">
      <w:r>
        <w:t xml:space="preserve">Once the link has been clicked, the user will be able to indicate that the Patient-Specific Education Resources identified were provided to the patient. Choosing </w:t>
      </w:r>
      <w:r w:rsidRPr="00656CD6">
        <w:rPr>
          <w:b/>
        </w:rPr>
        <w:t>Yes</w:t>
      </w:r>
      <w:r>
        <w:t xml:space="preserve"> from this dialogue window will allow for the patient to be eligible to appear in the numerator for this measure.</w:t>
      </w:r>
    </w:p>
    <w:p w:rsidR="00663D5A" w:rsidRDefault="00663D5A" w:rsidP="00663D5A"/>
    <w:p w:rsidR="00663D5A" w:rsidRDefault="00663D5A" w:rsidP="00663D5A">
      <w:pPr>
        <w:jc w:val="center"/>
      </w:pPr>
      <w:r>
        <w:rPr>
          <w:noProof/>
        </w:rPr>
        <w:drawing>
          <wp:inline distT="0" distB="0" distL="0" distR="0" wp14:anchorId="29E38F33" wp14:editId="19F960CF">
            <wp:extent cx="4142740" cy="13360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2740" cy="1336040"/>
                    </a:xfrm>
                    <a:prstGeom prst="rect">
                      <a:avLst/>
                    </a:prstGeom>
                    <a:noFill/>
                    <a:ln>
                      <a:noFill/>
                    </a:ln>
                  </pic:spPr>
                </pic:pic>
              </a:graphicData>
            </a:graphic>
          </wp:inline>
        </w:drawing>
      </w:r>
    </w:p>
    <w:p w:rsidR="00663D5A" w:rsidRDefault="00663D5A" w:rsidP="00663D5A"/>
    <w:p w:rsidR="00663D5A" w:rsidRDefault="00663D5A" w:rsidP="00663D5A">
      <w:pPr>
        <w:pStyle w:val="Heading4"/>
      </w:pPr>
      <w:r>
        <w:br w:type="page"/>
      </w:r>
    </w:p>
    <w:p w:rsidR="00663D5A" w:rsidRDefault="00663D5A" w:rsidP="00663D5A">
      <w:pPr>
        <w:pStyle w:val="Heading4"/>
      </w:pPr>
      <w:bookmarkStart w:id="85" w:name="_Toc390081360"/>
      <w:r>
        <w:t>Patient-Specific Education Resources: Lab Panels</w:t>
      </w:r>
      <w:bookmarkEnd w:id="85"/>
    </w:p>
    <w:p w:rsidR="00663D5A" w:rsidRDefault="00663D5A" w:rsidP="00663D5A"/>
    <w:p w:rsidR="00663D5A" w:rsidRDefault="00663D5A" w:rsidP="00663D5A">
      <w:r>
        <w:t xml:space="preserve">Patient-Specific Education Resources are identified in the patient chart under the </w:t>
      </w:r>
      <w:r>
        <w:rPr>
          <w:b/>
        </w:rPr>
        <w:t>Lab Panels</w:t>
      </w:r>
      <w:r>
        <w:t xml:space="preserve"> tab.</w:t>
      </w:r>
    </w:p>
    <w:p w:rsidR="00663D5A" w:rsidRDefault="00663D5A" w:rsidP="00663D5A"/>
    <w:p w:rsidR="00663D5A" w:rsidRDefault="00663D5A" w:rsidP="00663D5A">
      <w:r>
        <w:rPr>
          <w:noProof/>
        </w:rPr>
        <w:drawing>
          <wp:inline distT="0" distB="0" distL="0" distR="0" wp14:anchorId="0F03B168" wp14:editId="1BB98BD8">
            <wp:extent cx="6854190" cy="27813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4190" cy="278130"/>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r>
        <w:t>Any lab panel that has been entered for a patient will have various measurements associated with it. Each measurement tied to a Lab Panel will have both an Infobutton icon (which appears as a blue circle with an ‘i’ in the center) and a link for the code and description. Clicking on either the Infobutton or the link will open a new tab in the browser and provide education resources for this medication.</w:t>
      </w:r>
    </w:p>
    <w:p w:rsidR="00663D5A" w:rsidRDefault="00663D5A" w:rsidP="00663D5A"/>
    <w:p w:rsidR="00663D5A" w:rsidRPr="00894513" w:rsidRDefault="00663D5A" w:rsidP="00663D5A">
      <w:pPr>
        <w:rPr>
          <w:b/>
          <w:color w:val="FF0000"/>
        </w:rPr>
      </w:pPr>
      <w:r w:rsidRPr="00894513">
        <w:rPr>
          <w:b/>
          <w:color w:val="FF0000"/>
        </w:rPr>
        <w:t xml:space="preserve">NOTE: Lab Panel values must have a valid LOINC code entered for the result in order for the patient education material to reference correctly. This means that care must be taken when entering new Measurement Types so as to ensure that the proper LOINC code is tied to each lab result.  </w:t>
      </w:r>
    </w:p>
    <w:p w:rsidR="00663D5A" w:rsidRDefault="00663D5A" w:rsidP="00663D5A"/>
    <w:p w:rsidR="00663D5A" w:rsidRDefault="00663D5A" w:rsidP="00663D5A">
      <w:pPr>
        <w:jc w:val="center"/>
      </w:pPr>
      <w:r>
        <w:rPr>
          <w:noProof/>
        </w:rPr>
        <w:drawing>
          <wp:inline distT="0" distB="0" distL="0" distR="0" wp14:anchorId="3836A5A0" wp14:editId="237CC1E5">
            <wp:extent cx="6854190" cy="2989580"/>
            <wp:effectExtent l="0" t="0" r="381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4190" cy="2989580"/>
                    </a:xfrm>
                    <a:prstGeom prst="rect">
                      <a:avLst/>
                    </a:prstGeom>
                    <a:noFill/>
                    <a:ln>
                      <a:noFill/>
                    </a:ln>
                  </pic:spPr>
                </pic:pic>
              </a:graphicData>
            </a:graphic>
          </wp:inline>
        </w:drawing>
      </w:r>
    </w:p>
    <w:p w:rsidR="00663D5A" w:rsidRDefault="00663D5A" w:rsidP="00663D5A"/>
    <w:p w:rsidR="00663D5A" w:rsidRDefault="00663D5A" w:rsidP="00663D5A"/>
    <w:p w:rsidR="00663D5A" w:rsidRDefault="00663D5A" w:rsidP="00663D5A"/>
    <w:p w:rsidR="00663D5A" w:rsidRDefault="00663D5A" w:rsidP="00663D5A">
      <w:r>
        <w:t xml:space="preserve">Once the link has been clicked, the user will be able to indicate that the Patient-Specific Education Resources identified were provided to the patient. Choosing </w:t>
      </w:r>
      <w:r w:rsidRPr="00656CD6">
        <w:rPr>
          <w:b/>
        </w:rPr>
        <w:t>Yes</w:t>
      </w:r>
      <w:r>
        <w:t xml:space="preserve"> from this dialogue window will allow for the patient to be eligible to appear in the numerator for this measure.</w:t>
      </w:r>
    </w:p>
    <w:p w:rsidR="00663D5A" w:rsidRDefault="00663D5A" w:rsidP="00663D5A"/>
    <w:p w:rsidR="00663D5A" w:rsidRDefault="00663D5A" w:rsidP="00663D5A">
      <w:pPr>
        <w:jc w:val="center"/>
      </w:pPr>
      <w:r>
        <w:rPr>
          <w:noProof/>
        </w:rPr>
        <w:drawing>
          <wp:inline distT="0" distB="0" distL="0" distR="0" wp14:anchorId="04272EB5" wp14:editId="6E37984A">
            <wp:extent cx="4142740" cy="13360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2740" cy="1336040"/>
                    </a:xfrm>
                    <a:prstGeom prst="rect">
                      <a:avLst/>
                    </a:prstGeom>
                    <a:noFill/>
                    <a:ln>
                      <a:noFill/>
                    </a:ln>
                  </pic:spPr>
                </pic:pic>
              </a:graphicData>
            </a:graphic>
          </wp:inline>
        </w:drawing>
      </w:r>
    </w:p>
    <w:p w:rsidR="002C401D" w:rsidRDefault="002C401D" w:rsidP="002C401D">
      <w:pPr>
        <w:pStyle w:val="Heading4"/>
      </w:pPr>
      <w:r>
        <w:br w:type="page"/>
      </w:r>
    </w:p>
    <w:p w:rsidR="002C401D" w:rsidRDefault="002C401D" w:rsidP="002C401D">
      <w:pPr>
        <w:pStyle w:val="Heading4"/>
      </w:pPr>
      <w:bookmarkStart w:id="86" w:name="_Toc390171195"/>
      <w:r>
        <w:t>Patient-Specific Education Resources: MedlinePlus</w:t>
      </w:r>
      <w:bookmarkEnd w:id="86"/>
    </w:p>
    <w:p w:rsidR="002C401D" w:rsidRDefault="002C401D" w:rsidP="005E6F86"/>
    <w:p w:rsidR="00D93A57" w:rsidRDefault="00BF26E0" w:rsidP="005E6F86">
      <w:r>
        <w:t>The Valant Premium Psychiatrist Suite uses MedlinePlus for Patient-Specific Education Resources. Medline Plus is a website hosted by the National Library of Medicine, a part of the National Institutes of Health,</w:t>
      </w:r>
      <w:r w:rsidRPr="00BF26E0">
        <w:t xml:space="preserve"> </w:t>
      </w:r>
      <w:r>
        <w:t xml:space="preserve">and was created to be the authoritative location for health information. </w:t>
      </w:r>
      <w:r w:rsidR="00984586">
        <w:t xml:space="preserve">Clicking on the link for either diagnosis or lab panel measurement </w:t>
      </w:r>
      <w:r w:rsidR="00F16CCC">
        <w:t xml:space="preserve">in the Valant Premium Psychiatrist Suite </w:t>
      </w:r>
      <w:r w:rsidR="00984586">
        <w:t xml:space="preserve">will open the corresponding page in MedlinePlus. From here, the EP is able to choose what </w:t>
      </w:r>
      <w:r w:rsidR="002E4AAB">
        <w:t>education resources</w:t>
      </w:r>
      <w:r w:rsidR="00984586">
        <w:t xml:space="preserve"> to convey to their patients </w:t>
      </w:r>
      <w:r w:rsidR="002E4AAB">
        <w:t>based on the information presented by MedlinePlus.</w:t>
      </w:r>
    </w:p>
    <w:p w:rsidR="00A61B9A" w:rsidRDefault="00A61B9A" w:rsidP="005E6F86"/>
    <w:p w:rsidR="00D93A57" w:rsidRDefault="00D93A57" w:rsidP="005E6F86"/>
    <w:p w:rsidR="00984586" w:rsidRDefault="00A61B9A" w:rsidP="00984586">
      <w:pPr>
        <w:jc w:val="center"/>
        <w:rPr>
          <w:noProof/>
        </w:rPr>
      </w:pPr>
      <w:r>
        <w:rPr>
          <w:noProof/>
        </w:rPr>
        <w:drawing>
          <wp:inline distT="0" distB="0" distL="0" distR="0" wp14:anchorId="0971DBB4" wp14:editId="70064FF2">
            <wp:extent cx="4531644" cy="3085106"/>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31915" cy="3085290"/>
                    </a:xfrm>
                    <a:prstGeom prst="rect">
                      <a:avLst/>
                    </a:prstGeom>
                    <a:noFill/>
                    <a:ln>
                      <a:noFill/>
                    </a:ln>
                  </pic:spPr>
                </pic:pic>
              </a:graphicData>
            </a:graphic>
          </wp:inline>
        </w:drawing>
      </w:r>
    </w:p>
    <w:p w:rsidR="002E4AAB" w:rsidRDefault="002E4AAB" w:rsidP="00984586">
      <w:pPr>
        <w:jc w:val="center"/>
        <w:rPr>
          <w:noProof/>
        </w:rPr>
      </w:pPr>
    </w:p>
    <w:p w:rsidR="002E4AAB" w:rsidRDefault="002E4AAB" w:rsidP="00984586">
      <w:pPr>
        <w:jc w:val="center"/>
        <w:rPr>
          <w:noProof/>
        </w:rPr>
      </w:pPr>
    </w:p>
    <w:p w:rsidR="00A61B9A" w:rsidRDefault="00A61B9A" w:rsidP="00984586">
      <w:pPr>
        <w:jc w:val="center"/>
        <w:rPr>
          <w:noProof/>
        </w:rPr>
      </w:pPr>
    </w:p>
    <w:p w:rsidR="00E47F9F" w:rsidRDefault="00984586" w:rsidP="00984586">
      <w:pPr>
        <w:jc w:val="center"/>
      </w:pPr>
      <w:r>
        <w:rPr>
          <w:noProof/>
        </w:rPr>
        <w:drawing>
          <wp:inline distT="0" distB="0" distL="0" distR="0" wp14:anchorId="3D35E2A9" wp14:editId="57454EE0">
            <wp:extent cx="5080883" cy="3456736"/>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6229" cy="3460373"/>
                    </a:xfrm>
                    <a:prstGeom prst="rect">
                      <a:avLst/>
                    </a:prstGeom>
                    <a:noFill/>
                    <a:ln>
                      <a:noFill/>
                    </a:ln>
                  </pic:spPr>
                </pic:pic>
              </a:graphicData>
            </a:graphic>
          </wp:inline>
        </w:drawing>
      </w:r>
    </w:p>
    <w:p w:rsidR="00E47F9F" w:rsidRDefault="00E47F9F">
      <w:r>
        <w:br w:type="page"/>
      </w:r>
    </w:p>
    <w:p w:rsidR="00A61B9A" w:rsidRDefault="00E47F9F" w:rsidP="00E47F9F">
      <w:pPr>
        <w:pStyle w:val="Heading2"/>
      </w:pPr>
      <w:bookmarkStart w:id="87" w:name="_Toc390171196"/>
      <w:r w:rsidRPr="006F3743">
        <w:t>Stage 2 - Core #14: Medication Reconciliation</w:t>
      </w:r>
      <w:bookmarkEnd w:id="87"/>
      <w:r w:rsidRPr="006F3743">
        <w:t xml:space="preserve"> </w:t>
      </w:r>
    </w:p>
    <w:p w:rsidR="00E47F9F" w:rsidRDefault="00E47F9F" w:rsidP="00E47F9F"/>
    <w:tbl>
      <w:tblPr>
        <w:tblW w:w="10905" w:type="dxa"/>
        <w:tblInd w:w="93" w:type="dxa"/>
        <w:tblLook w:val="04A0" w:firstRow="1" w:lastRow="0" w:firstColumn="1" w:lastColumn="0" w:noHBand="0" w:noVBand="1"/>
      </w:tblPr>
      <w:tblGrid>
        <w:gridCol w:w="1340"/>
        <w:gridCol w:w="9565"/>
      </w:tblGrid>
      <w:tr w:rsidR="008A5207" w:rsidRPr="008A5207" w:rsidTr="008A5207">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8A5207" w:rsidRPr="00E47F9F" w:rsidRDefault="008A5207" w:rsidP="00E47F9F">
            <w:pPr>
              <w:rPr>
                <w:b/>
              </w:rPr>
            </w:pPr>
            <w:r w:rsidRPr="00E47F9F">
              <w:rPr>
                <w:b/>
                <w:color w:val="FFFFFF" w:themeColor="background1"/>
                <w:sz w:val="32"/>
              </w:rPr>
              <w:t xml:space="preserve">Medication Reconciliation </w:t>
            </w:r>
          </w:p>
        </w:tc>
      </w:tr>
      <w:tr w:rsidR="008A5207" w:rsidRPr="008A5207" w:rsidTr="008A5207">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The EP who receives a patient from another setting of care or provider of care or believes an encounter is relevant should perform medication reconciliation</w:t>
            </w:r>
          </w:p>
        </w:tc>
      </w:tr>
      <w:tr w:rsidR="008A5207" w:rsidRPr="008A5207" w:rsidTr="008A5207">
        <w:trPr>
          <w:trHeight w:val="300"/>
        </w:trPr>
        <w:tc>
          <w:tcPr>
            <w:tcW w:w="1340" w:type="dxa"/>
            <w:vMerge/>
            <w:tcBorders>
              <w:top w:val="nil"/>
              <w:left w:val="single" w:sz="4" w:space="0" w:color="auto"/>
              <w:bottom w:val="nil"/>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340" w:type="dxa"/>
            <w:vMerge/>
            <w:tcBorders>
              <w:top w:val="nil"/>
              <w:left w:val="single" w:sz="4" w:space="0" w:color="auto"/>
              <w:bottom w:val="nil"/>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The EP who performs medication reconciliation for more than 50 percent of transitions of care in which the patient is transitioned into the care of the EP</w:t>
            </w:r>
          </w:p>
        </w:tc>
      </w:tr>
      <w:tr w:rsidR="008A5207" w:rsidRPr="008A5207" w:rsidTr="008A5207">
        <w:trPr>
          <w:trHeight w:val="300"/>
        </w:trPr>
        <w:tc>
          <w:tcPr>
            <w:tcW w:w="1340" w:type="dxa"/>
            <w:vMerge/>
            <w:tcBorders>
              <w:top w:val="single" w:sz="4" w:space="0" w:color="auto"/>
              <w:left w:val="single" w:sz="4" w:space="0" w:color="auto"/>
              <w:bottom w:val="single" w:sz="4" w:space="0" w:color="000000"/>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340" w:type="dxa"/>
            <w:vMerge/>
            <w:tcBorders>
              <w:top w:val="single" w:sz="4" w:space="0" w:color="auto"/>
              <w:left w:val="single" w:sz="4" w:space="0" w:color="auto"/>
              <w:bottom w:val="single" w:sz="4" w:space="0" w:color="000000"/>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340" w:type="dxa"/>
            <w:vMerge w:val="restart"/>
            <w:tcBorders>
              <w:top w:val="nil"/>
              <w:left w:val="single" w:sz="4" w:space="0" w:color="auto"/>
              <w:bottom w:val="nil"/>
              <w:right w:val="nil"/>
            </w:tcBorders>
            <w:shd w:val="clear" w:color="000000" w:fill="1F497D"/>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Any EP who was not the recipient of any transitions of care during the EHR reporting period</w:t>
            </w:r>
          </w:p>
        </w:tc>
      </w:tr>
      <w:tr w:rsidR="008A5207" w:rsidRPr="008A5207" w:rsidTr="008A5207">
        <w:trPr>
          <w:trHeight w:val="300"/>
        </w:trPr>
        <w:tc>
          <w:tcPr>
            <w:tcW w:w="1340" w:type="dxa"/>
            <w:vMerge/>
            <w:tcBorders>
              <w:top w:val="nil"/>
              <w:left w:val="single" w:sz="4" w:space="0" w:color="auto"/>
              <w:bottom w:val="nil"/>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340" w:type="dxa"/>
            <w:vMerge/>
            <w:tcBorders>
              <w:top w:val="nil"/>
              <w:left w:val="single" w:sz="4" w:space="0" w:color="auto"/>
              <w:bottom w:val="nil"/>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bl>
    <w:p w:rsidR="00381149" w:rsidRDefault="00381149" w:rsidP="00A61B9A"/>
    <w:p w:rsidR="00381149" w:rsidRDefault="00381149" w:rsidP="00A61B9A"/>
    <w:tbl>
      <w:tblPr>
        <w:tblW w:w="10905" w:type="dxa"/>
        <w:tblInd w:w="93" w:type="dxa"/>
        <w:tblLook w:val="04A0" w:firstRow="1" w:lastRow="0" w:firstColumn="1" w:lastColumn="0" w:noHBand="0" w:noVBand="1"/>
      </w:tblPr>
      <w:tblGrid>
        <w:gridCol w:w="1435"/>
        <w:gridCol w:w="9470"/>
      </w:tblGrid>
      <w:tr w:rsidR="008A5207" w:rsidRPr="008A5207" w:rsidTr="008A5207">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8A5207" w:rsidRPr="008A5207" w:rsidRDefault="008A5207" w:rsidP="008A5207">
            <w:pPr>
              <w:rPr>
                <w:rFonts w:ascii="Calibri" w:eastAsia="Times New Roman" w:hAnsi="Calibri" w:cs="Times New Roman"/>
                <w:b/>
                <w:bCs/>
                <w:color w:val="FFFFFF"/>
                <w:sz w:val="28"/>
                <w:szCs w:val="28"/>
              </w:rPr>
            </w:pPr>
            <w:r w:rsidRPr="008A5207">
              <w:rPr>
                <w:rFonts w:ascii="Calibri" w:eastAsia="Times New Roman" w:hAnsi="Calibri" w:cs="Times New Roman"/>
                <w:b/>
                <w:bCs/>
                <w:color w:val="FFFFFF"/>
                <w:sz w:val="28"/>
                <w:szCs w:val="28"/>
              </w:rPr>
              <w:t>Medication Reconciliation</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r w:rsidRPr="008A5207">
              <w:rPr>
                <w:rFonts w:ascii="Calibri" w:eastAsia="Times New Roman" w:hAnsi="Calibri" w:cs="Times New Roman"/>
                <w:b/>
                <w:bCs/>
                <w:color w:val="FFFFFF"/>
                <w:sz w:val="28"/>
                <w:szCs w:val="28"/>
              </w:rPr>
              <w:t xml:space="preserve"> </w:t>
            </w:r>
          </w:p>
        </w:tc>
      </w:tr>
      <w:tr w:rsidR="008A5207" w:rsidRPr="008A5207" w:rsidTr="008A5207">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Number of transitions of care during the EHR reporting period for which the EP was the receiving party of the transition</w:t>
            </w:r>
          </w:p>
        </w:tc>
      </w:tr>
      <w:tr w:rsidR="008A5207" w:rsidRPr="008A5207" w:rsidTr="008A5207">
        <w:trPr>
          <w:trHeight w:val="300"/>
        </w:trPr>
        <w:tc>
          <w:tcPr>
            <w:tcW w:w="1435" w:type="dxa"/>
            <w:vMerge/>
            <w:tcBorders>
              <w:top w:val="nil"/>
              <w:left w:val="single" w:sz="4" w:space="0" w:color="auto"/>
              <w:bottom w:val="single" w:sz="4" w:space="0" w:color="000000"/>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The number of transitions of care in the denominator where medication reconciliation was performed</w:t>
            </w:r>
          </w:p>
        </w:tc>
      </w:tr>
      <w:tr w:rsidR="008A5207" w:rsidRPr="008A5207" w:rsidTr="008A5207">
        <w:trPr>
          <w:trHeight w:val="300"/>
        </w:trPr>
        <w:tc>
          <w:tcPr>
            <w:tcW w:w="1435" w:type="dxa"/>
            <w:vMerge/>
            <w:tcBorders>
              <w:top w:val="nil"/>
              <w:left w:val="single" w:sz="4" w:space="0" w:color="auto"/>
              <w:bottom w:val="single" w:sz="4" w:space="0" w:color="000000"/>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r w:rsidR="008A5207" w:rsidRPr="008A5207" w:rsidTr="008A5207">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8A5207" w:rsidRPr="008A5207" w:rsidRDefault="008A5207" w:rsidP="008A5207">
            <w:pPr>
              <w:jc w:val="right"/>
              <w:rPr>
                <w:rFonts w:ascii="Calibri" w:eastAsia="Times New Roman" w:hAnsi="Calibri" w:cs="Times New Roman"/>
                <w:b/>
                <w:bCs/>
                <w:color w:val="FFFFFF"/>
              </w:rPr>
            </w:pPr>
            <w:r w:rsidRPr="008A5207">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8A5207" w:rsidRPr="008A5207" w:rsidRDefault="008A5207" w:rsidP="008A5207">
            <w:pPr>
              <w:rPr>
                <w:rFonts w:ascii="Calibri" w:eastAsia="Times New Roman" w:hAnsi="Calibri" w:cs="Times New Roman"/>
                <w:color w:val="000000"/>
              </w:rPr>
            </w:pPr>
            <w:r w:rsidRPr="008A5207">
              <w:rPr>
                <w:rFonts w:ascii="Calibri" w:eastAsia="Times New Roman" w:hAnsi="Calibri" w:cs="Times New Roman"/>
                <w:color w:val="000000"/>
              </w:rPr>
              <w:t>The resulting percentage must be more than 50 percent in order for an EP to meet this measure</w:t>
            </w:r>
          </w:p>
        </w:tc>
      </w:tr>
      <w:tr w:rsidR="008A5207" w:rsidRPr="008A5207" w:rsidTr="008A5207">
        <w:trPr>
          <w:trHeight w:val="300"/>
        </w:trPr>
        <w:tc>
          <w:tcPr>
            <w:tcW w:w="1435" w:type="dxa"/>
            <w:vMerge/>
            <w:tcBorders>
              <w:top w:val="nil"/>
              <w:left w:val="single" w:sz="4" w:space="0" w:color="auto"/>
              <w:bottom w:val="single" w:sz="4" w:space="0" w:color="000000"/>
              <w:right w:val="nil"/>
            </w:tcBorders>
            <w:vAlign w:val="center"/>
            <w:hideMark/>
          </w:tcPr>
          <w:p w:rsidR="008A5207" w:rsidRPr="008A5207" w:rsidRDefault="008A5207" w:rsidP="008A5207">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8A5207" w:rsidRPr="008A5207" w:rsidRDefault="008A5207" w:rsidP="008A5207">
            <w:pPr>
              <w:rPr>
                <w:rFonts w:ascii="Calibri" w:eastAsia="Times New Roman" w:hAnsi="Calibri" w:cs="Times New Roman"/>
                <w:color w:val="000000"/>
              </w:rPr>
            </w:pPr>
          </w:p>
        </w:tc>
      </w:tr>
    </w:tbl>
    <w:p w:rsidR="00381149" w:rsidRDefault="00381149" w:rsidP="00A61B9A"/>
    <w:p w:rsidR="000C1149" w:rsidRDefault="000C1149" w:rsidP="00A61B9A"/>
    <w:p w:rsidR="00381149" w:rsidRDefault="00381149" w:rsidP="00A61B9A"/>
    <w:p w:rsidR="000C1149" w:rsidRDefault="000C1149" w:rsidP="000C1149">
      <w:pPr>
        <w:pStyle w:val="Heading3"/>
      </w:pPr>
      <w:bookmarkStart w:id="88" w:name="_Toc390081363"/>
      <w:r w:rsidRPr="00E33F5B">
        <w:t>Medication Reconciliation</w:t>
      </w:r>
      <w:bookmarkEnd w:id="88"/>
      <w:r w:rsidRPr="00E33F5B">
        <w:t>: Explanation of Measure</w:t>
      </w:r>
    </w:p>
    <w:p w:rsidR="000C1149" w:rsidRPr="009479CA" w:rsidRDefault="000C1149" w:rsidP="000C1149"/>
    <w:p w:rsidR="000C1149" w:rsidRDefault="000C1149" w:rsidP="000C1149">
      <w:r>
        <w:t xml:space="preserve">This measure is based the number of Medication Reconciliations performed through transitions of care received by the EP during the reporting period. Ostensibly, this measure is based on work down by the EP on patients transferring into their care from another provider. This means that, based on the transfers that have occurred, the same patient can count towards both the numerator and denominator multiple times during a reporting period for an individual EP. As such, care should be taken to ensure that the proper work is done to ensure that the EP will meet the threshold for this measure.  </w:t>
      </w:r>
    </w:p>
    <w:p w:rsidR="000C1149" w:rsidRDefault="000C1149" w:rsidP="000C1149"/>
    <w:p w:rsidR="000C1149" w:rsidRDefault="000C1149" w:rsidP="000C1149">
      <w:r>
        <w:t xml:space="preserve">For each transfer of care received by the EP, a Medication Reconciliation is required to be performed in order for the transfer to count towards the numerator for this measure. If the same patient transferred into care for the same EP more than once during the reporting period, a Medication Reconciliation must be performed for each unique transfer in order to receive credit for the numerator for that transfer. </w:t>
      </w:r>
    </w:p>
    <w:p w:rsidR="000C1149" w:rsidRDefault="000C1149" w:rsidP="000C1149"/>
    <w:p w:rsidR="000C1149" w:rsidRDefault="000C1149" w:rsidP="000C1149">
      <w:r>
        <w:t xml:space="preserve">Each EP will need to perform a Medication Reconciliation for each Transfer of Care they received during the reporting period in order to receive credit for the numerator for this measure. If more than one EP has received a Transfer of Care with the same patient during the reporting period, then each EP will need to provide their own Medication Reconciliation with the transfer in order for that transfer to count towards the numerator for that EP.  </w:t>
      </w:r>
    </w:p>
    <w:p w:rsidR="000C1149" w:rsidRDefault="000C1149" w:rsidP="000C1149">
      <w:r>
        <w:br w:type="page"/>
      </w:r>
    </w:p>
    <w:p w:rsidR="000C1149" w:rsidRPr="004736F7" w:rsidRDefault="000C1149" w:rsidP="000C1149">
      <w:pPr>
        <w:pStyle w:val="Heading3"/>
      </w:pPr>
      <w:r w:rsidRPr="00F51837">
        <w:t>Medication Reconciliation</w:t>
      </w:r>
      <w:r w:rsidRPr="004736F7">
        <w:t xml:space="preserve">: </w:t>
      </w:r>
      <w:r>
        <w:t>Meaningful Use Measures</w:t>
      </w:r>
    </w:p>
    <w:p w:rsidR="000C1149" w:rsidRPr="00DF721A" w:rsidRDefault="000C1149" w:rsidP="000C1149"/>
    <w:p w:rsidR="000C1149" w:rsidRDefault="000C1149" w:rsidP="000C1149">
      <w:r>
        <w:t xml:space="preserve">There is a single line item related to </w:t>
      </w:r>
      <w:r w:rsidRPr="00F51837">
        <w:t xml:space="preserve">Medication Reconciliation </w:t>
      </w:r>
      <w:r w:rsidR="002849A6">
        <w:t>in the Stage 2</w:t>
      </w:r>
      <w:r>
        <w:t xml:space="preserve"> list of Meaningful Use Measures. The name of this line item is </w:t>
      </w:r>
      <w:r w:rsidRPr="00F51837">
        <w:rPr>
          <w:b/>
        </w:rPr>
        <w:t>Medication Reconciliation</w:t>
      </w:r>
      <w:r w:rsidRPr="00FD0136">
        <w:t>.</w:t>
      </w:r>
    </w:p>
    <w:p w:rsidR="000C1149" w:rsidRDefault="000C1149" w:rsidP="000C1149"/>
    <w:p w:rsidR="000C1149" w:rsidRDefault="000C1149" w:rsidP="000C1149"/>
    <w:p w:rsidR="000C1149" w:rsidRDefault="002849A6" w:rsidP="000C1149">
      <w:r>
        <w:rPr>
          <w:noProof/>
        </w:rPr>
        <w:drawing>
          <wp:inline distT="0" distB="0" distL="0" distR="0">
            <wp:extent cx="6854190" cy="4540250"/>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0C1149" w:rsidRPr="004736F7" w:rsidRDefault="000C1149" w:rsidP="000C1149">
      <w:pPr>
        <w:pStyle w:val="Heading3"/>
      </w:pPr>
      <w:r>
        <w:rPr>
          <w:b w:val="0"/>
        </w:rPr>
        <w:br w:type="page"/>
      </w:r>
      <w:r>
        <w:t xml:space="preserve">Medication </w:t>
      </w:r>
      <w:r w:rsidRPr="00F51837">
        <w:t>Reconciliation</w:t>
      </w:r>
      <w:r w:rsidRPr="004736F7">
        <w:t>: Recording of Numerator in Valant</w:t>
      </w:r>
    </w:p>
    <w:p w:rsidR="000C1149" w:rsidRDefault="000C1149" w:rsidP="000C1149"/>
    <w:p w:rsidR="000C1149" w:rsidRDefault="000C1149" w:rsidP="000C1149">
      <w:r>
        <w:t xml:space="preserve">The purpose of this measure is to ensure that a patient has their medications reconciled within the CEHRT when they transfer into the care of an EP during. There are two methods of reconciling medications: using the </w:t>
      </w:r>
      <w:r>
        <w:rPr>
          <w:b/>
        </w:rPr>
        <w:t>Transfer of Care</w:t>
      </w:r>
      <w:r>
        <w:t xml:space="preserve"> tab in the </w:t>
      </w:r>
      <w:r w:rsidRPr="00162DD0">
        <w:rPr>
          <w:b/>
        </w:rPr>
        <w:t>Patient Chart</w:t>
      </w:r>
      <w:r>
        <w:rPr>
          <w:b/>
        </w:rPr>
        <w:t xml:space="preserve"> </w:t>
      </w:r>
      <w:r>
        <w:t xml:space="preserve">or utilizing the </w:t>
      </w:r>
      <w:r>
        <w:rPr>
          <w:b/>
        </w:rPr>
        <w:t xml:space="preserve">Reconcile Summary of Care </w:t>
      </w:r>
      <w:r>
        <w:t xml:space="preserve">feature within </w:t>
      </w:r>
      <w:r>
        <w:rPr>
          <w:b/>
        </w:rPr>
        <w:t>Direct Messaging</w:t>
      </w:r>
      <w:r>
        <w:t xml:space="preserve">. </w:t>
      </w:r>
    </w:p>
    <w:p w:rsidR="000C1149" w:rsidRDefault="000C1149" w:rsidP="000C1149"/>
    <w:p w:rsidR="000C1149" w:rsidRDefault="000C1149" w:rsidP="000C1149"/>
    <w:p w:rsidR="000C1149" w:rsidRDefault="000C1149" w:rsidP="000C1149"/>
    <w:p w:rsidR="000C1149" w:rsidRPr="00043618" w:rsidRDefault="000C1149" w:rsidP="000C1149">
      <w:pPr>
        <w:pStyle w:val="Heading4"/>
      </w:pPr>
      <w:r>
        <w:t xml:space="preserve">Medication </w:t>
      </w:r>
      <w:r w:rsidRPr="00F51837">
        <w:t>Reconciliation</w:t>
      </w:r>
      <w:r>
        <w:t xml:space="preserve">: </w:t>
      </w:r>
      <w:r w:rsidRPr="00043618">
        <w:t>Patient Chart</w:t>
      </w:r>
      <w:r>
        <w:t xml:space="preserve"> &gt; Transfer of Care</w:t>
      </w:r>
    </w:p>
    <w:p w:rsidR="000C1149" w:rsidRDefault="000C1149" w:rsidP="000C1149"/>
    <w:p w:rsidR="000C1149" w:rsidRDefault="000C1149" w:rsidP="000C1149">
      <w:r>
        <w:t xml:space="preserve">A user can indicate that Medication Reconciliation occurred for a patient through the </w:t>
      </w:r>
      <w:r>
        <w:rPr>
          <w:b/>
        </w:rPr>
        <w:t>Transfer of Care</w:t>
      </w:r>
      <w:r>
        <w:t xml:space="preserve"> tab of the patient chart. </w:t>
      </w:r>
    </w:p>
    <w:p w:rsidR="000C1149" w:rsidRDefault="000C1149" w:rsidP="000C1149"/>
    <w:p w:rsidR="000C1149" w:rsidRDefault="000C1149" w:rsidP="000C1149">
      <w:r>
        <w:rPr>
          <w:noProof/>
        </w:rPr>
        <w:drawing>
          <wp:inline distT="0" distB="0" distL="0" distR="0" wp14:anchorId="3D024E87" wp14:editId="1C8B6963">
            <wp:extent cx="6854190" cy="182880"/>
            <wp:effectExtent l="0" t="0" r="381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4190" cy="182880"/>
                    </a:xfrm>
                    <a:prstGeom prst="rect">
                      <a:avLst/>
                    </a:prstGeom>
                    <a:noFill/>
                    <a:ln>
                      <a:noFill/>
                    </a:ln>
                  </pic:spPr>
                </pic:pic>
              </a:graphicData>
            </a:graphic>
          </wp:inline>
        </w:drawing>
      </w:r>
    </w:p>
    <w:p w:rsidR="000C1149" w:rsidRDefault="000C1149" w:rsidP="000C1149"/>
    <w:p w:rsidR="000C1149" w:rsidRDefault="000C1149" w:rsidP="000C1149"/>
    <w:p w:rsidR="000C1149" w:rsidRDefault="000C1149" w:rsidP="000C1149"/>
    <w:p w:rsidR="000C1149" w:rsidRDefault="000C1149" w:rsidP="000C1149">
      <w:r>
        <w:t xml:space="preserve">Choosing the </w:t>
      </w:r>
      <w:r w:rsidRPr="00824153">
        <w:rPr>
          <w:b/>
        </w:rPr>
        <w:t>New Non-Direct Summary of Care</w:t>
      </w:r>
      <w:r>
        <w:t xml:space="preserve"> button located above the </w:t>
      </w:r>
      <w:r w:rsidRPr="00824153">
        <w:rPr>
          <w:b/>
        </w:rPr>
        <w:t>Reconcile Summary of Care (incoming)</w:t>
      </w:r>
      <w:r>
        <w:t xml:space="preserve"> table will begin the process of manually indicating that a Summary of Care occurred for the patient. This option is to be used when a patient transferred into care without the EP receiving a Direct message containing a Summary of Care for the patient. </w:t>
      </w:r>
    </w:p>
    <w:p w:rsidR="000C1149" w:rsidRDefault="000C1149" w:rsidP="000C1149"/>
    <w:p w:rsidR="000C1149" w:rsidRDefault="000C1149" w:rsidP="000C1149">
      <w:r>
        <w:rPr>
          <w:noProof/>
        </w:rPr>
        <w:drawing>
          <wp:inline distT="0" distB="0" distL="0" distR="0" wp14:anchorId="2B56B45D" wp14:editId="38520C82">
            <wp:extent cx="6848475" cy="6572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48475" cy="657225"/>
                    </a:xfrm>
                    <a:prstGeom prst="rect">
                      <a:avLst/>
                    </a:prstGeom>
                    <a:noFill/>
                    <a:ln>
                      <a:noFill/>
                    </a:ln>
                  </pic:spPr>
                </pic:pic>
              </a:graphicData>
            </a:graphic>
          </wp:inline>
        </w:drawing>
      </w:r>
    </w:p>
    <w:p w:rsidR="000C1149" w:rsidRDefault="000C1149" w:rsidP="000C1149"/>
    <w:p w:rsidR="000C1149" w:rsidRDefault="000C1149" w:rsidP="000C1149"/>
    <w:p w:rsidR="000C1149" w:rsidRDefault="000C1149" w:rsidP="000C1149"/>
    <w:p w:rsidR="000C1149" w:rsidRDefault="000C1149" w:rsidP="000C1149"/>
    <w:p w:rsidR="000C1149" w:rsidRDefault="000C1149" w:rsidP="000C1149">
      <w:r>
        <w:t xml:space="preserve">The </w:t>
      </w:r>
      <w:r w:rsidRPr="00890B3F">
        <w:rPr>
          <w:b/>
        </w:rPr>
        <w:t>Edit Summary of Care</w:t>
      </w:r>
      <w:r>
        <w:t xml:space="preserve"> dialogue window will appear once the </w:t>
      </w:r>
      <w:r w:rsidRPr="00890B3F">
        <w:rPr>
          <w:b/>
        </w:rPr>
        <w:t>New Non-Direct Summary of Care</w:t>
      </w:r>
      <w:r>
        <w:t xml:space="preserve"> button is clicked. It is through this window where a transfer of care can be indicated as well as the fact that Medication Reconciliation occurred.  </w:t>
      </w:r>
    </w:p>
    <w:p w:rsidR="000C1149" w:rsidRDefault="000C1149" w:rsidP="000C1149"/>
    <w:p w:rsidR="000C1149" w:rsidRDefault="000C1149" w:rsidP="000C1149">
      <w:pPr>
        <w:jc w:val="center"/>
      </w:pPr>
      <w:r>
        <w:rPr>
          <w:noProof/>
        </w:rPr>
        <w:drawing>
          <wp:inline distT="0" distB="0" distL="0" distR="0" wp14:anchorId="3EB69DF6" wp14:editId="7ED6ABD2">
            <wp:extent cx="5319395" cy="23456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9395" cy="2345690"/>
                    </a:xfrm>
                    <a:prstGeom prst="rect">
                      <a:avLst/>
                    </a:prstGeom>
                    <a:noFill/>
                    <a:ln>
                      <a:noFill/>
                    </a:ln>
                  </pic:spPr>
                </pic:pic>
              </a:graphicData>
            </a:graphic>
          </wp:inline>
        </w:drawing>
      </w:r>
      <w:r>
        <w:br w:type="page"/>
      </w:r>
    </w:p>
    <w:p w:rsidR="000C1149" w:rsidRDefault="000C1149" w:rsidP="000C1149">
      <w:pPr>
        <w:ind w:left="720"/>
      </w:pPr>
      <w:r w:rsidRPr="008610E0">
        <w:rPr>
          <w:b/>
        </w:rPr>
        <w:t>New Patient</w:t>
      </w:r>
      <w:r>
        <w:t xml:space="preserve">: This field is used to indicate that the patient for whom the Transfer of Care was received is new to the practice. If this box is unchecked, it indicates that the patient was already in treatment with the practice when the Transfer of Care was received.  </w:t>
      </w:r>
    </w:p>
    <w:p w:rsidR="000C1149" w:rsidRDefault="000C1149" w:rsidP="000C1149">
      <w:pPr>
        <w:ind w:left="720"/>
      </w:pPr>
    </w:p>
    <w:p w:rsidR="000C1149" w:rsidRDefault="000C1149" w:rsidP="00487787">
      <w:pPr>
        <w:ind w:left="720"/>
      </w:pPr>
      <w:r>
        <w:t xml:space="preserve">This box only has an effect on the Stage 2 version of this measure. </w:t>
      </w:r>
      <w:r w:rsidR="00857FA5">
        <w:t xml:space="preserve">Specifically, this checkbox is used with Summary of Care provided checkbox to determine if the Transfer of Care will count towards the denominator of this measure. </w:t>
      </w:r>
      <w:r w:rsidR="00487787">
        <w:t>See the description of the Summary of Care provided field for more information.</w:t>
      </w:r>
    </w:p>
    <w:p w:rsidR="00487787" w:rsidRDefault="00487787" w:rsidP="00487787">
      <w:pPr>
        <w:ind w:left="720"/>
      </w:pPr>
    </w:p>
    <w:p w:rsidR="000C1149" w:rsidRDefault="000C1149" w:rsidP="000C1149">
      <w:pPr>
        <w:ind w:left="720"/>
      </w:pPr>
      <w:r w:rsidRPr="008610E0">
        <w:rPr>
          <w:b/>
        </w:rPr>
        <w:t>Transfer of Care date</w:t>
      </w:r>
      <w:r>
        <w:t xml:space="preserve">: This field is used to determine when the Transfer of Care occurred. This date must fall within the reporting period in order for the transfer to count towards numerator and/or denominator of this measure.  </w:t>
      </w:r>
    </w:p>
    <w:p w:rsidR="000C1149" w:rsidRDefault="000C1149" w:rsidP="000C1149"/>
    <w:p w:rsidR="000C1149" w:rsidRDefault="000C1149" w:rsidP="000C1149">
      <w:pPr>
        <w:ind w:left="720"/>
      </w:pPr>
      <w:r w:rsidRPr="008610E0">
        <w:rPr>
          <w:b/>
        </w:rPr>
        <w:t>Summary of Care provided</w:t>
      </w:r>
      <w:r>
        <w:t xml:space="preserve">: This field is used to indicate that a Summary of Care was provided along with the patient transitioning into the EP’s care. </w:t>
      </w:r>
    </w:p>
    <w:p w:rsidR="000C1149" w:rsidRDefault="000C1149" w:rsidP="000C1149">
      <w:pPr>
        <w:ind w:left="720"/>
      </w:pPr>
    </w:p>
    <w:p w:rsidR="00857FA5" w:rsidRDefault="00490AF2" w:rsidP="00857FA5">
      <w:pPr>
        <w:ind w:left="720"/>
      </w:pPr>
      <w:r>
        <w:t xml:space="preserve">This box only has an effect on the Stage 2 version of this measure. </w:t>
      </w:r>
      <w:r w:rsidR="00857FA5">
        <w:t xml:space="preserve">If the Summary of Care </w:t>
      </w:r>
      <w:r w:rsidR="00487787">
        <w:t xml:space="preserve">provided </w:t>
      </w:r>
      <w:r w:rsidR="00857FA5">
        <w:t>box is checked, then the Transfer of Care will count towards the denominator of this measure.</w:t>
      </w:r>
      <w:r>
        <w:t xml:space="preserve"> </w:t>
      </w:r>
      <w:r w:rsidR="00857FA5">
        <w:t xml:space="preserve">If the Summary of Care box is unchecked, then the Transfer of Care will only count towards the denominator of this measure if the New Patient box is also checked. </w:t>
      </w:r>
      <w:r w:rsidR="00C41F5B">
        <w:t xml:space="preserve"> </w:t>
      </w:r>
    </w:p>
    <w:p w:rsidR="000C1149" w:rsidRDefault="000C1149" w:rsidP="000C1149"/>
    <w:p w:rsidR="000C1149" w:rsidRDefault="000C1149" w:rsidP="000C1149">
      <w:pPr>
        <w:ind w:left="720"/>
      </w:pPr>
      <w:r w:rsidRPr="008610E0">
        <w:rPr>
          <w:b/>
        </w:rPr>
        <w:t>Transfer of Care from</w:t>
      </w:r>
      <w:r>
        <w:t xml:space="preserve">: This field is used to indicate where the patient is transitioning from. </w:t>
      </w:r>
    </w:p>
    <w:p w:rsidR="000C1149" w:rsidRDefault="000C1149" w:rsidP="000C1149">
      <w:pPr>
        <w:ind w:left="720"/>
      </w:pPr>
    </w:p>
    <w:p w:rsidR="000C1149" w:rsidRDefault="000C1149" w:rsidP="000C1149">
      <w:pPr>
        <w:ind w:left="720"/>
      </w:pPr>
      <w:r>
        <w:t xml:space="preserve">This field is entirely optional and does not play any role in determining the numerator or denominator for this measure. </w:t>
      </w:r>
    </w:p>
    <w:p w:rsidR="000C1149" w:rsidRDefault="000C1149" w:rsidP="000C1149"/>
    <w:p w:rsidR="000C1149" w:rsidRDefault="000C1149" w:rsidP="000C1149">
      <w:pPr>
        <w:ind w:left="720"/>
      </w:pPr>
      <w:r w:rsidRPr="008610E0">
        <w:rPr>
          <w:b/>
        </w:rPr>
        <w:t>Provider</w:t>
      </w:r>
      <w:r>
        <w:t xml:space="preserve">: This field is used to indicate which provider received the Transfer of Care. The provider chosen represents the EP for the purposes of this measure. This means that only the provider attached to the Transfer of Care will receive credit for the numerator and/or denominator of this measure. </w:t>
      </w:r>
    </w:p>
    <w:p w:rsidR="000C1149" w:rsidRDefault="000C1149" w:rsidP="000C1149"/>
    <w:p w:rsidR="000C1149" w:rsidRDefault="000C1149" w:rsidP="000C1149">
      <w:pPr>
        <w:ind w:left="720"/>
      </w:pPr>
      <w:r w:rsidRPr="008610E0">
        <w:rPr>
          <w:b/>
        </w:rPr>
        <w:t>Medication list was reconciled</w:t>
      </w:r>
      <w:r>
        <w:t xml:space="preserve">: This field indicates that a Medication Reconciliation occurred based on the Transfer of Care. Checking this box will allow the transfer to count towards the numerator for this measure. Failing to check this box will ensure that the denominator increases without the numerator increasing as well. </w:t>
      </w:r>
    </w:p>
    <w:p w:rsidR="000C1149" w:rsidRDefault="000C1149" w:rsidP="000C1149"/>
    <w:p w:rsidR="000C1149" w:rsidRDefault="000C1149" w:rsidP="000C1149">
      <w:pPr>
        <w:ind w:left="720"/>
      </w:pPr>
      <w:r w:rsidRPr="008610E0">
        <w:rPr>
          <w:b/>
        </w:rPr>
        <w:t>Date Reconciled</w:t>
      </w:r>
      <w:r>
        <w:t xml:space="preserve">: This field indicates when the Medication Reconciliation occurred. This field is required to be filled with a date when the </w:t>
      </w:r>
      <w:r w:rsidRPr="008610E0">
        <w:rPr>
          <w:b/>
        </w:rPr>
        <w:t>Medication list was reconciled</w:t>
      </w:r>
      <w:r>
        <w:rPr>
          <w:b/>
        </w:rPr>
        <w:t xml:space="preserve"> </w:t>
      </w:r>
      <w:r>
        <w:t xml:space="preserve">checkbox is checked. </w:t>
      </w:r>
    </w:p>
    <w:p w:rsidR="000C1149" w:rsidRDefault="000C1149" w:rsidP="000C1149">
      <w:pPr>
        <w:ind w:left="720"/>
      </w:pPr>
    </w:p>
    <w:p w:rsidR="000C1149" w:rsidRPr="00DB3BAE" w:rsidRDefault="000C1149" w:rsidP="000C1149">
      <w:pPr>
        <w:ind w:left="720"/>
      </w:pPr>
      <w:r>
        <w:t xml:space="preserve">This field does nothing for the purposes of calculating the numerator and/or denominator of this measure. The only reason it exists is for certification. </w:t>
      </w:r>
    </w:p>
    <w:p w:rsidR="000C1149" w:rsidRDefault="000C1149" w:rsidP="000C1149"/>
    <w:p w:rsidR="00373FAD" w:rsidRDefault="00373FAD" w:rsidP="000C1149">
      <w:r>
        <w:br w:type="page"/>
      </w:r>
    </w:p>
    <w:p w:rsidR="000C1149" w:rsidRDefault="000C1149" w:rsidP="000C1149">
      <w:r>
        <w:t>When entering a new Transfer of Care, the following must occur in order for the numerator to increment for an EP:</w:t>
      </w:r>
    </w:p>
    <w:p w:rsidR="000C1149" w:rsidRDefault="000C1149" w:rsidP="000C1149">
      <w:pPr>
        <w:pStyle w:val="ListParagraph"/>
        <w:numPr>
          <w:ilvl w:val="0"/>
          <w:numId w:val="22"/>
        </w:numPr>
      </w:pPr>
      <w:r>
        <w:t xml:space="preserve">The </w:t>
      </w:r>
      <w:r w:rsidRPr="007A14EB">
        <w:rPr>
          <w:b/>
        </w:rPr>
        <w:t>Transfer of Care</w:t>
      </w:r>
      <w:r>
        <w:t xml:space="preserve"> </w:t>
      </w:r>
      <w:r w:rsidRPr="00DD14CC">
        <w:rPr>
          <w:b/>
        </w:rPr>
        <w:t>date</w:t>
      </w:r>
      <w:r>
        <w:t xml:space="preserve"> must fall within the recording period</w:t>
      </w:r>
    </w:p>
    <w:p w:rsidR="00373FAD" w:rsidRDefault="00373FAD" w:rsidP="000C1149">
      <w:pPr>
        <w:pStyle w:val="ListParagraph"/>
        <w:numPr>
          <w:ilvl w:val="0"/>
          <w:numId w:val="22"/>
        </w:numPr>
      </w:pPr>
      <w:r>
        <w:t xml:space="preserve">The </w:t>
      </w:r>
      <w:r w:rsidRPr="008610E0">
        <w:rPr>
          <w:b/>
        </w:rPr>
        <w:t>Summary of Care provided</w:t>
      </w:r>
      <w:r>
        <w:rPr>
          <w:b/>
        </w:rPr>
        <w:t xml:space="preserve"> </w:t>
      </w:r>
      <w:r>
        <w:t xml:space="preserve">checkbox must be checked </w:t>
      </w:r>
      <w:r w:rsidRPr="00373FAD">
        <w:rPr>
          <w:u w:val="single"/>
        </w:rPr>
        <w:t>or</w:t>
      </w:r>
      <w:r>
        <w:t xml:space="preserve"> the </w:t>
      </w:r>
      <w:r w:rsidRPr="008610E0">
        <w:rPr>
          <w:b/>
        </w:rPr>
        <w:t>Summary of Care provided</w:t>
      </w:r>
      <w:r>
        <w:rPr>
          <w:b/>
        </w:rPr>
        <w:t xml:space="preserve"> </w:t>
      </w:r>
      <w:r>
        <w:t xml:space="preserve">checkbox is unchecked and the </w:t>
      </w:r>
      <w:r w:rsidRPr="00373FAD">
        <w:rPr>
          <w:b/>
        </w:rPr>
        <w:t>New Patient</w:t>
      </w:r>
      <w:r>
        <w:t xml:space="preserve"> checkbox is checked </w:t>
      </w:r>
    </w:p>
    <w:p w:rsidR="000C1149" w:rsidRDefault="000C1149" w:rsidP="000C1149">
      <w:pPr>
        <w:pStyle w:val="ListParagraph"/>
        <w:numPr>
          <w:ilvl w:val="0"/>
          <w:numId w:val="22"/>
        </w:numPr>
      </w:pPr>
      <w:r>
        <w:t xml:space="preserve">The </w:t>
      </w:r>
      <w:r w:rsidRPr="007A14EB">
        <w:rPr>
          <w:b/>
        </w:rPr>
        <w:t>Provider</w:t>
      </w:r>
      <w:r>
        <w:t xml:space="preserve"> field must be set to the EP</w:t>
      </w:r>
    </w:p>
    <w:p w:rsidR="000C1149" w:rsidRDefault="000C1149" w:rsidP="000C1149">
      <w:pPr>
        <w:pStyle w:val="ListParagraph"/>
        <w:numPr>
          <w:ilvl w:val="0"/>
          <w:numId w:val="22"/>
        </w:numPr>
      </w:pPr>
      <w:r>
        <w:t xml:space="preserve">The </w:t>
      </w:r>
      <w:r w:rsidRPr="007A14EB">
        <w:rPr>
          <w:b/>
        </w:rPr>
        <w:t>Medication List was reconciled</w:t>
      </w:r>
      <w:r>
        <w:t xml:space="preserve"> checkbox must be checked</w:t>
      </w:r>
    </w:p>
    <w:p w:rsidR="000C1149" w:rsidRDefault="000C1149" w:rsidP="000C1149">
      <w:pPr>
        <w:pStyle w:val="ListParagraph"/>
        <w:numPr>
          <w:ilvl w:val="0"/>
          <w:numId w:val="22"/>
        </w:numPr>
      </w:pPr>
      <w:r>
        <w:t xml:space="preserve">The </w:t>
      </w:r>
      <w:r w:rsidRPr="007A14EB">
        <w:rPr>
          <w:b/>
        </w:rPr>
        <w:t>Date Reconciled</w:t>
      </w:r>
      <w:r>
        <w:t xml:space="preserve"> field must contain a date</w:t>
      </w:r>
    </w:p>
    <w:p w:rsidR="000C1149" w:rsidRDefault="000C1149" w:rsidP="000C1149"/>
    <w:p w:rsidR="000C1149" w:rsidRDefault="000C1149" w:rsidP="000C1149">
      <w:r>
        <w:t>Assuming each field listed above has been filled correctly, the line item created will count towards the numerator.</w:t>
      </w:r>
    </w:p>
    <w:p w:rsidR="000C1149" w:rsidRDefault="000C1149" w:rsidP="000C1149"/>
    <w:p w:rsidR="000C1149" w:rsidRDefault="000C1149" w:rsidP="000C1149">
      <w:r>
        <w:rPr>
          <w:noProof/>
        </w:rPr>
        <w:drawing>
          <wp:inline distT="0" distB="0" distL="0" distR="0" wp14:anchorId="0C8AA61B" wp14:editId="3E13153A">
            <wp:extent cx="6845935" cy="65976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45935" cy="659765"/>
                    </a:xfrm>
                    <a:prstGeom prst="rect">
                      <a:avLst/>
                    </a:prstGeom>
                    <a:noFill/>
                    <a:ln>
                      <a:noFill/>
                    </a:ln>
                  </pic:spPr>
                </pic:pic>
              </a:graphicData>
            </a:graphic>
          </wp:inline>
        </w:drawing>
      </w:r>
    </w:p>
    <w:p w:rsidR="000C1149" w:rsidRDefault="000C1149" w:rsidP="000C1149"/>
    <w:p w:rsidR="00373FAD" w:rsidRDefault="00373FAD" w:rsidP="000C1149">
      <w:pPr>
        <w:pStyle w:val="Heading4"/>
      </w:pPr>
    </w:p>
    <w:p w:rsidR="00373FAD" w:rsidRDefault="00373FAD" w:rsidP="000C1149">
      <w:pPr>
        <w:pStyle w:val="Heading4"/>
      </w:pPr>
    </w:p>
    <w:p w:rsidR="00373FAD" w:rsidRDefault="00373FAD" w:rsidP="000C1149">
      <w:pPr>
        <w:pStyle w:val="Heading4"/>
      </w:pPr>
    </w:p>
    <w:p w:rsidR="000C1149" w:rsidRPr="00043618" w:rsidRDefault="000C1149" w:rsidP="000C1149">
      <w:pPr>
        <w:pStyle w:val="Heading4"/>
      </w:pPr>
      <w:r>
        <w:t xml:space="preserve">Medication </w:t>
      </w:r>
      <w:r w:rsidRPr="00F51837">
        <w:t>Reconciliation</w:t>
      </w:r>
      <w:r>
        <w:t xml:space="preserve">: Direct Messaging &gt; </w:t>
      </w:r>
      <w:r w:rsidRPr="006A25A5">
        <w:t>Reconcile Summary of Care</w:t>
      </w:r>
    </w:p>
    <w:p w:rsidR="000C1149" w:rsidRDefault="000C1149" w:rsidP="000C1149"/>
    <w:p w:rsidR="000C1149" w:rsidRDefault="000C1149" w:rsidP="000C1149">
      <w:r>
        <w:t xml:space="preserve">By reconciling a Summary of Care within Direct Messaging, an EP can receive credit for Medication Reconciliation automatically. In order to do this, the EP must first receive a direct message which contains a Summary of Care document as part of the Transfer of Care for a patient. The C-CDA will appear as an attachment to the message. Clicking the Open button on the message will show the details of the Direct Message.  </w:t>
      </w:r>
    </w:p>
    <w:p w:rsidR="000C1149" w:rsidRDefault="000C1149" w:rsidP="000C1149"/>
    <w:p w:rsidR="000C1149" w:rsidRDefault="000C1149" w:rsidP="000C1149">
      <w:r>
        <w:t xml:space="preserve">For more information on the Direct Messaging feature beyond what is described here, please refer to documentation </w:t>
      </w:r>
      <w:r w:rsidRPr="00D377DD">
        <w:rPr>
          <w:highlight w:val="yellow"/>
        </w:rPr>
        <w:t>XXXXX</w:t>
      </w:r>
      <w:r>
        <w:t>.</w:t>
      </w:r>
    </w:p>
    <w:p w:rsidR="000C1149" w:rsidRDefault="000C1149" w:rsidP="000C1149"/>
    <w:p w:rsidR="000C1149" w:rsidRDefault="000C1149" w:rsidP="000C1149">
      <w:r>
        <w:rPr>
          <w:noProof/>
        </w:rPr>
        <w:drawing>
          <wp:inline distT="0" distB="0" distL="0" distR="0" wp14:anchorId="7D222D7B" wp14:editId="2337B89A">
            <wp:extent cx="6858000" cy="24288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2428875"/>
                    </a:xfrm>
                    <a:prstGeom prst="rect">
                      <a:avLst/>
                    </a:prstGeom>
                    <a:noFill/>
                    <a:ln>
                      <a:noFill/>
                    </a:ln>
                  </pic:spPr>
                </pic:pic>
              </a:graphicData>
            </a:graphic>
          </wp:inline>
        </w:drawing>
      </w:r>
    </w:p>
    <w:p w:rsidR="000C1149" w:rsidRDefault="000C1149" w:rsidP="000C1149"/>
    <w:p w:rsidR="000C1149" w:rsidRDefault="000C1149" w:rsidP="000C1149"/>
    <w:p w:rsidR="000C1149" w:rsidRDefault="000C1149" w:rsidP="000C1149">
      <w:r>
        <w:br w:type="page"/>
      </w:r>
    </w:p>
    <w:p w:rsidR="000C1149" w:rsidRDefault="000C1149" w:rsidP="000C1149">
      <w:r>
        <w:t xml:space="preserve">With the details of the message open, the details of the attachment can be viewed. If the attachment is a Summary of Care file (an XML document), then the option to </w:t>
      </w:r>
      <w:r w:rsidRPr="00B72849">
        <w:rPr>
          <w:b/>
        </w:rPr>
        <w:t>Reconcile Summary of Care</w:t>
      </w:r>
      <w:r>
        <w:t xml:space="preserve"> will be available. Clicking on this button will begin the process of Reconciliation for the patient. </w:t>
      </w:r>
    </w:p>
    <w:p w:rsidR="000C1149" w:rsidRDefault="000C1149" w:rsidP="000C1149"/>
    <w:p w:rsidR="000C1149" w:rsidRDefault="000C1149" w:rsidP="000C1149"/>
    <w:p w:rsidR="000C1149" w:rsidRDefault="000C1149" w:rsidP="000C1149">
      <w:pPr>
        <w:jc w:val="center"/>
      </w:pPr>
      <w:r>
        <w:rPr>
          <w:noProof/>
        </w:rPr>
        <w:drawing>
          <wp:inline distT="0" distB="0" distL="0" distR="0" wp14:anchorId="2BB1BB98" wp14:editId="5C769347">
            <wp:extent cx="5638800" cy="4686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8800" cy="4686300"/>
                    </a:xfrm>
                    <a:prstGeom prst="rect">
                      <a:avLst/>
                    </a:prstGeom>
                    <a:noFill/>
                    <a:ln>
                      <a:noFill/>
                    </a:ln>
                  </pic:spPr>
                </pic:pic>
              </a:graphicData>
            </a:graphic>
          </wp:inline>
        </w:drawing>
      </w:r>
    </w:p>
    <w:p w:rsidR="000C1149" w:rsidRDefault="000C1149" w:rsidP="000C1149"/>
    <w:p w:rsidR="000C1149" w:rsidRDefault="000C1149" w:rsidP="000C1149">
      <w:r>
        <w:br w:type="page"/>
      </w:r>
    </w:p>
    <w:p w:rsidR="000C1149" w:rsidRDefault="000C1149" w:rsidP="000C1149">
      <w:r>
        <w:t xml:space="preserve">The first step in Reconciliation is to link the patient contained in the Summary of Care document (shown on the left side) to a patient within the practice (shown on the right). The system will attempt to automatically locate a patient within the practice based on the details of the Summary of Care document. The </w:t>
      </w:r>
      <w:r w:rsidRPr="003470CC">
        <w:rPr>
          <w:b/>
        </w:rPr>
        <w:t>Change Patient</w:t>
      </w:r>
      <w:r>
        <w:t xml:space="preserve"> field allows for a different patient to be selected for Reconciliation other than what the system selected. The </w:t>
      </w:r>
      <w:r w:rsidRPr="003470CC">
        <w:rPr>
          <w:b/>
        </w:rPr>
        <w:t>Provider</w:t>
      </w:r>
      <w:r>
        <w:t xml:space="preserve"> field determines which EP will receive credit for the Transfer of Care. </w:t>
      </w:r>
    </w:p>
    <w:p w:rsidR="000C1149" w:rsidRDefault="000C1149" w:rsidP="000C1149"/>
    <w:p w:rsidR="000C1149" w:rsidRDefault="000C1149" w:rsidP="000C1149">
      <w:r>
        <w:t xml:space="preserve">Once the patient and provider have been selected, clicking </w:t>
      </w:r>
      <w:r w:rsidRPr="003470CC">
        <w:rPr>
          <w:b/>
        </w:rPr>
        <w:t>Next</w:t>
      </w:r>
      <w:r>
        <w:t xml:space="preserve"> will continue the Reconciliation process. </w:t>
      </w:r>
    </w:p>
    <w:p w:rsidR="000C1149" w:rsidRDefault="000C1149" w:rsidP="000C1149"/>
    <w:p w:rsidR="000C1149" w:rsidRDefault="000C1149" w:rsidP="000C1149">
      <w:r>
        <w:rPr>
          <w:noProof/>
        </w:rPr>
        <w:drawing>
          <wp:inline distT="0" distB="0" distL="0" distR="0" wp14:anchorId="4BFCFB8F" wp14:editId="434B84F3">
            <wp:extent cx="6854190" cy="3133090"/>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4190" cy="3133090"/>
                    </a:xfrm>
                    <a:prstGeom prst="rect">
                      <a:avLst/>
                    </a:prstGeom>
                    <a:noFill/>
                    <a:ln>
                      <a:noFill/>
                    </a:ln>
                  </pic:spPr>
                </pic:pic>
              </a:graphicData>
            </a:graphic>
          </wp:inline>
        </w:drawing>
      </w:r>
    </w:p>
    <w:p w:rsidR="000C1149" w:rsidRDefault="000C1149" w:rsidP="000C1149"/>
    <w:p w:rsidR="000C1149" w:rsidRDefault="000C1149" w:rsidP="000C1149">
      <w:r>
        <w:br w:type="page"/>
      </w:r>
    </w:p>
    <w:p w:rsidR="000C1149" w:rsidRDefault="000C1149" w:rsidP="000C1149">
      <w:r>
        <w:t xml:space="preserve">Here is when the majority of the Reconciliation occurs. </w:t>
      </w:r>
      <w:r w:rsidRPr="00602168">
        <w:rPr>
          <w:b/>
        </w:rPr>
        <w:t>Problems</w:t>
      </w:r>
      <w:r>
        <w:t xml:space="preserve">, </w:t>
      </w:r>
      <w:r w:rsidRPr="00602168">
        <w:rPr>
          <w:b/>
        </w:rPr>
        <w:t>Medications</w:t>
      </w:r>
      <w:r>
        <w:t xml:space="preserve">, and </w:t>
      </w:r>
      <w:r w:rsidRPr="00602168">
        <w:rPr>
          <w:b/>
        </w:rPr>
        <w:t>Medication Allergies</w:t>
      </w:r>
      <w:r>
        <w:t xml:space="preserve"> can all be reconciled. The items on the left side are contained in the Summary of Care document, while the lists on the right relate to the current values contained in the patient chart. Unchecking an item from either side will remove it from the list during the Merge. Once the line items for each list have been properly culled, clicking the </w:t>
      </w:r>
      <w:r w:rsidRPr="00602168">
        <w:rPr>
          <w:b/>
        </w:rPr>
        <w:t>Merge</w:t>
      </w:r>
      <w:r>
        <w:t xml:space="preserve"> button will combine the two sides together into a single list for each category. </w:t>
      </w:r>
    </w:p>
    <w:p w:rsidR="000C1149" w:rsidRDefault="000C1149" w:rsidP="000C1149"/>
    <w:p w:rsidR="000C1149" w:rsidRDefault="000C1149" w:rsidP="000C1149"/>
    <w:p w:rsidR="000C1149" w:rsidRDefault="000C1149" w:rsidP="000C1149">
      <w:r>
        <w:rPr>
          <w:noProof/>
        </w:rPr>
        <w:drawing>
          <wp:inline distT="0" distB="0" distL="0" distR="0" wp14:anchorId="43383C9D" wp14:editId="5F7A20CF">
            <wp:extent cx="6848475" cy="40100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48475" cy="4010025"/>
                    </a:xfrm>
                    <a:prstGeom prst="rect">
                      <a:avLst/>
                    </a:prstGeom>
                    <a:noFill/>
                    <a:ln>
                      <a:noFill/>
                    </a:ln>
                  </pic:spPr>
                </pic:pic>
              </a:graphicData>
            </a:graphic>
          </wp:inline>
        </w:drawing>
      </w:r>
    </w:p>
    <w:p w:rsidR="000C1149" w:rsidRDefault="000C1149" w:rsidP="000C1149"/>
    <w:p w:rsidR="000C1149" w:rsidRDefault="000C1149" w:rsidP="000C1149">
      <w:r>
        <w:br w:type="page"/>
      </w:r>
    </w:p>
    <w:p w:rsidR="000C1149" w:rsidRDefault="000C1149" w:rsidP="000C1149">
      <w:r>
        <w:t xml:space="preserve">The merged list is presented for each category prior to being saved to the patient’s chart. This is the final review screen before the changes become permanent. Clicking the </w:t>
      </w:r>
      <w:r w:rsidRPr="0016776F">
        <w:rPr>
          <w:b/>
        </w:rPr>
        <w:t>Save to Patient Chart</w:t>
      </w:r>
      <w:r>
        <w:t xml:space="preserve"> button will complete the Reconciliation process. </w:t>
      </w:r>
    </w:p>
    <w:p w:rsidR="000C1149" w:rsidRDefault="000C1149" w:rsidP="000C1149"/>
    <w:p w:rsidR="000C1149" w:rsidRDefault="000C1149" w:rsidP="000C1149">
      <w:r>
        <w:rPr>
          <w:noProof/>
        </w:rPr>
        <w:drawing>
          <wp:inline distT="0" distB="0" distL="0" distR="0" wp14:anchorId="6B4993DE" wp14:editId="00BA905B">
            <wp:extent cx="6854190" cy="4015105"/>
            <wp:effectExtent l="0" t="0" r="381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4190" cy="4015105"/>
                    </a:xfrm>
                    <a:prstGeom prst="rect">
                      <a:avLst/>
                    </a:prstGeom>
                    <a:noFill/>
                    <a:ln>
                      <a:noFill/>
                    </a:ln>
                  </pic:spPr>
                </pic:pic>
              </a:graphicData>
            </a:graphic>
          </wp:inline>
        </w:drawing>
      </w:r>
    </w:p>
    <w:p w:rsidR="000C1149" w:rsidRDefault="000C1149" w:rsidP="000C1149"/>
    <w:p w:rsidR="000C1149" w:rsidRDefault="000C1149" w:rsidP="000C1149"/>
    <w:p w:rsidR="000C1149" w:rsidRDefault="000C1149" w:rsidP="000C1149"/>
    <w:p w:rsidR="000C1149" w:rsidRDefault="000C1149" w:rsidP="000C1149">
      <w:r>
        <w:t>Once the information has been saved to the chart, a line item will automatically appear under the Transfer of Care tab in the patient chart. The line item will indicate the Transfer of Care date, Provider, and the fact that the Medications were Reconciled automatically based when the Summary of Care was reconciled and which provider was selected for the reconciliation. This line item will count towards the numerator of this measure, assuming, of course, that the Transfer of Care date falls within the reporting period.</w:t>
      </w:r>
    </w:p>
    <w:p w:rsidR="000C1149" w:rsidRDefault="000C1149" w:rsidP="000C1149"/>
    <w:p w:rsidR="000C1149" w:rsidRDefault="000C1149" w:rsidP="000C1149">
      <w:r>
        <w:rPr>
          <w:noProof/>
        </w:rPr>
        <w:drawing>
          <wp:inline distT="0" distB="0" distL="0" distR="0" wp14:anchorId="1040AB55" wp14:editId="1BF99F2B">
            <wp:extent cx="6854190" cy="182880"/>
            <wp:effectExtent l="0" t="0" r="381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4190" cy="182880"/>
                    </a:xfrm>
                    <a:prstGeom prst="rect">
                      <a:avLst/>
                    </a:prstGeom>
                    <a:noFill/>
                    <a:ln>
                      <a:noFill/>
                    </a:ln>
                  </pic:spPr>
                </pic:pic>
              </a:graphicData>
            </a:graphic>
          </wp:inline>
        </w:drawing>
      </w:r>
    </w:p>
    <w:p w:rsidR="000C1149" w:rsidRDefault="000C1149" w:rsidP="000C1149"/>
    <w:p w:rsidR="000C1149" w:rsidRDefault="000C1149" w:rsidP="000C1149">
      <w:r>
        <w:rPr>
          <w:noProof/>
        </w:rPr>
        <w:drawing>
          <wp:inline distT="0" distB="0" distL="0" distR="0" wp14:anchorId="525BF7F2" wp14:editId="2D43CD67">
            <wp:extent cx="6854190" cy="652145"/>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4190" cy="652145"/>
                    </a:xfrm>
                    <a:prstGeom prst="rect">
                      <a:avLst/>
                    </a:prstGeom>
                    <a:noFill/>
                    <a:ln>
                      <a:noFill/>
                    </a:ln>
                  </pic:spPr>
                </pic:pic>
              </a:graphicData>
            </a:graphic>
          </wp:inline>
        </w:drawing>
      </w:r>
    </w:p>
    <w:p w:rsidR="00BA1601" w:rsidRDefault="00BA1601" w:rsidP="00A61B9A"/>
    <w:p w:rsidR="00BA1601" w:rsidRDefault="00BA1601" w:rsidP="00A61B9A"/>
    <w:p w:rsidR="00E47F9F" w:rsidRDefault="00E47F9F">
      <w:r>
        <w:br w:type="page"/>
      </w:r>
    </w:p>
    <w:p w:rsidR="00BA1601" w:rsidRDefault="00E47F9F" w:rsidP="00E47F9F">
      <w:pPr>
        <w:pStyle w:val="Heading2"/>
        <w:rPr>
          <w:rFonts w:eastAsia="Times New Roman"/>
        </w:rPr>
      </w:pPr>
      <w:bookmarkStart w:id="89" w:name="_Toc390171197"/>
      <w:r w:rsidRPr="00C339D6">
        <w:rPr>
          <w:rFonts w:eastAsia="Times New Roman"/>
        </w:rPr>
        <w:t>Stage 2 - Core #15: Summary of Care</w:t>
      </w:r>
      <w:bookmarkEnd w:id="89"/>
    </w:p>
    <w:p w:rsidR="00E47F9F" w:rsidRDefault="00E47F9F" w:rsidP="00A61B9A"/>
    <w:tbl>
      <w:tblPr>
        <w:tblW w:w="10905" w:type="dxa"/>
        <w:tblInd w:w="93" w:type="dxa"/>
        <w:tblLook w:val="04A0" w:firstRow="1" w:lastRow="0" w:firstColumn="1" w:lastColumn="0" w:noHBand="0" w:noVBand="1"/>
      </w:tblPr>
      <w:tblGrid>
        <w:gridCol w:w="1340"/>
        <w:gridCol w:w="9565"/>
      </w:tblGrid>
      <w:tr w:rsidR="00C339D6" w:rsidRPr="00C339D6" w:rsidTr="00C339D6">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C339D6" w:rsidRPr="00E47F9F" w:rsidRDefault="00C339D6" w:rsidP="00E47F9F">
            <w:pPr>
              <w:rPr>
                <w:b/>
              </w:rPr>
            </w:pPr>
            <w:r w:rsidRPr="00E47F9F">
              <w:rPr>
                <w:b/>
                <w:color w:val="FFFFFF" w:themeColor="background1"/>
                <w:sz w:val="32"/>
              </w:rPr>
              <w:t>Summary of Care</w:t>
            </w:r>
          </w:p>
        </w:tc>
      </w:tr>
      <w:tr w:rsidR="00C339D6" w:rsidRPr="00C339D6" w:rsidTr="00C339D6">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C339D6" w:rsidRPr="00C339D6"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The EP who transitions their patient to another setting of care or provider of care or refers their patient to another provider of care should provide summary care record for each transition of care or referral</w:t>
            </w:r>
          </w:p>
        </w:tc>
      </w:tr>
      <w:tr w:rsidR="00C339D6" w:rsidRPr="00C339D6" w:rsidTr="00C339D6">
        <w:trPr>
          <w:trHeight w:val="300"/>
        </w:trPr>
        <w:tc>
          <w:tcPr>
            <w:tcW w:w="1340" w:type="dxa"/>
            <w:vMerge/>
            <w:tcBorders>
              <w:top w:val="nil"/>
              <w:left w:val="single" w:sz="4" w:space="0" w:color="auto"/>
              <w:bottom w:val="nil"/>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340" w:type="dxa"/>
            <w:vMerge/>
            <w:tcBorders>
              <w:top w:val="nil"/>
              <w:left w:val="single" w:sz="4" w:space="0" w:color="auto"/>
              <w:bottom w:val="nil"/>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0A24D2"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EPs must satisfy both of the following measures in order to meet the objective:</w:t>
            </w:r>
            <w:r w:rsidRPr="00C339D6">
              <w:rPr>
                <w:rFonts w:ascii="Calibri" w:eastAsia="Times New Roman" w:hAnsi="Calibri" w:cs="Times New Roman"/>
                <w:color w:val="000000"/>
              </w:rPr>
              <w:br/>
            </w:r>
            <w:r w:rsidRPr="00C339D6">
              <w:rPr>
                <w:rFonts w:ascii="Calibri" w:eastAsia="Times New Roman" w:hAnsi="Calibri" w:cs="Times New Roman"/>
                <w:b/>
                <w:color w:val="000000"/>
              </w:rPr>
              <w:t>Measure 1:</w:t>
            </w:r>
            <w:r w:rsidRPr="00C339D6">
              <w:rPr>
                <w:rFonts w:ascii="Calibri" w:eastAsia="Times New Roman" w:hAnsi="Calibri" w:cs="Times New Roman"/>
                <w:color w:val="000000"/>
              </w:rPr>
              <w:br/>
              <w:t>The EP who transitions or refers their patient</w:t>
            </w:r>
            <w:r>
              <w:rPr>
                <w:rFonts w:ascii="Calibri" w:eastAsia="Times New Roman" w:hAnsi="Calibri" w:cs="Times New Roman"/>
                <w:color w:val="000000"/>
              </w:rPr>
              <w:t xml:space="preserve"> to another setting of care or </w:t>
            </w:r>
            <w:r w:rsidRPr="00C339D6">
              <w:rPr>
                <w:rFonts w:ascii="Calibri" w:eastAsia="Times New Roman" w:hAnsi="Calibri" w:cs="Times New Roman"/>
                <w:color w:val="000000"/>
              </w:rPr>
              <w:t>provider of care provides a summary of care r</w:t>
            </w:r>
            <w:r>
              <w:rPr>
                <w:rFonts w:ascii="Calibri" w:eastAsia="Times New Roman" w:hAnsi="Calibri" w:cs="Times New Roman"/>
                <w:color w:val="000000"/>
              </w:rPr>
              <w:t xml:space="preserve">ecord for more than 50 percent </w:t>
            </w:r>
            <w:r w:rsidRPr="00C339D6">
              <w:rPr>
                <w:rFonts w:ascii="Calibri" w:eastAsia="Times New Roman" w:hAnsi="Calibri" w:cs="Times New Roman"/>
                <w:color w:val="000000"/>
              </w:rPr>
              <w:t xml:space="preserve">of transitions of care and referrals. </w:t>
            </w:r>
            <w:r w:rsidRPr="00C339D6">
              <w:rPr>
                <w:rFonts w:ascii="Calibri" w:eastAsia="Times New Roman" w:hAnsi="Calibri" w:cs="Times New Roman"/>
                <w:color w:val="000000"/>
              </w:rPr>
              <w:br/>
            </w:r>
            <w:r w:rsidRPr="00C339D6">
              <w:rPr>
                <w:rFonts w:ascii="Calibri" w:eastAsia="Times New Roman" w:hAnsi="Calibri" w:cs="Times New Roman"/>
                <w:b/>
                <w:color w:val="000000"/>
              </w:rPr>
              <w:t>Measure 2:</w:t>
            </w:r>
            <w:r w:rsidRPr="00C339D6">
              <w:rPr>
                <w:rFonts w:ascii="Calibri" w:eastAsia="Times New Roman" w:hAnsi="Calibri" w:cs="Times New Roman"/>
                <w:color w:val="000000"/>
              </w:rPr>
              <w:t xml:space="preserve"> </w:t>
            </w:r>
            <w:r w:rsidRPr="00C339D6">
              <w:rPr>
                <w:rFonts w:ascii="Calibri" w:eastAsia="Times New Roman" w:hAnsi="Calibri" w:cs="Times New Roman"/>
                <w:color w:val="000000"/>
              </w:rPr>
              <w:br/>
              <w:t xml:space="preserve">The EP who transitions or refers their patient to </w:t>
            </w:r>
            <w:r>
              <w:rPr>
                <w:rFonts w:ascii="Calibri" w:eastAsia="Times New Roman" w:hAnsi="Calibri" w:cs="Times New Roman"/>
                <w:color w:val="000000"/>
              </w:rPr>
              <w:t xml:space="preserve">another setting of care or </w:t>
            </w:r>
            <w:r w:rsidRPr="00C339D6">
              <w:rPr>
                <w:rFonts w:ascii="Calibri" w:eastAsia="Times New Roman" w:hAnsi="Calibri" w:cs="Times New Roman"/>
                <w:color w:val="000000"/>
              </w:rPr>
              <w:t>provider of care provides a summary of care r</w:t>
            </w:r>
            <w:r>
              <w:rPr>
                <w:rFonts w:ascii="Calibri" w:eastAsia="Times New Roman" w:hAnsi="Calibri" w:cs="Times New Roman"/>
                <w:color w:val="000000"/>
              </w:rPr>
              <w:t xml:space="preserve">ecord for more than 10 percent </w:t>
            </w:r>
            <w:r w:rsidRPr="00C339D6">
              <w:rPr>
                <w:rFonts w:ascii="Calibri" w:eastAsia="Times New Roman" w:hAnsi="Calibri" w:cs="Times New Roman"/>
                <w:color w:val="000000"/>
              </w:rPr>
              <w:t xml:space="preserve">of such transitions and referrals either </w:t>
            </w:r>
          </w:p>
          <w:p w:rsidR="000A24D2" w:rsidRPr="00AF2402" w:rsidRDefault="00C339D6" w:rsidP="00AF2402">
            <w:pPr>
              <w:pStyle w:val="ListParagraph"/>
              <w:numPr>
                <w:ilvl w:val="0"/>
                <w:numId w:val="8"/>
              </w:numPr>
              <w:rPr>
                <w:rFonts w:ascii="Calibri" w:eastAsia="Times New Roman" w:hAnsi="Calibri" w:cs="Times New Roman"/>
                <w:color w:val="000000"/>
              </w:rPr>
            </w:pPr>
            <w:r w:rsidRPr="00AF2402">
              <w:rPr>
                <w:rFonts w:ascii="Calibri" w:eastAsia="Times New Roman" w:hAnsi="Calibri" w:cs="Times New Roman"/>
                <w:color w:val="000000"/>
              </w:rPr>
              <w:t xml:space="preserve">electronically transmitted using CEHRT to a recipient or </w:t>
            </w:r>
          </w:p>
          <w:p w:rsidR="00AF2402" w:rsidRDefault="00C339D6" w:rsidP="00AF2402">
            <w:pPr>
              <w:pStyle w:val="ListParagraph"/>
              <w:numPr>
                <w:ilvl w:val="0"/>
                <w:numId w:val="8"/>
              </w:numPr>
              <w:rPr>
                <w:rFonts w:ascii="Calibri" w:eastAsia="Times New Roman" w:hAnsi="Calibri" w:cs="Times New Roman"/>
                <w:color w:val="000000"/>
              </w:rPr>
            </w:pPr>
            <w:r w:rsidRPr="00AF2402">
              <w:rPr>
                <w:rFonts w:ascii="Calibri" w:eastAsia="Times New Roman" w:hAnsi="Calibri" w:cs="Times New Roman"/>
                <w:color w:val="000000"/>
              </w:rPr>
              <w:t xml:space="preserve">where the recipient receives the summary of care record via exchange facilitated by an organization that is a NwHIN Exchange participant or in a manner that is consistent with the governance mechanism </w:t>
            </w:r>
            <w:r w:rsidR="00AF2402">
              <w:rPr>
                <w:rFonts w:ascii="Calibri" w:eastAsia="Times New Roman" w:hAnsi="Calibri" w:cs="Times New Roman"/>
                <w:color w:val="000000"/>
              </w:rPr>
              <w:t xml:space="preserve">ONC establishes for the NwHIN. </w:t>
            </w:r>
          </w:p>
          <w:p w:rsidR="001A73BF" w:rsidRPr="00AF2402" w:rsidRDefault="00C339D6" w:rsidP="00AF2402">
            <w:pPr>
              <w:pStyle w:val="ListParagraph"/>
              <w:ind w:left="0"/>
              <w:rPr>
                <w:rFonts w:ascii="Calibri" w:eastAsia="Times New Roman" w:hAnsi="Calibri" w:cs="Times New Roman"/>
                <w:color w:val="000000"/>
              </w:rPr>
            </w:pPr>
            <w:r w:rsidRPr="00AF2402">
              <w:rPr>
                <w:rFonts w:ascii="Calibri" w:eastAsia="Times New Roman" w:hAnsi="Calibri" w:cs="Times New Roman"/>
                <w:b/>
                <w:color w:val="000000"/>
              </w:rPr>
              <w:t>Measure 3:</w:t>
            </w:r>
            <w:r w:rsidRPr="00AF2402">
              <w:rPr>
                <w:rFonts w:ascii="Calibri" w:eastAsia="Times New Roman" w:hAnsi="Calibri" w:cs="Times New Roman"/>
                <w:color w:val="000000"/>
              </w:rPr>
              <w:br/>
              <w:t>An EP must satisfy one of the following criteria:</w:t>
            </w:r>
            <w:r w:rsidR="001A73BF" w:rsidRPr="00AF2402">
              <w:rPr>
                <w:rFonts w:ascii="Calibri" w:eastAsia="Times New Roman" w:hAnsi="Calibri" w:cs="Times New Roman"/>
                <w:color w:val="000000"/>
              </w:rPr>
              <w:t xml:space="preserve"> </w:t>
            </w:r>
          </w:p>
          <w:p w:rsidR="001A73BF" w:rsidRPr="001A73BF" w:rsidRDefault="00C339D6" w:rsidP="001A73BF">
            <w:pPr>
              <w:pStyle w:val="ListParagraph"/>
              <w:numPr>
                <w:ilvl w:val="0"/>
                <w:numId w:val="7"/>
              </w:numPr>
              <w:rPr>
                <w:rFonts w:ascii="Calibri" w:eastAsia="Times New Roman" w:hAnsi="Calibri" w:cs="Times New Roman"/>
                <w:color w:val="000000"/>
              </w:rPr>
            </w:pPr>
            <w:r w:rsidRPr="001A73BF">
              <w:rPr>
                <w:rFonts w:ascii="Calibri" w:eastAsia="Times New Roman" w:hAnsi="Calibri" w:cs="Times New Roman"/>
                <w:color w:val="000000"/>
              </w:rPr>
              <w:t xml:space="preserve">Conducts one or more successful electronic exchanges of a summary of care document, as part of which is counted in "measure 2" (for EPs the measure at §495.6(j)(14)(ii)(B) with a recipient who has EHR technology that was developed designed by a different EHR technology developer than the sender's EHR technology certified to 45 CFR 170.314(b)(2). </w:t>
            </w:r>
          </w:p>
          <w:p w:rsidR="00C339D6" w:rsidRPr="001A73BF" w:rsidRDefault="00C339D6" w:rsidP="001A73BF">
            <w:pPr>
              <w:pStyle w:val="ListParagraph"/>
              <w:numPr>
                <w:ilvl w:val="0"/>
                <w:numId w:val="6"/>
              </w:numPr>
              <w:rPr>
                <w:rFonts w:ascii="Calibri" w:eastAsia="Times New Roman" w:hAnsi="Calibri" w:cs="Times New Roman"/>
                <w:color w:val="000000"/>
              </w:rPr>
            </w:pPr>
            <w:r w:rsidRPr="001A73BF">
              <w:rPr>
                <w:rFonts w:ascii="Calibri" w:eastAsia="Times New Roman" w:hAnsi="Calibri" w:cs="Times New Roman"/>
                <w:color w:val="000000"/>
              </w:rPr>
              <w:t xml:space="preserve">Conducts one or more successful tests with the CMS designated test EHR during the EHR reporting period. </w:t>
            </w:r>
          </w:p>
        </w:tc>
      </w:tr>
      <w:tr w:rsidR="00C339D6" w:rsidRPr="00C339D6" w:rsidTr="00C339D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340" w:type="dxa"/>
            <w:vMerge/>
            <w:tcBorders>
              <w:top w:val="single" w:sz="4" w:space="0" w:color="auto"/>
              <w:left w:val="single" w:sz="4" w:space="0" w:color="auto"/>
              <w:bottom w:val="single" w:sz="4" w:space="0" w:color="000000"/>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340" w:type="dxa"/>
            <w:vMerge w:val="restart"/>
            <w:tcBorders>
              <w:top w:val="nil"/>
              <w:left w:val="single" w:sz="4" w:space="0" w:color="auto"/>
              <w:bottom w:val="nil"/>
              <w:right w:val="nil"/>
            </w:tcBorders>
            <w:shd w:val="clear" w:color="000000" w:fill="1F497D"/>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C339D6" w:rsidRPr="00C339D6"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 xml:space="preserve">Any EP who transfers a patient to another setting </w:t>
            </w:r>
            <w:r>
              <w:rPr>
                <w:rFonts w:ascii="Calibri" w:eastAsia="Times New Roman" w:hAnsi="Calibri" w:cs="Times New Roman"/>
                <w:color w:val="000000"/>
              </w:rPr>
              <w:t xml:space="preserve">or refers a patient to another </w:t>
            </w:r>
            <w:r w:rsidRPr="00C339D6">
              <w:rPr>
                <w:rFonts w:ascii="Calibri" w:eastAsia="Times New Roman" w:hAnsi="Calibri" w:cs="Times New Roman"/>
                <w:color w:val="000000"/>
              </w:rPr>
              <w:t>provider less than 100 times during the EHR reporti</w:t>
            </w:r>
            <w:r>
              <w:rPr>
                <w:rFonts w:ascii="Calibri" w:eastAsia="Times New Roman" w:hAnsi="Calibri" w:cs="Times New Roman"/>
                <w:color w:val="000000"/>
              </w:rPr>
              <w:t xml:space="preserve">ng period is excluded from all </w:t>
            </w:r>
            <w:r w:rsidRPr="00C339D6">
              <w:rPr>
                <w:rFonts w:ascii="Calibri" w:eastAsia="Times New Roman" w:hAnsi="Calibri" w:cs="Times New Roman"/>
                <w:color w:val="000000"/>
              </w:rPr>
              <w:t>three measures</w:t>
            </w:r>
          </w:p>
        </w:tc>
      </w:tr>
      <w:tr w:rsidR="00C339D6" w:rsidRPr="00C339D6" w:rsidTr="00C339D6">
        <w:trPr>
          <w:trHeight w:val="300"/>
        </w:trPr>
        <w:tc>
          <w:tcPr>
            <w:tcW w:w="1340" w:type="dxa"/>
            <w:vMerge/>
            <w:tcBorders>
              <w:top w:val="nil"/>
              <w:left w:val="single" w:sz="4" w:space="0" w:color="auto"/>
              <w:bottom w:val="nil"/>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340" w:type="dxa"/>
            <w:vMerge/>
            <w:tcBorders>
              <w:top w:val="nil"/>
              <w:left w:val="single" w:sz="4" w:space="0" w:color="auto"/>
              <w:bottom w:val="nil"/>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bl>
    <w:p w:rsidR="00BA1601" w:rsidRDefault="00BA1601" w:rsidP="00A61B9A"/>
    <w:p w:rsidR="00DD5D08" w:rsidRDefault="00DD5D08" w:rsidP="00A61B9A"/>
    <w:tbl>
      <w:tblPr>
        <w:tblW w:w="10905" w:type="dxa"/>
        <w:tblCellMar>
          <w:left w:w="0" w:type="dxa"/>
          <w:right w:w="0" w:type="dxa"/>
        </w:tblCellMar>
        <w:tblLook w:val="04A0" w:firstRow="1" w:lastRow="0" w:firstColumn="1" w:lastColumn="0" w:noHBand="0" w:noVBand="1"/>
      </w:tblPr>
      <w:tblGrid>
        <w:gridCol w:w="1340"/>
        <w:gridCol w:w="9565"/>
      </w:tblGrid>
      <w:tr w:rsidR="00C339D6" w:rsidTr="00C339D6">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tcMar>
              <w:top w:w="15" w:type="dxa"/>
              <w:left w:w="15" w:type="dxa"/>
              <w:bottom w:w="0" w:type="dxa"/>
              <w:right w:w="15" w:type="dxa"/>
            </w:tcMar>
            <w:vAlign w:val="bottom"/>
            <w:hideMark/>
          </w:tcPr>
          <w:p w:rsidR="00C339D6" w:rsidRDefault="00A7593F" w:rsidP="00D9607B">
            <w:pPr>
              <w:rPr>
                <w:rFonts w:ascii="Calibri" w:hAnsi="Calibri"/>
                <w:b/>
                <w:bCs/>
                <w:color w:val="FFFFFF"/>
                <w:sz w:val="28"/>
                <w:szCs w:val="28"/>
              </w:rPr>
            </w:pPr>
            <w:r>
              <w:rPr>
                <w:rFonts w:ascii="Calibri" w:hAnsi="Calibri"/>
                <w:b/>
                <w:bCs/>
                <w:color w:val="FFFFFF"/>
                <w:sz w:val="28"/>
                <w:szCs w:val="28"/>
              </w:rPr>
              <w:t xml:space="preserve">Measure 1 - </w:t>
            </w:r>
            <w:r w:rsidR="00C339D6">
              <w:rPr>
                <w:rFonts w:ascii="Calibri" w:hAnsi="Calibri"/>
                <w:b/>
                <w:bCs/>
                <w:color w:val="FFFFFF"/>
                <w:sz w:val="28"/>
                <w:szCs w:val="28"/>
              </w:rPr>
              <w:t>Referral/Transfer of Care</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C339D6" w:rsidTr="00C339D6">
        <w:trPr>
          <w:trHeight w:val="300"/>
        </w:trPr>
        <w:tc>
          <w:tcPr>
            <w:tcW w:w="0" w:type="auto"/>
            <w:vMerge w:val="restart"/>
            <w:tcBorders>
              <w:top w:val="nil"/>
              <w:left w:val="single" w:sz="4" w:space="0" w:color="auto"/>
              <w:bottom w:val="single" w:sz="4" w:space="0" w:color="000000"/>
              <w:right w:val="nil"/>
            </w:tcBorders>
            <w:shd w:val="clear" w:color="000000" w:fill="60497A"/>
            <w:noWrap/>
            <w:tcMar>
              <w:top w:w="15" w:type="dxa"/>
              <w:left w:w="15" w:type="dxa"/>
              <w:bottom w:w="0" w:type="dxa"/>
              <w:right w:w="15" w:type="dxa"/>
            </w:tcMar>
            <w:vAlign w:val="center"/>
            <w:hideMark/>
          </w:tcPr>
          <w:p w:rsidR="00C339D6" w:rsidRDefault="00C339D6">
            <w:pPr>
              <w:jc w:val="right"/>
              <w:rPr>
                <w:rFonts w:ascii="Calibri" w:hAnsi="Calibri"/>
                <w:b/>
                <w:bCs/>
                <w:color w:val="FFFFFF"/>
              </w:rPr>
            </w:pPr>
            <w:r>
              <w:rPr>
                <w:rFonts w:ascii="Calibri" w:hAnsi="Calibri"/>
                <w:b/>
                <w:bCs/>
                <w:color w:val="FFFFFF"/>
              </w:rPr>
              <w:t>Denominator</w:t>
            </w:r>
          </w:p>
        </w:tc>
        <w:tc>
          <w:tcPr>
            <w:tcW w:w="9565" w:type="dxa"/>
            <w:vMerge w:val="restar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C339D6" w:rsidRDefault="00C339D6">
            <w:pPr>
              <w:rPr>
                <w:rFonts w:ascii="Calibri" w:hAnsi="Calibri"/>
                <w:color w:val="000000"/>
              </w:rPr>
            </w:pPr>
            <w:r>
              <w:rPr>
                <w:rFonts w:ascii="Calibri" w:hAnsi="Calibri"/>
                <w:color w:val="000000"/>
              </w:rPr>
              <w:t>Number of transitions of care and referrals during the EHR reporting period for which the EP was the transferring or referring provider</w:t>
            </w:r>
          </w:p>
        </w:tc>
      </w:tr>
      <w:tr w:rsidR="00C339D6" w:rsidTr="00C339D6">
        <w:trPr>
          <w:trHeight w:val="300"/>
        </w:trPr>
        <w:tc>
          <w:tcPr>
            <w:tcW w:w="0" w:type="auto"/>
            <w:vMerge/>
            <w:tcBorders>
              <w:top w:val="nil"/>
              <w:left w:val="single" w:sz="4" w:space="0" w:color="auto"/>
              <w:bottom w:val="single" w:sz="4" w:space="0" w:color="000000"/>
              <w:right w:val="nil"/>
            </w:tcBorders>
            <w:vAlign w:val="center"/>
            <w:hideMark/>
          </w:tcPr>
          <w:p w:rsidR="00C339D6" w:rsidRDefault="00C339D6">
            <w:pPr>
              <w:rPr>
                <w:rFonts w:ascii="Calibri" w:hAnsi="Calibri"/>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Default="00C339D6">
            <w:pPr>
              <w:rPr>
                <w:rFonts w:ascii="Calibri" w:hAnsi="Calibri"/>
                <w:color w:val="000000"/>
              </w:rPr>
            </w:pPr>
          </w:p>
        </w:tc>
      </w:tr>
      <w:tr w:rsidR="00C339D6" w:rsidTr="00C339D6">
        <w:trPr>
          <w:trHeight w:val="300"/>
        </w:trPr>
        <w:tc>
          <w:tcPr>
            <w:tcW w:w="0" w:type="auto"/>
            <w:vMerge w:val="restart"/>
            <w:tcBorders>
              <w:top w:val="nil"/>
              <w:left w:val="single" w:sz="4" w:space="0" w:color="auto"/>
              <w:bottom w:val="single" w:sz="4" w:space="0" w:color="000000"/>
              <w:right w:val="nil"/>
            </w:tcBorders>
            <w:shd w:val="clear" w:color="000000" w:fill="60497A"/>
            <w:noWrap/>
            <w:tcMar>
              <w:top w:w="15" w:type="dxa"/>
              <w:left w:w="15" w:type="dxa"/>
              <w:bottom w:w="0" w:type="dxa"/>
              <w:right w:w="15" w:type="dxa"/>
            </w:tcMar>
            <w:vAlign w:val="center"/>
            <w:hideMark/>
          </w:tcPr>
          <w:p w:rsidR="00C339D6" w:rsidRDefault="00C339D6">
            <w:pPr>
              <w:jc w:val="right"/>
              <w:rPr>
                <w:rFonts w:ascii="Calibri" w:hAnsi="Calibri"/>
                <w:b/>
                <w:bCs/>
                <w:color w:val="FFFFFF"/>
              </w:rPr>
            </w:pPr>
            <w:r>
              <w:rPr>
                <w:rFonts w:ascii="Calibri" w:hAnsi="Calibri"/>
                <w:b/>
                <w:bCs/>
                <w:color w:val="FFFFFF"/>
              </w:rPr>
              <w:t>Numerator</w:t>
            </w:r>
          </w:p>
        </w:tc>
        <w:tc>
          <w:tcPr>
            <w:tcW w:w="9565" w:type="dxa"/>
            <w:vMerge w:val="restar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C339D6" w:rsidRDefault="00C339D6">
            <w:pPr>
              <w:rPr>
                <w:rFonts w:ascii="Calibri" w:hAnsi="Calibri"/>
                <w:color w:val="000000"/>
              </w:rPr>
            </w:pPr>
            <w:r>
              <w:rPr>
                <w:rFonts w:ascii="Calibri" w:hAnsi="Calibri"/>
                <w:color w:val="000000"/>
              </w:rPr>
              <w:t>The number of transitions of care and referrals in the denominator where a summary of care record was provided</w:t>
            </w:r>
          </w:p>
        </w:tc>
      </w:tr>
      <w:tr w:rsidR="00C339D6" w:rsidTr="00C339D6">
        <w:trPr>
          <w:trHeight w:val="300"/>
        </w:trPr>
        <w:tc>
          <w:tcPr>
            <w:tcW w:w="0" w:type="auto"/>
            <w:vMerge/>
            <w:tcBorders>
              <w:top w:val="nil"/>
              <w:left w:val="single" w:sz="4" w:space="0" w:color="auto"/>
              <w:bottom w:val="single" w:sz="4" w:space="0" w:color="000000"/>
              <w:right w:val="nil"/>
            </w:tcBorders>
            <w:vAlign w:val="center"/>
            <w:hideMark/>
          </w:tcPr>
          <w:p w:rsidR="00C339D6" w:rsidRDefault="00C339D6">
            <w:pPr>
              <w:rPr>
                <w:rFonts w:ascii="Calibri" w:hAnsi="Calibri"/>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Default="00C339D6">
            <w:pPr>
              <w:rPr>
                <w:rFonts w:ascii="Calibri" w:hAnsi="Calibri"/>
                <w:color w:val="000000"/>
              </w:rPr>
            </w:pPr>
          </w:p>
        </w:tc>
      </w:tr>
      <w:tr w:rsidR="00C339D6" w:rsidTr="00C339D6">
        <w:trPr>
          <w:trHeight w:val="300"/>
        </w:trPr>
        <w:tc>
          <w:tcPr>
            <w:tcW w:w="1340" w:type="dxa"/>
            <w:vMerge w:val="restart"/>
            <w:tcBorders>
              <w:top w:val="nil"/>
              <w:left w:val="single" w:sz="4" w:space="0" w:color="auto"/>
              <w:bottom w:val="single" w:sz="4" w:space="0" w:color="000000"/>
              <w:right w:val="nil"/>
            </w:tcBorders>
            <w:shd w:val="clear" w:color="000000" w:fill="60497A"/>
            <w:tcMar>
              <w:top w:w="15" w:type="dxa"/>
              <w:left w:w="15" w:type="dxa"/>
              <w:bottom w:w="0" w:type="dxa"/>
              <w:right w:w="15" w:type="dxa"/>
            </w:tcMar>
            <w:vAlign w:val="center"/>
            <w:hideMark/>
          </w:tcPr>
          <w:p w:rsidR="00C339D6" w:rsidRDefault="00C339D6">
            <w:pPr>
              <w:jc w:val="right"/>
              <w:rPr>
                <w:rFonts w:ascii="Calibri" w:hAnsi="Calibri"/>
                <w:b/>
                <w:bCs/>
                <w:color w:val="FFFFFF"/>
              </w:rPr>
            </w:pPr>
            <w:r>
              <w:rPr>
                <w:rFonts w:ascii="Calibri" w:hAnsi="Calibri"/>
                <w:b/>
                <w:bCs/>
                <w:color w:val="FFFFFF"/>
              </w:rPr>
              <w:t>Threshold</w:t>
            </w:r>
          </w:p>
        </w:tc>
        <w:tc>
          <w:tcPr>
            <w:tcW w:w="9565" w:type="dxa"/>
            <w:vMerge w:val="restar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C339D6" w:rsidRDefault="00C339D6">
            <w:pPr>
              <w:rPr>
                <w:rFonts w:ascii="Calibri" w:hAnsi="Calibri"/>
                <w:color w:val="000000"/>
              </w:rPr>
            </w:pPr>
            <w:r>
              <w:rPr>
                <w:rFonts w:ascii="Calibri" w:hAnsi="Calibri"/>
                <w:color w:val="000000"/>
              </w:rPr>
              <w:t>The percentage must be more than 50 percent in order for an EP to meet this measure</w:t>
            </w:r>
          </w:p>
        </w:tc>
      </w:tr>
      <w:tr w:rsidR="00C339D6" w:rsidTr="00C339D6">
        <w:trPr>
          <w:trHeight w:val="300"/>
        </w:trPr>
        <w:tc>
          <w:tcPr>
            <w:tcW w:w="0" w:type="auto"/>
            <w:vMerge/>
            <w:tcBorders>
              <w:top w:val="nil"/>
              <w:left w:val="single" w:sz="4" w:space="0" w:color="auto"/>
              <w:bottom w:val="single" w:sz="4" w:space="0" w:color="000000"/>
              <w:right w:val="nil"/>
            </w:tcBorders>
            <w:vAlign w:val="center"/>
            <w:hideMark/>
          </w:tcPr>
          <w:p w:rsidR="00C339D6" w:rsidRDefault="00C339D6">
            <w:pPr>
              <w:rPr>
                <w:rFonts w:ascii="Calibri" w:hAnsi="Calibri"/>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C339D6" w:rsidRDefault="00C339D6">
            <w:pPr>
              <w:rPr>
                <w:rFonts w:ascii="Calibri" w:hAnsi="Calibri"/>
                <w:color w:val="000000"/>
              </w:rPr>
            </w:pPr>
          </w:p>
        </w:tc>
      </w:tr>
    </w:tbl>
    <w:p w:rsidR="00DD5D08" w:rsidRDefault="00DD5D08" w:rsidP="00A61B9A">
      <w:r>
        <w:br w:type="page"/>
      </w:r>
    </w:p>
    <w:p w:rsidR="00C339D6" w:rsidRDefault="00C339D6" w:rsidP="00A61B9A"/>
    <w:tbl>
      <w:tblPr>
        <w:tblW w:w="10905" w:type="dxa"/>
        <w:tblInd w:w="93" w:type="dxa"/>
        <w:tblLook w:val="04A0" w:firstRow="1" w:lastRow="0" w:firstColumn="1" w:lastColumn="0" w:noHBand="0" w:noVBand="1"/>
      </w:tblPr>
      <w:tblGrid>
        <w:gridCol w:w="1435"/>
        <w:gridCol w:w="9470"/>
      </w:tblGrid>
      <w:tr w:rsidR="00C339D6" w:rsidRPr="00C339D6" w:rsidTr="00C339D6">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C339D6" w:rsidRPr="00C339D6" w:rsidRDefault="00A7593F" w:rsidP="00D9607B">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Measure 2 -</w:t>
            </w:r>
            <w:r w:rsidR="00D9607B">
              <w:rPr>
                <w:rFonts w:ascii="Calibri" w:eastAsia="Times New Roman" w:hAnsi="Calibri" w:cs="Times New Roman"/>
                <w:b/>
                <w:bCs/>
                <w:color w:val="FFFFFF"/>
                <w:sz w:val="28"/>
                <w:szCs w:val="28"/>
              </w:rPr>
              <w:t xml:space="preserve"> </w:t>
            </w:r>
            <w:r w:rsidR="00C339D6" w:rsidRPr="00C339D6">
              <w:rPr>
                <w:rFonts w:ascii="Calibri" w:eastAsia="Times New Roman" w:hAnsi="Calibri" w:cs="Times New Roman"/>
                <w:b/>
                <w:bCs/>
                <w:color w:val="FFFFFF"/>
                <w:sz w:val="28"/>
                <w:szCs w:val="28"/>
              </w:rPr>
              <w:t>Electronic Transmission and Receipt</w:t>
            </w:r>
            <w:r w:rsidR="00DD5D08">
              <w:rPr>
                <w:rFonts w:ascii="Calibri" w:eastAsia="Times New Roman" w:hAnsi="Calibri" w:cs="Times New Roman"/>
                <w:b/>
                <w:bCs/>
                <w:color w:val="FFFFFF"/>
                <w:sz w:val="28"/>
                <w:szCs w:val="28"/>
              </w:rPr>
              <w:t>:</w:t>
            </w:r>
            <w:r w:rsidR="00DD5D08" w:rsidRPr="009C005F">
              <w:rPr>
                <w:rFonts w:ascii="Calibri" w:eastAsia="Times New Roman" w:hAnsi="Calibri" w:cs="Times New Roman"/>
                <w:b/>
                <w:bCs/>
                <w:color w:val="FFFFFF"/>
                <w:sz w:val="28"/>
                <w:szCs w:val="28"/>
              </w:rPr>
              <w:t xml:space="preserve"> </w:t>
            </w:r>
            <w:r w:rsidR="00DD5D08">
              <w:rPr>
                <w:rFonts w:ascii="Calibri" w:eastAsia="Times New Roman" w:hAnsi="Calibri" w:cs="Times New Roman"/>
                <w:b/>
                <w:bCs/>
                <w:color w:val="FFFFFF"/>
                <w:sz w:val="28"/>
                <w:szCs w:val="28"/>
              </w:rPr>
              <w:t>Attestation Requirements</w:t>
            </w:r>
          </w:p>
        </w:tc>
      </w:tr>
      <w:tr w:rsidR="00C339D6" w:rsidRPr="00C339D6" w:rsidTr="00C339D6">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C339D6" w:rsidRPr="00C339D6"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Number of transitions of care and referrals during the EHR reporting period for which the EP was the transferring or referring provider</w:t>
            </w:r>
          </w:p>
        </w:tc>
      </w:tr>
      <w:tr w:rsidR="00C339D6" w:rsidRPr="00C339D6" w:rsidTr="00C339D6">
        <w:trPr>
          <w:trHeight w:val="300"/>
        </w:trPr>
        <w:tc>
          <w:tcPr>
            <w:tcW w:w="1435" w:type="dxa"/>
            <w:vMerge/>
            <w:tcBorders>
              <w:top w:val="nil"/>
              <w:left w:val="single" w:sz="4" w:space="0" w:color="auto"/>
              <w:bottom w:val="single" w:sz="4" w:space="0" w:color="000000"/>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0A24D2"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The number of transitions of care and referr</w:t>
            </w:r>
            <w:r>
              <w:rPr>
                <w:rFonts w:ascii="Calibri" w:eastAsia="Times New Roman" w:hAnsi="Calibri" w:cs="Times New Roman"/>
                <w:color w:val="000000"/>
              </w:rPr>
              <w:t xml:space="preserve">als in the denominator where a </w:t>
            </w:r>
            <w:r w:rsidRPr="00C339D6">
              <w:rPr>
                <w:rFonts w:ascii="Calibri" w:eastAsia="Times New Roman" w:hAnsi="Calibri" w:cs="Times New Roman"/>
                <w:color w:val="000000"/>
              </w:rPr>
              <w:t xml:space="preserve">summary of care record was </w:t>
            </w:r>
          </w:p>
          <w:p w:rsidR="000A24D2" w:rsidRPr="00AF2402" w:rsidRDefault="00C339D6" w:rsidP="00AF2402">
            <w:pPr>
              <w:pStyle w:val="ListParagraph"/>
              <w:numPr>
                <w:ilvl w:val="0"/>
                <w:numId w:val="10"/>
              </w:numPr>
              <w:rPr>
                <w:rFonts w:ascii="Calibri" w:eastAsia="Times New Roman" w:hAnsi="Calibri" w:cs="Times New Roman"/>
                <w:color w:val="000000"/>
              </w:rPr>
            </w:pPr>
            <w:r w:rsidRPr="00AF2402">
              <w:rPr>
                <w:rFonts w:ascii="Calibri" w:eastAsia="Times New Roman" w:hAnsi="Calibri" w:cs="Times New Roman"/>
                <w:color w:val="000000"/>
              </w:rPr>
              <w:t xml:space="preserve">electronically transmitted using CEHRT to a recipient or </w:t>
            </w:r>
          </w:p>
          <w:p w:rsidR="00C339D6" w:rsidRPr="00AF2402" w:rsidRDefault="00C339D6" w:rsidP="00AF2402">
            <w:pPr>
              <w:pStyle w:val="ListParagraph"/>
              <w:numPr>
                <w:ilvl w:val="0"/>
                <w:numId w:val="10"/>
              </w:numPr>
              <w:rPr>
                <w:rFonts w:ascii="Calibri" w:eastAsia="Times New Roman" w:hAnsi="Calibri" w:cs="Times New Roman"/>
                <w:color w:val="000000"/>
              </w:rPr>
            </w:pPr>
            <w:r w:rsidRPr="00AF2402">
              <w:rPr>
                <w:rFonts w:ascii="Calibri" w:eastAsia="Times New Roman" w:hAnsi="Calibri" w:cs="Times New Roman"/>
                <w:color w:val="000000"/>
              </w:rPr>
              <w:t>where the recipient receives the summary of care record via exchange facilitated by an organization that is a NwHIN Exchange participant or in a manner that is consistent with the governance mechanism ONC establishes for the nationwide health information network. The organization can be a third-party or the sender's own organization.</w:t>
            </w:r>
          </w:p>
        </w:tc>
      </w:tr>
      <w:tr w:rsidR="00C339D6" w:rsidRPr="00C339D6" w:rsidTr="00C339D6">
        <w:trPr>
          <w:trHeight w:val="300"/>
        </w:trPr>
        <w:tc>
          <w:tcPr>
            <w:tcW w:w="1435" w:type="dxa"/>
            <w:vMerge/>
            <w:tcBorders>
              <w:top w:val="nil"/>
              <w:left w:val="single" w:sz="4" w:space="0" w:color="auto"/>
              <w:bottom w:val="single" w:sz="4" w:space="0" w:color="000000"/>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r w:rsidR="00C339D6" w:rsidRPr="00C339D6" w:rsidTr="00C339D6">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C339D6" w:rsidRPr="00C339D6" w:rsidRDefault="00C339D6" w:rsidP="00C339D6">
            <w:pPr>
              <w:jc w:val="right"/>
              <w:rPr>
                <w:rFonts w:ascii="Calibri" w:eastAsia="Times New Roman" w:hAnsi="Calibri" w:cs="Times New Roman"/>
                <w:b/>
                <w:bCs/>
                <w:color w:val="FFFFFF"/>
              </w:rPr>
            </w:pPr>
            <w:r w:rsidRPr="00C339D6">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C339D6" w:rsidRPr="00C339D6" w:rsidRDefault="00C339D6" w:rsidP="00C339D6">
            <w:pPr>
              <w:rPr>
                <w:rFonts w:ascii="Calibri" w:eastAsia="Times New Roman" w:hAnsi="Calibri" w:cs="Times New Roman"/>
                <w:color w:val="000000"/>
              </w:rPr>
            </w:pPr>
            <w:r w:rsidRPr="00C339D6">
              <w:rPr>
                <w:rFonts w:ascii="Calibri" w:eastAsia="Times New Roman" w:hAnsi="Calibri" w:cs="Times New Roman"/>
                <w:color w:val="000000"/>
              </w:rPr>
              <w:t>The percentage must be more than 10 percent in order for an EP to meet this measure</w:t>
            </w:r>
          </w:p>
        </w:tc>
      </w:tr>
      <w:tr w:rsidR="00C339D6" w:rsidRPr="00C339D6" w:rsidTr="00C339D6">
        <w:trPr>
          <w:trHeight w:val="300"/>
        </w:trPr>
        <w:tc>
          <w:tcPr>
            <w:tcW w:w="1435" w:type="dxa"/>
            <w:vMerge/>
            <w:tcBorders>
              <w:top w:val="nil"/>
              <w:left w:val="single" w:sz="4" w:space="0" w:color="auto"/>
              <w:bottom w:val="single" w:sz="4" w:space="0" w:color="000000"/>
              <w:right w:val="nil"/>
            </w:tcBorders>
            <w:vAlign w:val="center"/>
            <w:hideMark/>
          </w:tcPr>
          <w:p w:rsidR="00C339D6" w:rsidRPr="00C339D6" w:rsidRDefault="00C339D6" w:rsidP="00C339D6">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C339D6" w:rsidRPr="00C339D6" w:rsidRDefault="00C339D6" w:rsidP="00C339D6">
            <w:pPr>
              <w:rPr>
                <w:rFonts w:ascii="Calibri" w:eastAsia="Times New Roman" w:hAnsi="Calibri" w:cs="Times New Roman"/>
                <w:color w:val="000000"/>
              </w:rPr>
            </w:pPr>
          </w:p>
        </w:tc>
      </w:tr>
    </w:tbl>
    <w:p w:rsidR="00DD5D08" w:rsidRDefault="00DD5D08" w:rsidP="00DD5D08">
      <w:bookmarkStart w:id="90" w:name="_Toc390171198"/>
    </w:p>
    <w:p w:rsidR="00C82B10" w:rsidRDefault="00C82B10" w:rsidP="00DD5D08"/>
    <w:tbl>
      <w:tblPr>
        <w:tblW w:w="10815" w:type="dxa"/>
        <w:tblInd w:w="93" w:type="dxa"/>
        <w:tblLook w:val="04A0" w:firstRow="1" w:lastRow="0" w:firstColumn="1" w:lastColumn="0" w:noHBand="0" w:noVBand="1"/>
      </w:tblPr>
      <w:tblGrid>
        <w:gridCol w:w="1435"/>
        <w:gridCol w:w="9380"/>
      </w:tblGrid>
      <w:tr w:rsidR="00DD5D08" w:rsidRPr="00244863" w:rsidTr="00F62560">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DD5D08" w:rsidRPr="00244863" w:rsidRDefault="00DD5D08" w:rsidP="00DD5D08">
            <w:pPr>
              <w:rPr>
                <w:rFonts w:ascii="Calibri" w:eastAsia="Times New Roman" w:hAnsi="Calibri" w:cs="Times New Roman"/>
                <w:b/>
                <w:bCs/>
                <w:color w:val="FFFFFF"/>
                <w:sz w:val="28"/>
                <w:szCs w:val="28"/>
              </w:rPr>
            </w:pPr>
            <w:r>
              <w:rPr>
                <w:rFonts w:ascii="Calibri" w:eastAsia="Times New Roman" w:hAnsi="Calibri" w:cs="Times New Roman"/>
                <w:b/>
                <w:bCs/>
                <w:color w:val="FFFFFF"/>
                <w:sz w:val="28"/>
                <w:szCs w:val="28"/>
              </w:rPr>
              <w:t xml:space="preserve">Measure 3 - </w:t>
            </w:r>
            <w:r w:rsidRPr="00DD5D08">
              <w:rPr>
                <w:rFonts w:ascii="Calibri" w:eastAsia="Times New Roman" w:hAnsi="Calibri" w:cs="Times New Roman"/>
                <w:b/>
                <w:bCs/>
                <w:color w:val="FFFFFF"/>
                <w:sz w:val="28"/>
                <w:szCs w:val="28"/>
              </w:rPr>
              <w:t>Conduct Successful Electronic Exchange</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DD5D08" w:rsidRPr="00244863" w:rsidTr="00F62560">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DD5D08" w:rsidRPr="00244863" w:rsidRDefault="00DD5D08" w:rsidP="00F62560">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DD5D08" w:rsidRDefault="00DD5D08" w:rsidP="00DD5D08">
            <w:pPr>
              <w:pStyle w:val="ListParagraph"/>
              <w:numPr>
                <w:ilvl w:val="0"/>
                <w:numId w:val="23"/>
              </w:numPr>
              <w:rPr>
                <w:rFonts w:ascii="Calibri" w:eastAsia="Times New Roman" w:hAnsi="Calibri" w:cs="Times New Roman"/>
                <w:color w:val="000000"/>
              </w:rPr>
            </w:pPr>
            <w:r w:rsidRPr="00DD5D08">
              <w:rPr>
                <w:rFonts w:ascii="Calibri" w:eastAsia="Times New Roman" w:hAnsi="Calibri" w:cs="Times New Roman"/>
                <w:color w:val="000000"/>
              </w:rPr>
              <w:t xml:space="preserve">Conducts one or more successful electronic exchanges of a summary of care document, as part of which is counted in "measure 2" (for EPs the measure at §495.6(j)(14)(ii)(B) with a recipient who has EHR technology that was developed designed by a different EHR technology developer than the sender's EHR technology certified to 45 CFR 170.314(b)(2). </w:t>
            </w:r>
          </w:p>
          <w:p w:rsidR="00DD5D08" w:rsidRPr="00DD5D08" w:rsidRDefault="00DD5D08" w:rsidP="00DD5D08">
            <w:pPr>
              <w:pStyle w:val="ListParagraph"/>
              <w:rPr>
                <w:rFonts w:ascii="Calibri" w:eastAsia="Times New Roman" w:hAnsi="Calibri" w:cs="Times New Roman"/>
                <w:color w:val="000000"/>
              </w:rPr>
            </w:pPr>
          </w:p>
          <w:p w:rsidR="00DD5D08" w:rsidRPr="00DD5D08" w:rsidRDefault="00DD5D08" w:rsidP="00DD5D08">
            <w:pPr>
              <w:rPr>
                <w:rFonts w:ascii="Calibri" w:eastAsia="Times New Roman" w:hAnsi="Calibri" w:cs="Times New Roman"/>
                <w:b/>
                <w:color w:val="000000"/>
              </w:rPr>
            </w:pPr>
            <w:r w:rsidRPr="00DD5D08">
              <w:rPr>
                <w:rFonts w:ascii="Calibri" w:eastAsia="Times New Roman" w:hAnsi="Calibri" w:cs="Times New Roman"/>
                <w:b/>
                <w:color w:val="000000"/>
              </w:rPr>
              <w:t xml:space="preserve">              or </w:t>
            </w:r>
          </w:p>
          <w:p w:rsidR="00DD5D08" w:rsidRPr="00DD5D08" w:rsidRDefault="00DD5D08" w:rsidP="00DD5D08">
            <w:pPr>
              <w:rPr>
                <w:rFonts w:ascii="Calibri" w:eastAsia="Times New Roman" w:hAnsi="Calibri" w:cs="Times New Roman"/>
                <w:color w:val="000000"/>
              </w:rPr>
            </w:pPr>
          </w:p>
          <w:p w:rsidR="00DD5D08" w:rsidRPr="00DD5D08" w:rsidRDefault="00DD5D08" w:rsidP="00DD5D08">
            <w:pPr>
              <w:pStyle w:val="ListParagraph"/>
              <w:numPr>
                <w:ilvl w:val="0"/>
                <w:numId w:val="23"/>
              </w:numPr>
              <w:rPr>
                <w:rFonts w:ascii="Calibri" w:eastAsia="Times New Roman" w:hAnsi="Calibri" w:cs="Times New Roman"/>
                <w:color w:val="000000"/>
              </w:rPr>
            </w:pPr>
            <w:r w:rsidRPr="00DD5D08">
              <w:rPr>
                <w:rFonts w:ascii="Calibri" w:eastAsia="Times New Roman" w:hAnsi="Calibri" w:cs="Times New Roman"/>
                <w:color w:val="000000"/>
              </w:rPr>
              <w:t>Conducts one or more successful tests with the CMS designated test EHR during the EHR reporting period.</w:t>
            </w:r>
          </w:p>
        </w:tc>
      </w:tr>
      <w:tr w:rsidR="00DD5D08"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DD5D08" w:rsidRPr="00244863" w:rsidRDefault="00DD5D08"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DD5D08" w:rsidRPr="00244863" w:rsidRDefault="00DD5D08" w:rsidP="00F62560">
            <w:pPr>
              <w:rPr>
                <w:rFonts w:ascii="Calibri" w:eastAsia="Times New Roman" w:hAnsi="Calibri" w:cs="Times New Roman"/>
                <w:color w:val="000000"/>
              </w:rPr>
            </w:pPr>
          </w:p>
        </w:tc>
      </w:tr>
      <w:tr w:rsidR="00DD5D08"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DD5D08" w:rsidRPr="00244863" w:rsidRDefault="00DD5D08"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DD5D08" w:rsidRPr="00244863" w:rsidRDefault="00DD5D08" w:rsidP="00F62560">
            <w:pPr>
              <w:rPr>
                <w:rFonts w:ascii="Calibri" w:eastAsia="Times New Roman" w:hAnsi="Calibri" w:cs="Times New Roman"/>
                <w:color w:val="000000"/>
              </w:rPr>
            </w:pPr>
          </w:p>
        </w:tc>
      </w:tr>
    </w:tbl>
    <w:p w:rsidR="00DD5D08" w:rsidRDefault="00DD5D08" w:rsidP="00DD5D08"/>
    <w:p w:rsidR="00DD5D08" w:rsidRDefault="00DD5D08" w:rsidP="00DD5D08"/>
    <w:p w:rsidR="00DD5D08" w:rsidRDefault="00DD5D08" w:rsidP="00DD5D08"/>
    <w:p w:rsidR="00DD5D08" w:rsidRDefault="00DD5D08" w:rsidP="006F3743">
      <w:pPr>
        <w:pStyle w:val="Heading3"/>
      </w:pPr>
      <w:r>
        <w:br w:type="page"/>
      </w:r>
    </w:p>
    <w:p w:rsidR="006F3743" w:rsidRPr="009F3C18" w:rsidRDefault="006F3743" w:rsidP="006F3743">
      <w:pPr>
        <w:pStyle w:val="Heading3"/>
      </w:pPr>
      <w:r>
        <w:t>Summary of Care</w:t>
      </w:r>
      <w:r w:rsidRPr="009F3C18">
        <w:t>: Explanation of Measure</w:t>
      </w:r>
      <w:bookmarkEnd w:id="90"/>
    </w:p>
    <w:p w:rsidR="006F3743" w:rsidRDefault="006F3743" w:rsidP="006F3743">
      <w:pPr>
        <w:rPr>
          <w:b/>
        </w:rPr>
      </w:pPr>
    </w:p>
    <w:p w:rsidR="006F3743" w:rsidRDefault="006F3743" w:rsidP="006F3743">
      <w:pPr>
        <w:rPr>
          <w:b/>
        </w:rPr>
      </w:pPr>
    </w:p>
    <w:p w:rsidR="006F3743" w:rsidRDefault="006F3743" w:rsidP="006F3743">
      <w:pPr>
        <w:pStyle w:val="Heading4"/>
      </w:pPr>
      <w:bookmarkStart w:id="91" w:name="_Toc390171199"/>
      <w:r>
        <w:t>Measure 1: Referral/Transfer of Care</w:t>
      </w:r>
      <w:bookmarkEnd w:id="91"/>
    </w:p>
    <w:p w:rsidR="006F3743" w:rsidRDefault="006F3743" w:rsidP="006F3743">
      <w:pPr>
        <w:rPr>
          <w:b/>
        </w:rPr>
      </w:pPr>
    </w:p>
    <w:p w:rsidR="00587BEB" w:rsidRDefault="00587BEB" w:rsidP="00587BEB">
      <w:r>
        <w:t xml:space="preserve">This measure is based the number of transitions of care or referrals performed by the EP during the reporting period. Ostensibly, this measure is based on work down by the EP on patients transferring out of their care or being referred to another provider. This means that, based on the referrals or transfers that have occurred, the same patient can count towards both the numerator and denominator multiple times during a reporting period for an individual EP. As such, care should be taken to ensure that the proper work is done to ensure that the EP will meet the threshold for this measure.  </w:t>
      </w:r>
    </w:p>
    <w:p w:rsidR="00587BEB" w:rsidRDefault="00587BEB" w:rsidP="00587BEB"/>
    <w:p w:rsidR="00587BEB" w:rsidRDefault="00587BEB" w:rsidP="00587BEB">
      <w:r>
        <w:t xml:space="preserve">For each transfer of care or referral performed by the EP, a Summary of Care is required to be provided in order for the transfer/referral to count towards the numerator for this measure. If the same patient transferred or referred more than once during the reporting period, a Summary of Care must be provided for each unique transfer/referral in order to receive credit for the numerator for that transfer/referral. </w:t>
      </w:r>
    </w:p>
    <w:p w:rsidR="00587BEB" w:rsidRDefault="00587BEB" w:rsidP="00587BEB"/>
    <w:p w:rsidR="00587BEB" w:rsidRDefault="00587BEB" w:rsidP="00587BEB">
      <w:r>
        <w:t xml:space="preserve">For the purposes of this measure, the means in which the Summary of Care is provided for the </w:t>
      </w:r>
      <w:r w:rsidR="00171BDF">
        <w:t>Transfer of Care or Referral</w:t>
      </w:r>
      <w:r>
        <w:t xml:space="preserve"> is inconsequential. The Summary of Care can be sent electronically via Direct, faxed, or even printed and mailed in order for an EP to receive credit. </w:t>
      </w:r>
    </w:p>
    <w:p w:rsidR="00587BEB" w:rsidRDefault="00587BEB" w:rsidP="00587BEB"/>
    <w:p w:rsidR="00587BEB" w:rsidRDefault="00587BEB" w:rsidP="00587BEB">
      <w:r>
        <w:t>Each EP will need to provide a Summary of Care for each Referral or Transfer of Care</w:t>
      </w:r>
      <w:r w:rsidR="00171BDF">
        <w:t xml:space="preserve"> they performed</w:t>
      </w:r>
      <w:r>
        <w:t xml:space="preserve"> during the reporting period in order to receive credit for the numerator for this measure. If more than one EP has a </w:t>
      </w:r>
      <w:r w:rsidR="00171BDF">
        <w:t>Transfer of Care or Referral</w:t>
      </w:r>
      <w:r>
        <w:t xml:space="preserve"> with the same patient during the reporting period, then each EP will need to provide their own </w:t>
      </w:r>
      <w:r w:rsidR="00171BDF">
        <w:t xml:space="preserve">Summary of Care </w:t>
      </w:r>
      <w:r>
        <w:t xml:space="preserve">with </w:t>
      </w:r>
      <w:r w:rsidR="00171BDF">
        <w:t>the Transfer/Referral</w:t>
      </w:r>
      <w:r>
        <w:t xml:space="preserve"> in order for that visit to count towards the numerator for that EP.  </w:t>
      </w:r>
    </w:p>
    <w:p w:rsidR="006F3743" w:rsidRDefault="006F3743" w:rsidP="006F3743">
      <w:pPr>
        <w:rPr>
          <w:b/>
        </w:rPr>
      </w:pPr>
    </w:p>
    <w:p w:rsidR="006F3743" w:rsidRDefault="006F3743" w:rsidP="006F3743">
      <w:pPr>
        <w:rPr>
          <w:b/>
        </w:rPr>
      </w:pPr>
    </w:p>
    <w:p w:rsidR="006F3743" w:rsidRDefault="006F3743" w:rsidP="006F3743">
      <w:pPr>
        <w:pStyle w:val="Heading4"/>
      </w:pPr>
      <w:bookmarkStart w:id="92" w:name="_Toc390171200"/>
      <w:r>
        <w:t>Measure 2: Electronic Transmission and Receipt</w:t>
      </w:r>
      <w:bookmarkEnd w:id="92"/>
    </w:p>
    <w:p w:rsidR="006F3743" w:rsidRDefault="006F3743" w:rsidP="006F3743">
      <w:pPr>
        <w:rPr>
          <w:b/>
        </w:rPr>
      </w:pPr>
    </w:p>
    <w:p w:rsidR="00C520B4" w:rsidRDefault="00C520B4" w:rsidP="00C520B4">
      <w:r>
        <w:t xml:space="preserve">This measure is based the number of transitions of care or referrals performed by the EP during the reporting period. Ostensibly, this measure is based on work down by the EP on patients transferring out of their care or being referred to another provider. This means that, based on the referrals or transfers that have occurred, the same patient can count towards both the numerator and denominator multiple times during a reporting period for an individual EP. As such, care should be taken to ensure that the proper work is done to ensure that the EP will meet the threshold for this measure.  </w:t>
      </w:r>
    </w:p>
    <w:p w:rsidR="00C520B4" w:rsidRDefault="00C520B4" w:rsidP="00C520B4"/>
    <w:p w:rsidR="00C520B4" w:rsidRDefault="00C520B4" w:rsidP="00C520B4">
      <w:r>
        <w:t xml:space="preserve">For each transfer of care or referral performed by the EP, a Summary of Care is required to be provided in order for the transfer/referral to count towards the numerator for this measure. If the same patient transferred or referred more than once during the reporting period, a Summary of Care must be provided for each unique transfer/referral in order to receive credit for the numerator for that transfer/referral. </w:t>
      </w:r>
    </w:p>
    <w:p w:rsidR="00C520B4" w:rsidRDefault="00C520B4" w:rsidP="00C520B4"/>
    <w:p w:rsidR="00C520B4" w:rsidRDefault="00C520B4" w:rsidP="00C520B4">
      <w:r>
        <w:t xml:space="preserve">For the purposes of this measure, the Summary of Care must be sent electronically via Direct in order for an EP to receive credit for the numerator. Additionally, </w:t>
      </w:r>
      <w:r w:rsidR="00C70691">
        <w:t xml:space="preserve">not only must the Summary of Care be sent by Direct message, but the message must actually be received by the recipient in order for the transfer/referral to count towards the numerator. This means that an EP must take care to ensure that their Direct message has been received and that the Direct address used for the recipient was valid. </w:t>
      </w:r>
    </w:p>
    <w:p w:rsidR="00C520B4" w:rsidRDefault="00C520B4" w:rsidP="00C520B4"/>
    <w:p w:rsidR="00A15D47" w:rsidRDefault="00C520B4" w:rsidP="00C520B4">
      <w:r>
        <w:t>Each EP will need to provide a Summary of Care for each Referral or Transfer of Care they performed during the reporting period in order to receive credit for the numerator for this measure. If more than one EP has a Transfer of Care or Referral with the same patient during the reporting period, then each EP will need to provide their own Summary of Care with t</w:t>
      </w:r>
      <w:r w:rsidR="009B08DF">
        <w:t>he t</w:t>
      </w:r>
      <w:r>
        <w:t>ransfer/</w:t>
      </w:r>
      <w:r w:rsidR="009B08DF">
        <w:t>r</w:t>
      </w:r>
      <w:r>
        <w:t xml:space="preserve">eferral in order for that visit to count towards the numerator for that EP.  </w:t>
      </w:r>
    </w:p>
    <w:p w:rsidR="00DD5D08" w:rsidRDefault="00DD5D08" w:rsidP="00C520B4"/>
    <w:p w:rsidR="00DD5D08" w:rsidRDefault="00DD5D08" w:rsidP="00C520B4"/>
    <w:p w:rsidR="006F3743" w:rsidRDefault="006F3743" w:rsidP="006F3743">
      <w:pPr>
        <w:pStyle w:val="Heading4"/>
      </w:pPr>
      <w:bookmarkStart w:id="93" w:name="_Toc390171201"/>
      <w:r>
        <w:t>Measure 3: Conduct Successful Electronic Exchange</w:t>
      </w:r>
      <w:bookmarkEnd w:id="93"/>
    </w:p>
    <w:p w:rsidR="006F3743" w:rsidRDefault="006F3743" w:rsidP="006F3743">
      <w:pPr>
        <w:rPr>
          <w:b/>
        </w:rPr>
      </w:pPr>
    </w:p>
    <w:p w:rsidR="006F3743" w:rsidRDefault="006F3743" w:rsidP="006F3743">
      <w:r>
        <w:t>This measure does not have a numerator, denominator or reporting threshold. Instead, it is a Yes/No attestation by the EP. This means that there is nothing to track within the CEHRT as far as reporting specific numbers. Instead, the EP is supposed to have performed a task at least once inside the CEHRT and attest that the work had been done.</w:t>
      </w:r>
    </w:p>
    <w:p w:rsidR="00B53884" w:rsidRDefault="00B53884" w:rsidP="006F3743"/>
    <w:p w:rsidR="00B53884" w:rsidRDefault="00B53884" w:rsidP="006F3743">
      <w:r>
        <w:t xml:space="preserve">In order to successfully attest to this measure, the EP is required to electronically exchange a Summary of Care document with a recipient that is not using the Valant Premium Psychiatrist Suite. Alternatively, the EP can conduct a test of data submission with CMS directly in order to pass this requirement. It should be noted that an EP will be able to successfully attest to this measure if the EP meets the numerator requirement for Measure 2 of this criteria (so long as at least one of the Direct messages sent with the Summary of Care was to a receipt who is not using the Valant Premium Psychiatrist Suite). </w:t>
      </w:r>
    </w:p>
    <w:p w:rsidR="006F3743" w:rsidRDefault="006F3743" w:rsidP="006F3743"/>
    <w:p w:rsidR="00DD5D08" w:rsidRDefault="006F3743" w:rsidP="006F3743">
      <w:r>
        <w:t xml:space="preserve">For the purposes of this measure, </w:t>
      </w:r>
      <w:r w:rsidR="00B53884">
        <w:t xml:space="preserve">each EP is required to perform a successful transmission of a Summary of Care (or a test with CMS) on their own. The work down by one EP within a practice will </w:t>
      </w:r>
      <w:r w:rsidR="00B53884" w:rsidRPr="00B53884">
        <w:rPr>
          <w:b/>
          <w:u w:val="single"/>
        </w:rPr>
        <w:t>not</w:t>
      </w:r>
      <w:r w:rsidR="00B53884">
        <w:t xml:space="preserve"> count for another in terms of this measure.  This means that each EP within a practice will need to send at least one Direct message containing a Summary of Care to a recipient who is not using the Valant Premium Psychiatrist Suite during the reporting period in order to successfully attest to this measure. </w:t>
      </w:r>
      <w:r w:rsidR="00DD5D08">
        <w:br w:type="page"/>
      </w:r>
    </w:p>
    <w:p w:rsidR="00C82B10" w:rsidRPr="004736F7" w:rsidRDefault="00C82B10" w:rsidP="00C82B10">
      <w:pPr>
        <w:pStyle w:val="Heading3"/>
      </w:pPr>
      <w:r>
        <w:rPr>
          <w:rFonts w:eastAsia="Times New Roman"/>
        </w:rPr>
        <w:t>Summary of Care</w:t>
      </w:r>
      <w:r w:rsidRPr="004736F7">
        <w:t xml:space="preserve">: </w:t>
      </w:r>
      <w:r>
        <w:t>Meaningful Use Measures</w:t>
      </w:r>
    </w:p>
    <w:p w:rsidR="00C82B10" w:rsidRPr="00DF721A" w:rsidRDefault="00C82B10" w:rsidP="00C82B10"/>
    <w:p w:rsidR="00ED1776" w:rsidRDefault="00ED1776" w:rsidP="00ED1776">
      <w:r>
        <w:t xml:space="preserve">There are two line items related to </w:t>
      </w:r>
      <w:r>
        <w:rPr>
          <w:rFonts w:eastAsia="Times New Roman"/>
        </w:rPr>
        <w:t>Summary</w:t>
      </w:r>
      <w:r w:rsidRPr="00DF74A1">
        <w:rPr>
          <w:rFonts w:eastAsia="Times New Roman"/>
        </w:rPr>
        <w:t xml:space="preserve"> of Care </w:t>
      </w:r>
      <w:r>
        <w:t>in the Stage 2 list of Meaningful Use Measures. The line items shown in the list relate to the individual reporting options as follows:</w:t>
      </w:r>
    </w:p>
    <w:p w:rsidR="00ED1776" w:rsidRDefault="00ED1776" w:rsidP="00ED1776"/>
    <w:tbl>
      <w:tblPr>
        <w:tblW w:w="10815" w:type="dxa"/>
        <w:tblInd w:w="93" w:type="dxa"/>
        <w:tblLook w:val="04A0" w:firstRow="1" w:lastRow="0" w:firstColumn="1" w:lastColumn="0" w:noHBand="0" w:noVBand="1"/>
      </w:tblPr>
      <w:tblGrid>
        <w:gridCol w:w="5865"/>
        <w:gridCol w:w="4950"/>
      </w:tblGrid>
      <w:tr w:rsidR="00ED1776" w:rsidRPr="001936A2" w:rsidTr="00ED1776">
        <w:trPr>
          <w:trHeight w:val="315"/>
        </w:trPr>
        <w:tc>
          <w:tcPr>
            <w:tcW w:w="58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rsidR="00ED1776" w:rsidRPr="001936A2" w:rsidRDefault="00ED1776" w:rsidP="00F62560">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Meaningful Use Measure List</w:t>
            </w:r>
          </w:p>
        </w:tc>
        <w:tc>
          <w:tcPr>
            <w:tcW w:w="4950" w:type="dxa"/>
            <w:tcBorders>
              <w:top w:val="single" w:sz="4" w:space="0" w:color="auto"/>
              <w:left w:val="nil"/>
              <w:bottom w:val="single" w:sz="4" w:space="0" w:color="auto"/>
              <w:right w:val="single" w:sz="4" w:space="0" w:color="auto"/>
            </w:tcBorders>
            <w:shd w:val="clear" w:color="000000" w:fill="4F6228"/>
            <w:noWrap/>
            <w:vAlign w:val="bottom"/>
            <w:hideMark/>
          </w:tcPr>
          <w:p w:rsidR="00ED1776" w:rsidRPr="001936A2" w:rsidRDefault="00ED1776" w:rsidP="00F62560">
            <w:pPr>
              <w:rPr>
                <w:rFonts w:ascii="Calibri" w:eastAsia="Times New Roman" w:hAnsi="Calibri" w:cs="Times New Roman"/>
                <w:b/>
                <w:bCs/>
                <w:color w:val="FFFFFF"/>
                <w:sz w:val="24"/>
                <w:szCs w:val="24"/>
              </w:rPr>
            </w:pPr>
            <w:r w:rsidRPr="001936A2">
              <w:rPr>
                <w:rFonts w:ascii="Calibri" w:eastAsia="Times New Roman" w:hAnsi="Calibri" w:cs="Times New Roman"/>
                <w:b/>
                <w:bCs/>
                <w:color w:val="FFFFFF"/>
                <w:sz w:val="24"/>
                <w:szCs w:val="24"/>
              </w:rPr>
              <w:t>Reporting Option</w:t>
            </w:r>
          </w:p>
        </w:tc>
      </w:tr>
      <w:tr w:rsidR="00ED1776" w:rsidRPr="001936A2" w:rsidTr="00ED1776">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ED1776" w:rsidRDefault="00ED1776">
            <w:pPr>
              <w:rPr>
                <w:rFonts w:ascii="Calibri" w:hAnsi="Calibri"/>
                <w:color w:val="000000"/>
              </w:rPr>
            </w:pPr>
            <w:r>
              <w:rPr>
                <w:rFonts w:ascii="Calibri" w:hAnsi="Calibri"/>
                <w:color w:val="000000"/>
              </w:rPr>
              <w:t>Summary of Care - Provided</w:t>
            </w:r>
          </w:p>
        </w:tc>
        <w:tc>
          <w:tcPr>
            <w:tcW w:w="4950" w:type="dxa"/>
            <w:tcBorders>
              <w:top w:val="nil"/>
              <w:left w:val="nil"/>
              <w:bottom w:val="single" w:sz="4" w:space="0" w:color="auto"/>
              <w:right w:val="single" w:sz="4" w:space="0" w:color="auto"/>
            </w:tcBorders>
            <w:shd w:val="clear" w:color="auto" w:fill="auto"/>
            <w:noWrap/>
            <w:vAlign w:val="bottom"/>
            <w:hideMark/>
          </w:tcPr>
          <w:p w:rsidR="00ED1776" w:rsidRPr="001936A2" w:rsidRDefault="00ED1776" w:rsidP="00F62560">
            <w:pPr>
              <w:rPr>
                <w:rFonts w:ascii="Calibri" w:eastAsia="Times New Roman" w:hAnsi="Calibri" w:cs="Times New Roman"/>
                <w:color w:val="000000"/>
              </w:rPr>
            </w:pPr>
            <w:r w:rsidRPr="00ED1776">
              <w:rPr>
                <w:rFonts w:ascii="Calibri" w:eastAsia="Times New Roman" w:hAnsi="Calibri" w:cs="Times New Roman"/>
                <w:color w:val="000000"/>
              </w:rPr>
              <w:t>Measure 1: Referral/Transfer of Care</w:t>
            </w:r>
          </w:p>
        </w:tc>
      </w:tr>
      <w:tr w:rsidR="00ED1776" w:rsidRPr="001936A2" w:rsidTr="00ED1776">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ED1776" w:rsidRDefault="00ED1776">
            <w:pPr>
              <w:rPr>
                <w:rFonts w:ascii="Calibri" w:hAnsi="Calibri"/>
                <w:color w:val="000000"/>
              </w:rPr>
            </w:pPr>
            <w:r>
              <w:rPr>
                <w:rFonts w:ascii="Calibri" w:hAnsi="Calibri"/>
                <w:color w:val="000000"/>
              </w:rPr>
              <w:t>Summary of Care - Electronically Transmitted &amp; Received</w:t>
            </w:r>
          </w:p>
        </w:tc>
        <w:tc>
          <w:tcPr>
            <w:tcW w:w="4950" w:type="dxa"/>
            <w:tcBorders>
              <w:top w:val="nil"/>
              <w:left w:val="nil"/>
              <w:bottom w:val="single" w:sz="4" w:space="0" w:color="auto"/>
              <w:right w:val="single" w:sz="4" w:space="0" w:color="auto"/>
            </w:tcBorders>
            <w:shd w:val="clear" w:color="auto" w:fill="auto"/>
            <w:noWrap/>
            <w:vAlign w:val="bottom"/>
            <w:hideMark/>
          </w:tcPr>
          <w:p w:rsidR="00ED1776" w:rsidRPr="001936A2" w:rsidRDefault="00ED1776" w:rsidP="00F62560">
            <w:pPr>
              <w:rPr>
                <w:rFonts w:ascii="Calibri" w:eastAsia="Times New Roman" w:hAnsi="Calibri" w:cs="Times New Roman"/>
                <w:color w:val="000000"/>
              </w:rPr>
            </w:pPr>
            <w:r w:rsidRPr="00ED1776">
              <w:rPr>
                <w:rFonts w:ascii="Calibri" w:eastAsia="Times New Roman" w:hAnsi="Calibri" w:cs="Times New Roman"/>
                <w:color w:val="000000"/>
              </w:rPr>
              <w:t>Measure 2: Electronic Transmission and Receipt</w:t>
            </w:r>
          </w:p>
        </w:tc>
      </w:tr>
    </w:tbl>
    <w:p w:rsidR="00ED1776" w:rsidRDefault="00ED1776" w:rsidP="00ED1776"/>
    <w:p w:rsidR="00ED1776" w:rsidRDefault="00ED1776" w:rsidP="00C82B10"/>
    <w:p w:rsidR="00C82B10" w:rsidRDefault="00C82B10" w:rsidP="00C82B10"/>
    <w:p w:rsidR="00C82B10" w:rsidRDefault="002C0E5F" w:rsidP="00C82B10">
      <w:r>
        <w:rPr>
          <w:noProof/>
        </w:rPr>
        <w:drawing>
          <wp:inline distT="0" distB="0" distL="0" distR="0">
            <wp:extent cx="6854190" cy="4540250"/>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B53884" w:rsidRDefault="00C82B10" w:rsidP="00C82B10">
      <w:r>
        <w:br w:type="page"/>
      </w:r>
    </w:p>
    <w:p w:rsidR="00A2168F" w:rsidRPr="008B51F5" w:rsidRDefault="00A2168F" w:rsidP="00A2168F">
      <w:pPr>
        <w:pStyle w:val="Heading3"/>
      </w:pPr>
      <w:bookmarkStart w:id="94" w:name="_Toc390171202"/>
      <w:r>
        <w:t>Summary of Care</w:t>
      </w:r>
      <w:r w:rsidRPr="008B51F5">
        <w:t xml:space="preserve">: </w:t>
      </w:r>
      <w:r w:rsidRPr="00AB1945">
        <w:t>Recording of Numerator in Valant</w:t>
      </w:r>
      <w:bookmarkEnd w:id="94"/>
    </w:p>
    <w:p w:rsidR="00C339D6" w:rsidRDefault="00C339D6" w:rsidP="00A61B9A"/>
    <w:p w:rsidR="00C339D6" w:rsidRDefault="00C64C61" w:rsidP="00A61B9A">
      <w:r>
        <w:t xml:space="preserve">This measure is based entirely around the function of transferring or referring a patient to another provider or setting. </w:t>
      </w:r>
      <w:r w:rsidR="009F59F9">
        <w:t>A</w:t>
      </w:r>
      <w:r>
        <w:t xml:space="preserve"> Transfer of Care or Referral </w:t>
      </w:r>
      <w:r w:rsidR="009F59F9">
        <w:t xml:space="preserve">for a patient can be indicated under the </w:t>
      </w:r>
      <w:r w:rsidR="009F59F9" w:rsidRPr="009F59F9">
        <w:rPr>
          <w:b/>
        </w:rPr>
        <w:t>Transfer of Care</w:t>
      </w:r>
      <w:r w:rsidR="009F59F9">
        <w:t xml:space="preserve"> tab in the patient chart. </w:t>
      </w:r>
    </w:p>
    <w:p w:rsidR="00C64C61" w:rsidRDefault="00C64C61" w:rsidP="00A61B9A"/>
    <w:p w:rsidR="00C64C61" w:rsidRDefault="00C64C61" w:rsidP="00C64C61">
      <w:r>
        <w:t xml:space="preserve">For more information on the Transfer of Care/Referral feature beyond what is described here, please refer to documentation </w:t>
      </w:r>
      <w:r w:rsidRPr="00D377DD">
        <w:rPr>
          <w:highlight w:val="yellow"/>
        </w:rPr>
        <w:t>XXXXX</w:t>
      </w:r>
      <w:r>
        <w:t>.</w:t>
      </w:r>
    </w:p>
    <w:p w:rsidR="00C64C61" w:rsidRDefault="00C64C61" w:rsidP="00A61B9A"/>
    <w:p w:rsidR="00C64C61" w:rsidRDefault="00C64C61" w:rsidP="00A61B9A">
      <w:r>
        <w:rPr>
          <w:noProof/>
        </w:rPr>
        <w:drawing>
          <wp:inline distT="0" distB="0" distL="0" distR="0" wp14:anchorId="18EFCD48" wp14:editId="42A2F7D5">
            <wp:extent cx="6848475" cy="20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48475" cy="209550"/>
                    </a:xfrm>
                    <a:prstGeom prst="rect">
                      <a:avLst/>
                    </a:prstGeom>
                    <a:noFill/>
                    <a:ln>
                      <a:noFill/>
                    </a:ln>
                  </pic:spPr>
                </pic:pic>
              </a:graphicData>
            </a:graphic>
          </wp:inline>
        </w:drawing>
      </w:r>
    </w:p>
    <w:p w:rsidR="00A2168F" w:rsidRDefault="00A2168F" w:rsidP="00A61B9A"/>
    <w:p w:rsidR="00A2168F" w:rsidRDefault="00A2168F" w:rsidP="00A61B9A"/>
    <w:p w:rsidR="009F59F9" w:rsidRDefault="009F59F9" w:rsidP="00A61B9A"/>
    <w:p w:rsidR="00A2168F" w:rsidRDefault="009F59F9" w:rsidP="00A61B9A">
      <w:r>
        <w:t xml:space="preserve">Under the </w:t>
      </w:r>
      <w:r w:rsidRPr="009F59F9">
        <w:rPr>
          <w:b/>
        </w:rPr>
        <w:t>Transfer of Care</w:t>
      </w:r>
      <w:r>
        <w:t xml:space="preserve"> tab, choosing the option </w:t>
      </w:r>
      <w:r w:rsidRPr="009F59F9">
        <w:rPr>
          <w:b/>
        </w:rPr>
        <w:t>New Transfer of Care/Referral</w:t>
      </w:r>
      <w:r>
        <w:t xml:space="preserve"> from the lower table will start the Transfer of Care process. </w:t>
      </w:r>
    </w:p>
    <w:p w:rsidR="009F59F9" w:rsidRDefault="009F59F9" w:rsidP="00A61B9A"/>
    <w:p w:rsidR="00A2168F" w:rsidRDefault="00C64C61" w:rsidP="00A61B9A">
      <w:r>
        <w:rPr>
          <w:noProof/>
        </w:rPr>
        <w:drawing>
          <wp:inline distT="0" distB="0" distL="0" distR="0" wp14:anchorId="010A7475" wp14:editId="09226A53">
            <wp:extent cx="6854190" cy="139954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4190" cy="1399540"/>
                    </a:xfrm>
                    <a:prstGeom prst="rect">
                      <a:avLst/>
                    </a:prstGeom>
                    <a:noFill/>
                    <a:ln>
                      <a:noFill/>
                    </a:ln>
                  </pic:spPr>
                </pic:pic>
              </a:graphicData>
            </a:graphic>
          </wp:inline>
        </w:drawing>
      </w:r>
    </w:p>
    <w:p w:rsidR="009F59F9" w:rsidRDefault="00C339D6" w:rsidP="00A61B9A">
      <w:r>
        <w:t xml:space="preserve"> </w:t>
      </w:r>
      <w:r w:rsidR="009F59F9">
        <w:br w:type="page"/>
      </w:r>
    </w:p>
    <w:p w:rsidR="00C64C61" w:rsidRDefault="00905933" w:rsidP="00A61B9A">
      <w:r>
        <w:t xml:space="preserve">Once the New Transfer of Care/Referral button has been clicked, the transfer/referral can be indicated in the </w:t>
      </w:r>
      <w:r w:rsidRPr="00905933">
        <w:rPr>
          <w:b/>
        </w:rPr>
        <w:t xml:space="preserve">New Transfer of Care/Referral </w:t>
      </w:r>
      <w:r>
        <w:t xml:space="preserve">dialogue window which results. </w:t>
      </w:r>
      <w:r w:rsidR="00AA3148">
        <w:t>There are three main options to choose from which relate to how the tra</w:t>
      </w:r>
      <w:r w:rsidR="001673FC">
        <w:t>nsfer of care/referral occurred and only one option can be selected for each transfer of care/referral. The options are:</w:t>
      </w:r>
    </w:p>
    <w:p w:rsidR="00AA3148" w:rsidRDefault="00AA3148" w:rsidP="00A61B9A"/>
    <w:p w:rsidR="00AA3148" w:rsidRPr="001673FC" w:rsidRDefault="001673FC" w:rsidP="001673FC">
      <w:pPr>
        <w:pStyle w:val="ListParagraph"/>
        <w:numPr>
          <w:ilvl w:val="0"/>
          <w:numId w:val="6"/>
        </w:numPr>
        <w:rPr>
          <w:b/>
        </w:rPr>
      </w:pPr>
      <w:r w:rsidRPr="001673FC">
        <w:rPr>
          <w:b/>
        </w:rPr>
        <w:t>Transfer of Care/Referral with a Summary of Care provided using Direct Messaging</w:t>
      </w:r>
    </w:p>
    <w:p w:rsidR="001673FC" w:rsidRDefault="001673FC" w:rsidP="001673FC">
      <w:pPr>
        <w:pStyle w:val="ListParagraph"/>
        <w:numPr>
          <w:ilvl w:val="1"/>
          <w:numId w:val="6"/>
        </w:numPr>
      </w:pPr>
      <w:r>
        <w:t xml:space="preserve">This option, when used, will satisfy Measure 1 and Measure 2 </w:t>
      </w:r>
    </w:p>
    <w:p w:rsidR="001673FC" w:rsidRDefault="001673FC" w:rsidP="001673FC">
      <w:pPr>
        <w:pStyle w:val="ListParagraph"/>
        <w:numPr>
          <w:ilvl w:val="1"/>
          <w:numId w:val="6"/>
        </w:numPr>
      </w:pPr>
      <w:r>
        <w:t>If the recipient of the transfer/referral is a provider not using the Valant Premium Psychiatric suite, then this feature can also be used to satisfy Measure 3</w:t>
      </w:r>
    </w:p>
    <w:p w:rsidR="00C64C61" w:rsidRPr="001673FC" w:rsidRDefault="001673FC" w:rsidP="001673FC">
      <w:pPr>
        <w:pStyle w:val="ListParagraph"/>
        <w:numPr>
          <w:ilvl w:val="0"/>
          <w:numId w:val="6"/>
        </w:numPr>
        <w:rPr>
          <w:b/>
        </w:rPr>
      </w:pPr>
      <w:r w:rsidRPr="001673FC">
        <w:rPr>
          <w:b/>
        </w:rPr>
        <w:t>Transfer of Care/Referral with a Summary of Care provided by a method other than Direct Messaging</w:t>
      </w:r>
    </w:p>
    <w:p w:rsidR="001673FC" w:rsidRDefault="001673FC" w:rsidP="001673FC">
      <w:pPr>
        <w:pStyle w:val="ListParagraph"/>
        <w:numPr>
          <w:ilvl w:val="1"/>
          <w:numId w:val="6"/>
        </w:numPr>
      </w:pPr>
      <w:r>
        <w:t>This option, when used, will satisfy Measure 1</w:t>
      </w:r>
      <w:r w:rsidR="003D5CE0">
        <w:t xml:space="preserve"> only</w:t>
      </w:r>
      <w:r>
        <w:t xml:space="preserve"> </w:t>
      </w:r>
    </w:p>
    <w:p w:rsidR="001673FC" w:rsidRPr="001673FC" w:rsidRDefault="001673FC" w:rsidP="001673FC">
      <w:pPr>
        <w:pStyle w:val="ListParagraph"/>
        <w:numPr>
          <w:ilvl w:val="0"/>
          <w:numId w:val="6"/>
        </w:numPr>
        <w:rPr>
          <w:b/>
        </w:rPr>
      </w:pPr>
      <w:r w:rsidRPr="001673FC">
        <w:rPr>
          <w:b/>
        </w:rPr>
        <w:t>Transfer of Care/Referral without creating a Summary of Care</w:t>
      </w:r>
    </w:p>
    <w:p w:rsidR="001673FC" w:rsidRDefault="001673FC" w:rsidP="001673FC">
      <w:pPr>
        <w:pStyle w:val="ListParagraph"/>
        <w:numPr>
          <w:ilvl w:val="1"/>
          <w:numId w:val="6"/>
        </w:numPr>
      </w:pPr>
      <w:r>
        <w:t>This option, when used, will not satisfy any of the measures</w:t>
      </w:r>
    </w:p>
    <w:p w:rsidR="00C64C61" w:rsidRDefault="00C64C61" w:rsidP="00A61B9A"/>
    <w:p w:rsidR="001673FC" w:rsidRDefault="00C64C61" w:rsidP="00905933">
      <w:pPr>
        <w:jc w:val="center"/>
      </w:pPr>
      <w:r>
        <w:rPr>
          <w:noProof/>
        </w:rPr>
        <w:drawing>
          <wp:inline distT="0" distB="0" distL="0" distR="0" wp14:anchorId="0855A003" wp14:editId="57E8585C">
            <wp:extent cx="5629275" cy="330009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9275" cy="3300095"/>
                    </a:xfrm>
                    <a:prstGeom prst="rect">
                      <a:avLst/>
                    </a:prstGeom>
                    <a:noFill/>
                    <a:ln>
                      <a:noFill/>
                    </a:ln>
                  </pic:spPr>
                </pic:pic>
              </a:graphicData>
            </a:graphic>
          </wp:inline>
        </w:drawing>
      </w:r>
    </w:p>
    <w:p w:rsidR="001673FC" w:rsidRDefault="001673FC" w:rsidP="001673FC"/>
    <w:p w:rsidR="001673FC" w:rsidRDefault="001673FC" w:rsidP="001673FC"/>
    <w:p w:rsidR="003D5CE0" w:rsidRDefault="003D5CE0" w:rsidP="001673FC">
      <w:r>
        <w:br w:type="page"/>
      </w:r>
    </w:p>
    <w:p w:rsidR="00BA12F1" w:rsidRDefault="00BA12F1" w:rsidP="001673FC">
      <w:r>
        <w:t xml:space="preserve">When using the option to send the Summary of Care using Direct Messaging, both a recipient and a subject must be provided. The recipient is chosen from a drop down list of </w:t>
      </w:r>
      <w:r w:rsidR="004A2506">
        <w:t xml:space="preserve">providers who are on the Direct Messaging contact list for the practice. If a recipient outside of this list is to be the receiver of the transfer/referral, then the recipient needs to be added to the Direct Messaging contact list prior to using this feature. </w:t>
      </w:r>
    </w:p>
    <w:p w:rsidR="00BA12F1" w:rsidRDefault="00BA12F1" w:rsidP="001673FC"/>
    <w:p w:rsidR="003D5CE0" w:rsidRDefault="003D5CE0" w:rsidP="001673FC"/>
    <w:p w:rsidR="001673FC" w:rsidRDefault="003D5CE0" w:rsidP="00BA12F1">
      <w:pPr>
        <w:jc w:val="center"/>
      </w:pPr>
      <w:r>
        <w:rPr>
          <w:noProof/>
        </w:rPr>
        <w:drawing>
          <wp:inline distT="0" distB="0" distL="0" distR="0" wp14:anchorId="0792ABA3" wp14:editId="20CF3ECB">
            <wp:extent cx="5669280" cy="3307715"/>
            <wp:effectExtent l="0" t="0" r="762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9280" cy="3307715"/>
                    </a:xfrm>
                    <a:prstGeom prst="rect">
                      <a:avLst/>
                    </a:prstGeom>
                    <a:noFill/>
                    <a:ln>
                      <a:noFill/>
                    </a:ln>
                  </pic:spPr>
                </pic:pic>
              </a:graphicData>
            </a:graphic>
          </wp:inline>
        </w:drawing>
      </w:r>
    </w:p>
    <w:p w:rsidR="003D5CE0" w:rsidRDefault="003D5CE0" w:rsidP="001673FC"/>
    <w:p w:rsidR="003D5CE0" w:rsidRDefault="003D5CE0" w:rsidP="001673FC"/>
    <w:p w:rsidR="00BA12F1" w:rsidRDefault="00BA12F1" w:rsidP="001673FC"/>
    <w:p w:rsidR="00A73C83" w:rsidRDefault="00A73C83" w:rsidP="001673FC"/>
    <w:p w:rsidR="00BA12F1" w:rsidRDefault="00BA12F1" w:rsidP="001673FC">
      <w:r>
        <w:t xml:space="preserve">Clicking the OK button </w:t>
      </w:r>
      <w:r w:rsidR="00A73C83">
        <w:t>after c</w:t>
      </w:r>
      <w:r>
        <w:t xml:space="preserve">hoosing the method of the transfer/referral as well as filling the required fields will </w:t>
      </w:r>
      <w:r w:rsidR="00A73C83">
        <w:t xml:space="preserve">result in the transfer/referral appearing in the table. It is important to note that, in order to receive credit for Measure 2, not only must a Summary of Care be sent via Direct Messaging, but that message must be received by the recipient. </w:t>
      </w:r>
      <w:r w:rsidR="00CC7D58">
        <w:t xml:space="preserve">This means that Direct Addresses for recipients cannot be invalid nor can Summary of Cares be sent to Direct Addresses that are not yet vetted. </w:t>
      </w:r>
    </w:p>
    <w:p w:rsidR="003D5CE0" w:rsidRDefault="003D5CE0" w:rsidP="001673FC"/>
    <w:p w:rsidR="003D5CE0" w:rsidRDefault="003D5CE0" w:rsidP="001673FC">
      <w:r>
        <w:rPr>
          <w:noProof/>
        </w:rPr>
        <w:drawing>
          <wp:inline distT="0" distB="0" distL="0" distR="0" wp14:anchorId="49A8BC86" wp14:editId="69554528">
            <wp:extent cx="6854190" cy="171767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4190" cy="1717675"/>
                    </a:xfrm>
                    <a:prstGeom prst="rect">
                      <a:avLst/>
                    </a:prstGeom>
                    <a:noFill/>
                    <a:ln>
                      <a:noFill/>
                    </a:ln>
                  </pic:spPr>
                </pic:pic>
              </a:graphicData>
            </a:graphic>
          </wp:inline>
        </w:drawing>
      </w:r>
    </w:p>
    <w:p w:rsidR="003D5CE0" w:rsidRDefault="003D5CE0" w:rsidP="001673FC"/>
    <w:p w:rsidR="003D5CE0" w:rsidRDefault="003D5CE0" w:rsidP="001673FC"/>
    <w:p w:rsidR="00AE7EFC" w:rsidRDefault="00AE7EFC">
      <w:r>
        <w:br w:type="page"/>
      </w:r>
    </w:p>
    <w:p w:rsidR="00984586" w:rsidRDefault="00AE7EFC" w:rsidP="00AE7EFC">
      <w:pPr>
        <w:pStyle w:val="Heading2"/>
      </w:pPr>
      <w:bookmarkStart w:id="95" w:name="_Toc390171203"/>
      <w:r w:rsidRPr="005D511B">
        <w:rPr>
          <w:rFonts w:eastAsia="Times New Roman"/>
        </w:rPr>
        <w:t>Stage 2 - Core #16: Immuniza</w:t>
      </w:r>
      <w:r>
        <w:rPr>
          <w:rFonts w:eastAsia="Times New Roman"/>
        </w:rPr>
        <w:t>tion Registries Data Submission</w:t>
      </w:r>
      <w:bookmarkEnd w:id="95"/>
      <w:r>
        <w:t xml:space="preserve"> </w:t>
      </w:r>
    </w:p>
    <w:p w:rsidR="00AE7EFC" w:rsidRDefault="00AE7EFC" w:rsidP="001673FC"/>
    <w:tbl>
      <w:tblPr>
        <w:tblW w:w="10905" w:type="dxa"/>
        <w:tblInd w:w="93" w:type="dxa"/>
        <w:tblLook w:val="04A0" w:firstRow="1" w:lastRow="0" w:firstColumn="1" w:lastColumn="0" w:noHBand="0" w:noVBand="1"/>
      </w:tblPr>
      <w:tblGrid>
        <w:gridCol w:w="1340"/>
        <w:gridCol w:w="9565"/>
      </w:tblGrid>
      <w:tr w:rsidR="005D511B" w:rsidRPr="005D511B" w:rsidTr="005D511B">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5D511B" w:rsidRPr="00AE7EFC" w:rsidRDefault="005D511B" w:rsidP="00AE7EFC">
            <w:pPr>
              <w:rPr>
                <w:b/>
              </w:rPr>
            </w:pPr>
            <w:r w:rsidRPr="00AE7EFC">
              <w:rPr>
                <w:b/>
                <w:color w:val="FFFFFF" w:themeColor="background1"/>
                <w:sz w:val="32"/>
              </w:rPr>
              <w:t>Immuniza</w:t>
            </w:r>
            <w:r w:rsidR="001607F4" w:rsidRPr="00AE7EFC">
              <w:rPr>
                <w:b/>
                <w:color w:val="FFFFFF" w:themeColor="background1"/>
                <w:sz w:val="32"/>
              </w:rPr>
              <w:t>tion Registries Data Submission</w:t>
            </w:r>
          </w:p>
        </w:tc>
      </w:tr>
      <w:tr w:rsidR="005D511B" w:rsidRPr="005D511B" w:rsidTr="005D511B">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5D511B" w:rsidRPr="005D511B" w:rsidRDefault="005D511B" w:rsidP="005D511B">
            <w:pPr>
              <w:jc w:val="right"/>
              <w:rPr>
                <w:rFonts w:ascii="Calibri" w:eastAsia="Times New Roman" w:hAnsi="Calibri" w:cs="Times New Roman"/>
                <w:b/>
                <w:bCs/>
                <w:color w:val="FFFFFF"/>
              </w:rPr>
            </w:pPr>
            <w:r w:rsidRPr="005D511B">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5D511B" w:rsidRPr="005D511B" w:rsidRDefault="005D511B" w:rsidP="005D511B">
            <w:pPr>
              <w:rPr>
                <w:rFonts w:ascii="Calibri" w:eastAsia="Times New Roman" w:hAnsi="Calibri" w:cs="Times New Roman"/>
                <w:color w:val="000000"/>
              </w:rPr>
            </w:pPr>
            <w:r w:rsidRPr="005D511B">
              <w:rPr>
                <w:rFonts w:ascii="Calibri" w:eastAsia="Times New Roman" w:hAnsi="Calibri" w:cs="Times New Roman"/>
                <w:color w:val="000000"/>
              </w:rPr>
              <w:t>Capability to submit electronic data to immunization registries or immunization information systems except where prohibited, and in accordance with applicable law and practice</w:t>
            </w:r>
          </w:p>
        </w:tc>
      </w:tr>
      <w:tr w:rsidR="005D511B" w:rsidRPr="005D511B" w:rsidTr="005D511B">
        <w:trPr>
          <w:trHeight w:val="300"/>
        </w:trPr>
        <w:tc>
          <w:tcPr>
            <w:tcW w:w="1340" w:type="dxa"/>
            <w:vMerge/>
            <w:tcBorders>
              <w:top w:val="nil"/>
              <w:left w:val="single" w:sz="4" w:space="0" w:color="auto"/>
              <w:bottom w:val="nil"/>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r w:rsidR="005D511B" w:rsidRPr="005D511B" w:rsidTr="005D511B">
        <w:trPr>
          <w:trHeight w:val="300"/>
        </w:trPr>
        <w:tc>
          <w:tcPr>
            <w:tcW w:w="1340" w:type="dxa"/>
            <w:vMerge/>
            <w:tcBorders>
              <w:top w:val="nil"/>
              <w:left w:val="single" w:sz="4" w:space="0" w:color="auto"/>
              <w:bottom w:val="nil"/>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r w:rsidR="005D511B" w:rsidRPr="005D511B" w:rsidTr="005D511B">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5D511B" w:rsidRPr="005D511B" w:rsidRDefault="005D511B" w:rsidP="005D511B">
            <w:pPr>
              <w:jc w:val="right"/>
              <w:rPr>
                <w:rFonts w:ascii="Calibri" w:eastAsia="Times New Roman" w:hAnsi="Calibri" w:cs="Times New Roman"/>
                <w:b/>
                <w:bCs/>
                <w:color w:val="FFFFFF"/>
              </w:rPr>
            </w:pPr>
            <w:r w:rsidRPr="005D511B">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D511B" w:rsidRPr="005D511B" w:rsidRDefault="005D511B" w:rsidP="005D511B">
            <w:pPr>
              <w:rPr>
                <w:rFonts w:ascii="Calibri" w:eastAsia="Times New Roman" w:hAnsi="Calibri" w:cs="Times New Roman"/>
                <w:color w:val="000000"/>
              </w:rPr>
            </w:pPr>
            <w:r w:rsidRPr="005D511B">
              <w:rPr>
                <w:rFonts w:ascii="Calibri" w:eastAsia="Times New Roman" w:hAnsi="Calibri" w:cs="Times New Roman"/>
                <w:color w:val="000000"/>
              </w:rPr>
              <w:t>Successful ongoing submission of electronic immunization data from CEHRT to an immunization registry or immunization information system for the entire EHR reporting period</w:t>
            </w:r>
          </w:p>
        </w:tc>
      </w:tr>
      <w:tr w:rsidR="005D511B" w:rsidRPr="005D511B" w:rsidTr="005D511B">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r w:rsidR="005D511B" w:rsidRPr="005D511B" w:rsidTr="005D511B">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r w:rsidR="005D511B" w:rsidRPr="005D511B" w:rsidTr="005D511B">
        <w:trPr>
          <w:trHeight w:val="300"/>
        </w:trPr>
        <w:tc>
          <w:tcPr>
            <w:tcW w:w="1340" w:type="dxa"/>
            <w:vMerge w:val="restart"/>
            <w:tcBorders>
              <w:top w:val="nil"/>
              <w:left w:val="single" w:sz="4" w:space="0" w:color="auto"/>
              <w:bottom w:val="nil"/>
              <w:right w:val="nil"/>
            </w:tcBorders>
            <w:shd w:val="clear" w:color="000000" w:fill="1F497D"/>
            <w:vAlign w:val="center"/>
            <w:hideMark/>
          </w:tcPr>
          <w:p w:rsidR="005D511B" w:rsidRPr="005D511B" w:rsidRDefault="005D511B" w:rsidP="005D511B">
            <w:pPr>
              <w:jc w:val="right"/>
              <w:rPr>
                <w:rFonts w:ascii="Calibri" w:eastAsia="Times New Roman" w:hAnsi="Calibri" w:cs="Times New Roman"/>
                <w:b/>
                <w:bCs/>
                <w:color w:val="FFFFFF"/>
              </w:rPr>
            </w:pPr>
            <w:r w:rsidRPr="005D511B">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D511B" w:rsidRDefault="005D511B" w:rsidP="005D511B">
            <w:pPr>
              <w:rPr>
                <w:rFonts w:ascii="Calibri" w:eastAsia="Times New Roman" w:hAnsi="Calibri" w:cs="Times New Roman"/>
                <w:color w:val="000000"/>
              </w:rPr>
            </w:pPr>
            <w:r w:rsidRPr="005D511B">
              <w:rPr>
                <w:rFonts w:ascii="Calibri" w:eastAsia="Times New Roman" w:hAnsi="Calibri" w:cs="Times New Roman"/>
                <w:color w:val="000000"/>
              </w:rPr>
              <w:t xml:space="preserve">Any EP that meets one or more of the following criteria may be excluded from this </w:t>
            </w:r>
            <w:r w:rsidRPr="005D511B">
              <w:rPr>
                <w:rFonts w:ascii="Calibri" w:eastAsia="Times New Roman" w:hAnsi="Calibri" w:cs="Times New Roman"/>
                <w:color w:val="000000"/>
              </w:rPr>
              <w:br/>
              <w:t xml:space="preserve">objective: </w:t>
            </w:r>
          </w:p>
          <w:p w:rsidR="005D511B" w:rsidRDefault="005D511B" w:rsidP="005D511B">
            <w:pPr>
              <w:pStyle w:val="ListParagraph"/>
              <w:numPr>
                <w:ilvl w:val="0"/>
                <w:numId w:val="15"/>
              </w:numPr>
              <w:rPr>
                <w:rFonts w:ascii="Calibri" w:eastAsia="Times New Roman" w:hAnsi="Calibri" w:cs="Times New Roman"/>
                <w:color w:val="000000"/>
              </w:rPr>
            </w:pPr>
            <w:r w:rsidRPr="005D511B">
              <w:rPr>
                <w:rFonts w:ascii="Calibri" w:eastAsia="Times New Roman" w:hAnsi="Calibri" w:cs="Times New Roman"/>
                <w:color w:val="000000"/>
              </w:rPr>
              <w:t xml:space="preserve">the EP does not administer any of the immunizations to any of the populations for which data is collected by their jurisdiction's immunization registry or immunization information system during the EHR reporting period; </w:t>
            </w:r>
          </w:p>
          <w:p w:rsidR="005D511B" w:rsidRDefault="005D511B" w:rsidP="005D511B">
            <w:pPr>
              <w:pStyle w:val="ListParagraph"/>
              <w:numPr>
                <w:ilvl w:val="0"/>
                <w:numId w:val="15"/>
              </w:numPr>
              <w:rPr>
                <w:rFonts w:ascii="Calibri" w:eastAsia="Times New Roman" w:hAnsi="Calibri" w:cs="Times New Roman"/>
                <w:color w:val="000000"/>
              </w:rPr>
            </w:pPr>
            <w:r w:rsidRPr="005D511B">
              <w:rPr>
                <w:rFonts w:ascii="Calibri" w:eastAsia="Times New Roman" w:hAnsi="Calibri" w:cs="Times New Roman"/>
                <w:color w:val="000000"/>
              </w:rPr>
              <w:t xml:space="preserve">the EP operates in a jurisdiction for which no immunization registry or immunization information system is capable of accepting the specific standards required for CEHRT at the start </w:t>
            </w:r>
            <w:r>
              <w:rPr>
                <w:rFonts w:ascii="Calibri" w:eastAsia="Times New Roman" w:hAnsi="Calibri" w:cs="Times New Roman"/>
                <w:color w:val="000000"/>
              </w:rPr>
              <w:t xml:space="preserve">of their EHR reporting period; </w:t>
            </w:r>
          </w:p>
          <w:p w:rsidR="005D511B" w:rsidRDefault="005D511B" w:rsidP="005D511B">
            <w:pPr>
              <w:pStyle w:val="ListParagraph"/>
              <w:numPr>
                <w:ilvl w:val="0"/>
                <w:numId w:val="15"/>
              </w:numPr>
              <w:rPr>
                <w:rFonts w:ascii="Calibri" w:eastAsia="Times New Roman" w:hAnsi="Calibri" w:cs="Times New Roman"/>
                <w:color w:val="000000"/>
              </w:rPr>
            </w:pPr>
            <w:r w:rsidRPr="005D511B">
              <w:rPr>
                <w:rFonts w:ascii="Calibri" w:eastAsia="Times New Roman" w:hAnsi="Calibri" w:cs="Times New Roman"/>
                <w:color w:val="000000"/>
              </w:rPr>
              <w:t>the EP operates in a jurisdiction where no immunization registry or immunization information system provides information timely on capability to</w:t>
            </w:r>
            <w:r>
              <w:rPr>
                <w:rFonts w:ascii="Calibri" w:eastAsia="Times New Roman" w:hAnsi="Calibri" w:cs="Times New Roman"/>
                <w:color w:val="000000"/>
              </w:rPr>
              <w:t xml:space="preserve"> receive immunization data; or</w:t>
            </w:r>
          </w:p>
          <w:p w:rsidR="005D511B" w:rsidRPr="005D511B" w:rsidRDefault="005D511B" w:rsidP="005D511B">
            <w:pPr>
              <w:pStyle w:val="ListParagraph"/>
              <w:numPr>
                <w:ilvl w:val="0"/>
                <w:numId w:val="15"/>
              </w:numPr>
              <w:rPr>
                <w:rFonts w:ascii="Calibri" w:eastAsia="Times New Roman" w:hAnsi="Calibri" w:cs="Times New Roman"/>
                <w:color w:val="000000"/>
              </w:rPr>
            </w:pPr>
            <w:r w:rsidRPr="005D511B">
              <w:rPr>
                <w:rFonts w:ascii="Calibri" w:eastAsia="Times New Roman" w:hAnsi="Calibri" w:cs="Times New Roman"/>
                <w:color w:val="000000"/>
              </w:rPr>
              <w:t>the EP operates in a jurisdiction for which no immunization registry or immunization information system that is capable of accepting the specific standards required  by CEHRT at the start of their EHR reporting period can enroll additional EPs.</w:t>
            </w:r>
          </w:p>
        </w:tc>
      </w:tr>
      <w:tr w:rsidR="005D511B" w:rsidRPr="005D511B" w:rsidTr="005D511B">
        <w:trPr>
          <w:trHeight w:val="300"/>
        </w:trPr>
        <w:tc>
          <w:tcPr>
            <w:tcW w:w="1340" w:type="dxa"/>
            <w:vMerge/>
            <w:tcBorders>
              <w:top w:val="nil"/>
              <w:left w:val="single" w:sz="4" w:space="0" w:color="auto"/>
              <w:bottom w:val="nil"/>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r w:rsidR="005D511B" w:rsidRPr="005D511B" w:rsidTr="005D511B">
        <w:trPr>
          <w:trHeight w:val="300"/>
        </w:trPr>
        <w:tc>
          <w:tcPr>
            <w:tcW w:w="1340" w:type="dxa"/>
            <w:vMerge/>
            <w:tcBorders>
              <w:top w:val="nil"/>
              <w:left w:val="single" w:sz="4" w:space="0" w:color="auto"/>
              <w:bottom w:val="nil"/>
              <w:right w:val="nil"/>
            </w:tcBorders>
            <w:vAlign w:val="center"/>
            <w:hideMark/>
          </w:tcPr>
          <w:p w:rsidR="005D511B" w:rsidRPr="005D511B" w:rsidRDefault="005D511B" w:rsidP="005D511B">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D511B" w:rsidRPr="005D511B" w:rsidRDefault="005D511B" w:rsidP="005D511B">
            <w:pPr>
              <w:rPr>
                <w:rFonts w:ascii="Calibri" w:eastAsia="Times New Roman" w:hAnsi="Calibri" w:cs="Times New Roman"/>
                <w:color w:val="000000"/>
              </w:rPr>
            </w:pPr>
          </w:p>
        </w:tc>
      </w:tr>
    </w:tbl>
    <w:p w:rsidR="00984586" w:rsidRDefault="00984586" w:rsidP="00984586"/>
    <w:p w:rsidR="001607F4" w:rsidRDefault="001607F4" w:rsidP="00984586"/>
    <w:tbl>
      <w:tblPr>
        <w:tblW w:w="10815" w:type="dxa"/>
        <w:tblInd w:w="93" w:type="dxa"/>
        <w:tblLook w:val="04A0" w:firstRow="1" w:lastRow="0" w:firstColumn="1" w:lastColumn="0" w:noHBand="0" w:noVBand="1"/>
      </w:tblPr>
      <w:tblGrid>
        <w:gridCol w:w="1435"/>
        <w:gridCol w:w="9380"/>
      </w:tblGrid>
      <w:tr w:rsidR="00813CD9" w:rsidRPr="00244863" w:rsidTr="00F62560">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813CD9" w:rsidRPr="00244863" w:rsidRDefault="00813CD9" w:rsidP="00F62560">
            <w:pPr>
              <w:rPr>
                <w:rFonts w:ascii="Calibri" w:eastAsia="Times New Roman" w:hAnsi="Calibri" w:cs="Times New Roman"/>
                <w:b/>
                <w:bCs/>
                <w:color w:val="FFFFFF"/>
                <w:sz w:val="28"/>
                <w:szCs w:val="28"/>
              </w:rPr>
            </w:pPr>
            <w:r w:rsidRPr="00813CD9">
              <w:rPr>
                <w:rFonts w:ascii="Calibri" w:eastAsia="Times New Roman" w:hAnsi="Calibri" w:cs="Times New Roman"/>
                <w:b/>
                <w:bCs/>
                <w:color w:val="FFFFFF"/>
                <w:sz w:val="28"/>
                <w:szCs w:val="28"/>
              </w:rPr>
              <w:t>Immunization Registries Data Submission</w:t>
            </w:r>
            <w:r>
              <w:rPr>
                <w:rFonts w:ascii="Calibri" w:eastAsia="Times New Roman" w:hAnsi="Calibri" w:cs="Times New Roman"/>
                <w:b/>
                <w:bCs/>
                <w:color w:val="FFFFFF"/>
                <w:sz w:val="28"/>
                <w:szCs w:val="28"/>
              </w:rPr>
              <w:t>:</w:t>
            </w:r>
            <w:r w:rsidRPr="009C005F">
              <w:rPr>
                <w:rFonts w:ascii="Calibri" w:eastAsia="Times New Roman" w:hAnsi="Calibri" w:cs="Times New Roman"/>
                <w:b/>
                <w:bCs/>
                <w:color w:val="FFFFFF"/>
                <w:sz w:val="28"/>
                <w:szCs w:val="28"/>
              </w:rPr>
              <w:t xml:space="preserve"> </w:t>
            </w:r>
            <w:r>
              <w:rPr>
                <w:rFonts w:ascii="Calibri" w:eastAsia="Times New Roman" w:hAnsi="Calibri" w:cs="Times New Roman"/>
                <w:b/>
                <w:bCs/>
                <w:color w:val="FFFFFF"/>
                <w:sz w:val="28"/>
                <w:szCs w:val="28"/>
              </w:rPr>
              <w:t>Attestation Requirements</w:t>
            </w:r>
          </w:p>
        </w:tc>
      </w:tr>
      <w:tr w:rsidR="00813CD9" w:rsidRPr="00244863" w:rsidTr="00F62560">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813CD9" w:rsidRPr="00244863" w:rsidRDefault="00813CD9" w:rsidP="00F62560">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F64E05" w:rsidRPr="00F64E05" w:rsidRDefault="00F64E05" w:rsidP="00F64E05">
            <w:pPr>
              <w:rPr>
                <w:rFonts w:ascii="Calibri" w:eastAsia="Times New Roman" w:hAnsi="Calibri" w:cs="Times New Roman"/>
                <w:color w:val="000000"/>
              </w:rPr>
            </w:pPr>
            <w:r w:rsidRPr="00F64E05">
              <w:rPr>
                <w:rFonts w:ascii="Calibri" w:eastAsia="Times New Roman" w:hAnsi="Calibri" w:cs="Times New Roman"/>
                <w:color w:val="000000"/>
              </w:rPr>
              <w:t>The EP must attest YES to meeting one of the following criteria</w:t>
            </w:r>
            <w:r>
              <w:rPr>
                <w:rFonts w:ascii="Calibri" w:eastAsia="Times New Roman" w:hAnsi="Calibri" w:cs="Times New Roman"/>
                <w:color w:val="000000"/>
              </w:rPr>
              <w:t xml:space="preserve"> under the umbrella of ongoing </w:t>
            </w:r>
            <w:r w:rsidRPr="00F64E05">
              <w:rPr>
                <w:rFonts w:ascii="Calibri" w:eastAsia="Times New Roman" w:hAnsi="Calibri" w:cs="Times New Roman"/>
                <w:color w:val="000000"/>
              </w:rPr>
              <w:t xml:space="preserve">submission. </w:t>
            </w:r>
          </w:p>
          <w:p w:rsidR="00F64E05" w:rsidRPr="00F64E05" w:rsidRDefault="00F64E05" w:rsidP="00F64E05">
            <w:pPr>
              <w:pStyle w:val="ListParagraph"/>
              <w:numPr>
                <w:ilvl w:val="0"/>
                <w:numId w:val="25"/>
              </w:numPr>
              <w:rPr>
                <w:rFonts w:ascii="Calibri" w:eastAsia="Times New Roman" w:hAnsi="Calibri" w:cs="Times New Roman"/>
                <w:color w:val="000000"/>
              </w:rPr>
            </w:pPr>
            <w:r w:rsidRPr="00F64E05">
              <w:rPr>
                <w:rFonts w:ascii="Calibri" w:eastAsia="Times New Roman" w:hAnsi="Calibri" w:cs="Times New Roman"/>
                <w:color w:val="000000"/>
              </w:rPr>
              <w:t>Ongoing submission was already achieved for an EHR reporting period in a prior year and continues throughout the current EHR reporting period using either the current standard at 45 CFR 170.314(f)(1) and (f)(2) or the standards included in the 2011 Edition EHR certification</w:t>
            </w:r>
            <w:r>
              <w:t xml:space="preserve"> </w:t>
            </w:r>
            <w:r w:rsidRPr="00F64E05">
              <w:rPr>
                <w:rFonts w:ascii="Calibri" w:eastAsia="Times New Roman" w:hAnsi="Calibri" w:cs="Times New Roman"/>
                <w:color w:val="000000"/>
              </w:rPr>
              <w:t xml:space="preserve">criteria adopted by ONC during the prior EHR reporting period when ongoing submission was achieved. </w:t>
            </w:r>
          </w:p>
          <w:p w:rsidR="00F64E05" w:rsidRPr="00F64E05" w:rsidRDefault="00F64E05" w:rsidP="00F64E05">
            <w:pPr>
              <w:pStyle w:val="ListParagraph"/>
              <w:numPr>
                <w:ilvl w:val="0"/>
                <w:numId w:val="25"/>
              </w:numPr>
              <w:rPr>
                <w:rFonts w:ascii="Calibri" w:eastAsia="Times New Roman" w:hAnsi="Calibri" w:cs="Times New Roman"/>
                <w:color w:val="000000"/>
              </w:rPr>
            </w:pPr>
            <w:r w:rsidRPr="00F64E05">
              <w:rPr>
                <w:rFonts w:ascii="Calibri" w:eastAsia="Times New Roman" w:hAnsi="Calibri" w:cs="Times New Roman"/>
                <w:color w:val="000000"/>
              </w:rPr>
              <w:t xml:space="preserve">Registration with the PHA or other body to whom the information is being submitted of intent to initiate ongoing submission was made by the deadline (within 60 days of the start of the EHR reporting period) and ongoing submission was achieved. </w:t>
            </w:r>
          </w:p>
          <w:p w:rsidR="00F64E05" w:rsidRPr="00F64E05" w:rsidRDefault="00F64E05" w:rsidP="00F64E05">
            <w:pPr>
              <w:pStyle w:val="ListParagraph"/>
              <w:numPr>
                <w:ilvl w:val="0"/>
                <w:numId w:val="25"/>
              </w:numPr>
              <w:rPr>
                <w:rFonts w:ascii="Calibri" w:eastAsia="Times New Roman" w:hAnsi="Calibri" w:cs="Times New Roman"/>
                <w:color w:val="000000"/>
              </w:rPr>
            </w:pPr>
            <w:r w:rsidRPr="00F64E05">
              <w:rPr>
                <w:rFonts w:ascii="Calibri" w:eastAsia="Times New Roman" w:hAnsi="Calibri" w:cs="Times New Roman"/>
                <w:color w:val="000000"/>
              </w:rPr>
              <w:t>Registration of intent to initiate ongoing submission was made by the deadline and the EP or hospital is still engaged in testing and validation of ongoing electronic submission.</w:t>
            </w:r>
          </w:p>
          <w:p w:rsidR="00813CD9" w:rsidRPr="00F64E05" w:rsidRDefault="00F64E05" w:rsidP="00F64E05">
            <w:pPr>
              <w:pStyle w:val="ListParagraph"/>
              <w:numPr>
                <w:ilvl w:val="0"/>
                <w:numId w:val="25"/>
              </w:numPr>
              <w:rPr>
                <w:rFonts w:ascii="Calibri" w:eastAsia="Times New Roman" w:hAnsi="Calibri" w:cs="Times New Roman"/>
                <w:color w:val="000000"/>
              </w:rPr>
            </w:pPr>
            <w:r w:rsidRPr="00F64E05">
              <w:rPr>
                <w:rFonts w:ascii="Calibri" w:eastAsia="Times New Roman" w:hAnsi="Calibri" w:cs="Times New Roman"/>
                <w:color w:val="000000"/>
              </w:rPr>
              <w:t>Registration of intent to initiate ongoing submission was made by the deadline and the EP or hospital is awaiting invitation to begin testing and validation.</w:t>
            </w:r>
          </w:p>
        </w:tc>
      </w:tr>
      <w:tr w:rsidR="00813CD9"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813CD9" w:rsidRPr="00244863" w:rsidRDefault="00813CD9"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813CD9" w:rsidRPr="00244863" w:rsidRDefault="00813CD9" w:rsidP="00F62560">
            <w:pPr>
              <w:rPr>
                <w:rFonts w:ascii="Calibri" w:eastAsia="Times New Roman" w:hAnsi="Calibri" w:cs="Times New Roman"/>
                <w:color w:val="000000"/>
              </w:rPr>
            </w:pPr>
          </w:p>
        </w:tc>
      </w:tr>
      <w:tr w:rsidR="00813CD9" w:rsidRPr="00244863" w:rsidTr="00F62560">
        <w:trPr>
          <w:trHeight w:val="300"/>
        </w:trPr>
        <w:tc>
          <w:tcPr>
            <w:tcW w:w="1435" w:type="dxa"/>
            <w:vMerge/>
            <w:tcBorders>
              <w:top w:val="nil"/>
              <w:left w:val="single" w:sz="4" w:space="0" w:color="auto"/>
              <w:bottom w:val="single" w:sz="4" w:space="0" w:color="000000"/>
              <w:right w:val="nil"/>
            </w:tcBorders>
            <w:vAlign w:val="center"/>
            <w:hideMark/>
          </w:tcPr>
          <w:p w:rsidR="00813CD9" w:rsidRPr="00244863" w:rsidRDefault="00813CD9" w:rsidP="00F62560">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813CD9" w:rsidRPr="00244863" w:rsidRDefault="00813CD9" w:rsidP="00F62560">
            <w:pPr>
              <w:rPr>
                <w:rFonts w:ascii="Calibri" w:eastAsia="Times New Roman" w:hAnsi="Calibri" w:cs="Times New Roman"/>
                <w:color w:val="000000"/>
              </w:rPr>
            </w:pPr>
          </w:p>
        </w:tc>
      </w:tr>
    </w:tbl>
    <w:p w:rsidR="00813CD9" w:rsidRDefault="00813CD9" w:rsidP="00984586"/>
    <w:p w:rsidR="00813CD9" w:rsidRDefault="00813CD9" w:rsidP="00984586"/>
    <w:p w:rsidR="00F64E05" w:rsidRDefault="00F64E05" w:rsidP="001607F4">
      <w:pPr>
        <w:pStyle w:val="Heading3"/>
        <w:rPr>
          <w:rFonts w:eastAsia="Times New Roman"/>
        </w:rPr>
      </w:pPr>
      <w:bookmarkStart w:id="96" w:name="_Toc390171204"/>
      <w:r>
        <w:rPr>
          <w:rFonts w:eastAsia="Times New Roman"/>
        </w:rPr>
        <w:br w:type="page"/>
      </w:r>
    </w:p>
    <w:p w:rsidR="001607F4" w:rsidRPr="009F3C18" w:rsidRDefault="001607F4" w:rsidP="001607F4">
      <w:pPr>
        <w:pStyle w:val="Heading3"/>
      </w:pPr>
      <w:r w:rsidRPr="005D511B">
        <w:rPr>
          <w:rFonts w:eastAsia="Times New Roman"/>
        </w:rPr>
        <w:t>Immuniza</w:t>
      </w:r>
      <w:r>
        <w:rPr>
          <w:rFonts w:eastAsia="Times New Roman"/>
        </w:rPr>
        <w:t>tion Registries Data Submission</w:t>
      </w:r>
      <w:r w:rsidRPr="009F3C18">
        <w:t>: Explanation of Measure</w:t>
      </w:r>
      <w:bookmarkEnd w:id="96"/>
    </w:p>
    <w:p w:rsidR="001607F4" w:rsidRDefault="001607F4" w:rsidP="001607F4">
      <w:pPr>
        <w:rPr>
          <w:b/>
        </w:rPr>
      </w:pPr>
    </w:p>
    <w:p w:rsidR="001607F4" w:rsidRDefault="001607F4" w:rsidP="001607F4">
      <w:r>
        <w:t>This measure does not have a numerator, denominator or reporting threshold. Instead, it is a Yes/No attestation by the EP. This means that there is nothing to track within the CEHRT as far as reporting specific numbers. Instead, the EP is supposed to have performed the work outside of the CEHRT and attest that the work had been done.</w:t>
      </w:r>
    </w:p>
    <w:p w:rsidR="001607F4" w:rsidRDefault="001607F4" w:rsidP="001607F4"/>
    <w:p w:rsidR="004A19E9" w:rsidRDefault="001607F4" w:rsidP="001607F4">
      <w:r>
        <w:t xml:space="preserve">In the case of this measure, the EP is required to </w:t>
      </w:r>
      <w:r w:rsidR="004A19E9">
        <w:t>submit immunization data to an immunization registry or immunization information system. Due to the fact that Behavioral Health EP’s do not administer immunizations to the patient populations, this measure is one that we expect all EP’s of the Valant Premium Psychiatrist Suite exclude out during their reporting.</w:t>
      </w:r>
    </w:p>
    <w:p w:rsidR="004A19E9" w:rsidRDefault="004A19E9" w:rsidP="001607F4"/>
    <w:p w:rsidR="004A19E9" w:rsidRDefault="004A19E9" w:rsidP="001607F4">
      <w:r>
        <w:t xml:space="preserve">Since administering immunizations to patients is outside the scope of Behavioral Health, this measure was deemed outside of the scope of the Valant Premium Psychiatrist Suite. As a result, this measure is excluded from the certification of the Valant Premium Psychiatrist Suite for the 2014 CEHRT. </w:t>
      </w:r>
    </w:p>
    <w:p w:rsidR="004A19E9" w:rsidRDefault="004A19E9" w:rsidP="001607F4"/>
    <w:p w:rsidR="001607F4" w:rsidRDefault="001607F4" w:rsidP="00984586"/>
    <w:p w:rsidR="001607F4" w:rsidRDefault="001607F4" w:rsidP="00984586"/>
    <w:p w:rsidR="001607F4" w:rsidRDefault="001607F4" w:rsidP="00984586"/>
    <w:p w:rsidR="001607F4" w:rsidRDefault="001607F4" w:rsidP="00984586"/>
    <w:p w:rsidR="001607F4" w:rsidRDefault="001607F4" w:rsidP="00984586"/>
    <w:p w:rsidR="00AE7EFC" w:rsidRDefault="00AE7EFC">
      <w:r>
        <w:br w:type="page"/>
      </w:r>
    </w:p>
    <w:p w:rsidR="00D93A57" w:rsidRDefault="00AE7EFC" w:rsidP="00AE7EFC">
      <w:pPr>
        <w:pStyle w:val="Heading2"/>
      </w:pPr>
      <w:bookmarkStart w:id="97" w:name="_Toc390171205"/>
      <w:r w:rsidRPr="004F56ED">
        <w:rPr>
          <w:rFonts w:eastAsia="Times New Roman"/>
        </w:rPr>
        <w:t>Stage 2 - Core #17: Use Secure Electronic Messaging</w:t>
      </w:r>
      <w:bookmarkEnd w:id="97"/>
    </w:p>
    <w:p w:rsidR="00D93A57" w:rsidRDefault="00D93A57" w:rsidP="005E6F86"/>
    <w:tbl>
      <w:tblPr>
        <w:tblW w:w="10905" w:type="dxa"/>
        <w:tblInd w:w="93" w:type="dxa"/>
        <w:tblLook w:val="04A0" w:firstRow="1" w:lastRow="0" w:firstColumn="1" w:lastColumn="0" w:noHBand="0" w:noVBand="1"/>
      </w:tblPr>
      <w:tblGrid>
        <w:gridCol w:w="1340"/>
        <w:gridCol w:w="9565"/>
      </w:tblGrid>
      <w:tr w:rsidR="004F56ED" w:rsidRPr="004F56ED" w:rsidTr="004F56ED">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4F56ED" w:rsidRPr="00AE7EFC" w:rsidRDefault="004F56ED" w:rsidP="00AE7EFC">
            <w:pPr>
              <w:rPr>
                <w:b/>
              </w:rPr>
            </w:pPr>
            <w:r w:rsidRPr="00AE7EFC">
              <w:rPr>
                <w:b/>
                <w:color w:val="FFFFFF" w:themeColor="background1"/>
                <w:sz w:val="32"/>
              </w:rPr>
              <w:t>Use Secure Electronic Messaging</w:t>
            </w:r>
          </w:p>
        </w:tc>
      </w:tr>
      <w:tr w:rsidR="004F56ED" w:rsidRPr="004F56ED" w:rsidTr="004F56ED">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Use secure electronic messaging to communicate with patients on relevant health information</w:t>
            </w:r>
          </w:p>
        </w:tc>
      </w:tr>
      <w:tr w:rsidR="004F56ED" w:rsidRPr="004F56ED" w:rsidTr="004F56ED">
        <w:trPr>
          <w:trHeight w:val="300"/>
        </w:trPr>
        <w:tc>
          <w:tcPr>
            <w:tcW w:w="1340" w:type="dxa"/>
            <w:vMerge/>
            <w:tcBorders>
              <w:top w:val="nil"/>
              <w:left w:val="single" w:sz="4" w:space="0" w:color="auto"/>
              <w:bottom w:val="nil"/>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340" w:type="dxa"/>
            <w:vMerge/>
            <w:tcBorders>
              <w:top w:val="nil"/>
              <w:left w:val="single" w:sz="4" w:space="0" w:color="auto"/>
              <w:bottom w:val="nil"/>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A secure message was sent using the electronic messaging function of CEHRT by more than 5 percent of unique patients (or their authorized representatives) seen by the EP during the EHR reporting period</w:t>
            </w:r>
          </w:p>
        </w:tc>
      </w:tr>
      <w:tr w:rsidR="004F56ED" w:rsidRPr="004F56ED" w:rsidTr="004F56ED">
        <w:trPr>
          <w:trHeight w:val="300"/>
        </w:trPr>
        <w:tc>
          <w:tcPr>
            <w:tcW w:w="1340" w:type="dxa"/>
            <w:vMerge/>
            <w:tcBorders>
              <w:top w:val="single" w:sz="4" w:space="0" w:color="auto"/>
              <w:left w:val="single" w:sz="4" w:space="0" w:color="auto"/>
              <w:bottom w:val="single" w:sz="4" w:space="0" w:color="000000"/>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340" w:type="dxa"/>
            <w:vMerge/>
            <w:tcBorders>
              <w:top w:val="single" w:sz="4" w:space="0" w:color="auto"/>
              <w:left w:val="single" w:sz="4" w:space="0" w:color="auto"/>
              <w:bottom w:val="single" w:sz="4" w:space="0" w:color="000000"/>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340" w:type="dxa"/>
            <w:vMerge w:val="restart"/>
            <w:tcBorders>
              <w:top w:val="nil"/>
              <w:left w:val="single" w:sz="4" w:space="0" w:color="auto"/>
              <w:bottom w:val="nil"/>
              <w:right w:val="nil"/>
            </w:tcBorders>
            <w:shd w:val="clear" w:color="000000" w:fill="1F497D"/>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Any EP who has no office visits during the EHR reporting period, or any EP who conducts 50 percent or more of his or her patient encounters in a county that does not have 50 percent or more of its housing units with 3Mbps broadband availability according to the latest information available from the FCC on the first day of the EHR reporting period</w:t>
            </w:r>
          </w:p>
        </w:tc>
      </w:tr>
      <w:tr w:rsidR="004F56ED" w:rsidRPr="004F56ED" w:rsidTr="004F56ED">
        <w:trPr>
          <w:trHeight w:val="300"/>
        </w:trPr>
        <w:tc>
          <w:tcPr>
            <w:tcW w:w="1340" w:type="dxa"/>
            <w:vMerge/>
            <w:tcBorders>
              <w:top w:val="nil"/>
              <w:left w:val="single" w:sz="4" w:space="0" w:color="auto"/>
              <w:bottom w:val="nil"/>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340" w:type="dxa"/>
            <w:vMerge/>
            <w:tcBorders>
              <w:top w:val="nil"/>
              <w:left w:val="single" w:sz="4" w:space="0" w:color="auto"/>
              <w:bottom w:val="nil"/>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bl>
    <w:p w:rsidR="00D93A57" w:rsidRDefault="00D93A57" w:rsidP="005E6F86"/>
    <w:p w:rsidR="00D93A57" w:rsidRDefault="00D93A57" w:rsidP="005E6F86"/>
    <w:tbl>
      <w:tblPr>
        <w:tblW w:w="10905" w:type="dxa"/>
        <w:tblInd w:w="93" w:type="dxa"/>
        <w:tblLook w:val="04A0" w:firstRow="1" w:lastRow="0" w:firstColumn="1" w:lastColumn="0" w:noHBand="0" w:noVBand="1"/>
      </w:tblPr>
      <w:tblGrid>
        <w:gridCol w:w="1435"/>
        <w:gridCol w:w="9470"/>
      </w:tblGrid>
      <w:tr w:rsidR="004F56ED" w:rsidRPr="004F56ED" w:rsidTr="004F56ED">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4F56ED" w:rsidRPr="004F56ED" w:rsidRDefault="004F56ED" w:rsidP="00A7593F">
            <w:pPr>
              <w:rPr>
                <w:rFonts w:ascii="Calibri" w:eastAsia="Times New Roman" w:hAnsi="Calibri" w:cs="Times New Roman"/>
                <w:b/>
                <w:bCs/>
                <w:color w:val="FFFFFF"/>
                <w:sz w:val="28"/>
                <w:szCs w:val="28"/>
              </w:rPr>
            </w:pPr>
            <w:r w:rsidRPr="004F56ED">
              <w:rPr>
                <w:rFonts w:ascii="Calibri" w:eastAsia="Times New Roman" w:hAnsi="Calibri" w:cs="Times New Roman"/>
                <w:b/>
                <w:bCs/>
                <w:color w:val="FFFFFF"/>
                <w:sz w:val="28"/>
                <w:szCs w:val="28"/>
              </w:rPr>
              <w:t>Electronic Messaging</w:t>
            </w:r>
            <w:r w:rsidR="00A7593F">
              <w:rPr>
                <w:rFonts w:ascii="Calibri" w:eastAsia="Times New Roman" w:hAnsi="Calibri" w:cs="Times New Roman"/>
                <w:b/>
                <w:bCs/>
                <w:color w:val="FFFFFF"/>
                <w:sz w:val="28"/>
                <w:szCs w:val="28"/>
              </w:rPr>
              <w:t xml:space="preserve"> -</w:t>
            </w:r>
            <w:r w:rsidRPr="004F56ED">
              <w:rPr>
                <w:rFonts w:ascii="Calibri" w:eastAsia="Times New Roman" w:hAnsi="Calibri" w:cs="Times New Roman"/>
                <w:b/>
                <w:bCs/>
                <w:color w:val="FFFFFF"/>
                <w:sz w:val="28"/>
                <w:szCs w:val="28"/>
              </w:rPr>
              <w:t xml:space="preserve"> Patient to EP</w:t>
            </w:r>
            <w:r w:rsidR="00A7593F">
              <w:rPr>
                <w:rFonts w:ascii="Calibri" w:eastAsia="Times New Roman" w:hAnsi="Calibri" w:cs="Times New Roman"/>
                <w:b/>
                <w:bCs/>
                <w:color w:val="FFFFFF"/>
                <w:sz w:val="28"/>
                <w:szCs w:val="28"/>
              </w:rPr>
              <w:t>:</w:t>
            </w:r>
            <w:r w:rsidR="00A7593F" w:rsidRPr="009C005F">
              <w:rPr>
                <w:rFonts w:ascii="Calibri" w:eastAsia="Times New Roman" w:hAnsi="Calibri" w:cs="Times New Roman"/>
                <w:b/>
                <w:bCs/>
                <w:color w:val="FFFFFF"/>
                <w:sz w:val="28"/>
                <w:szCs w:val="28"/>
              </w:rPr>
              <w:t xml:space="preserve"> </w:t>
            </w:r>
            <w:r w:rsidR="00A7593F">
              <w:rPr>
                <w:rFonts w:ascii="Calibri" w:eastAsia="Times New Roman" w:hAnsi="Calibri" w:cs="Times New Roman"/>
                <w:b/>
                <w:bCs/>
                <w:color w:val="FFFFFF"/>
                <w:sz w:val="28"/>
                <w:szCs w:val="28"/>
              </w:rPr>
              <w:t>Attestation Requirements</w:t>
            </w:r>
          </w:p>
        </w:tc>
      </w:tr>
      <w:tr w:rsidR="004F56ED" w:rsidRPr="004F56ED" w:rsidTr="004F56ED">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Number of unique patients seen by the EP during the EHR reporting period</w:t>
            </w:r>
          </w:p>
        </w:tc>
      </w:tr>
      <w:tr w:rsidR="004F56ED" w:rsidRPr="004F56ED" w:rsidTr="004F56ED">
        <w:trPr>
          <w:trHeight w:val="300"/>
        </w:trPr>
        <w:tc>
          <w:tcPr>
            <w:tcW w:w="1435" w:type="dxa"/>
            <w:vMerge/>
            <w:tcBorders>
              <w:top w:val="nil"/>
              <w:left w:val="single" w:sz="4" w:space="0" w:color="auto"/>
              <w:bottom w:val="single" w:sz="4" w:space="0" w:color="000000"/>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The number of patients or patient-authorized representatives in the denominator who send a secure electronic message to the EP that is received using the electronic messaging function of CEHRT during the EHR reporting period</w:t>
            </w:r>
          </w:p>
        </w:tc>
      </w:tr>
      <w:tr w:rsidR="004F56ED" w:rsidRPr="004F56ED" w:rsidTr="004F56ED">
        <w:trPr>
          <w:trHeight w:val="300"/>
        </w:trPr>
        <w:tc>
          <w:tcPr>
            <w:tcW w:w="1435" w:type="dxa"/>
            <w:vMerge/>
            <w:tcBorders>
              <w:top w:val="nil"/>
              <w:left w:val="single" w:sz="4" w:space="0" w:color="auto"/>
              <w:bottom w:val="single" w:sz="4" w:space="0" w:color="000000"/>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r w:rsidR="004F56ED" w:rsidRPr="004F56ED" w:rsidTr="004F56ED">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4F56ED" w:rsidRPr="004F56ED" w:rsidRDefault="004F56ED" w:rsidP="004F56ED">
            <w:pPr>
              <w:jc w:val="right"/>
              <w:rPr>
                <w:rFonts w:ascii="Calibri" w:eastAsia="Times New Roman" w:hAnsi="Calibri" w:cs="Times New Roman"/>
                <w:b/>
                <w:bCs/>
                <w:color w:val="FFFFFF"/>
              </w:rPr>
            </w:pPr>
            <w:r w:rsidRPr="004F56ED">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4F56ED" w:rsidRPr="004F56ED" w:rsidRDefault="004F56ED" w:rsidP="004F56ED">
            <w:pPr>
              <w:rPr>
                <w:rFonts w:ascii="Calibri" w:eastAsia="Times New Roman" w:hAnsi="Calibri" w:cs="Times New Roman"/>
                <w:color w:val="000000"/>
              </w:rPr>
            </w:pPr>
            <w:r w:rsidRPr="004F56ED">
              <w:rPr>
                <w:rFonts w:ascii="Calibri" w:eastAsia="Times New Roman" w:hAnsi="Calibri" w:cs="Times New Roman"/>
                <w:color w:val="000000"/>
              </w:rPr>
              <w:t>The resulting percentage must be more than 5 percent in order for an EP to meet this measure</w:t>
            </w:r>
          </w:p>
        </w:tc>
      </w:tr>
      <w:tr w:rsidR="004F56ED" w:rsidRPr="004F56ED" w:rsidTr="004F56ED">
        <w:trPr>
          <w:trHeight w:val="300"/>
        </w:trPr>
        <w:tc>
          <w:tcPr>
            <w:tcW w:w="1435" w:type="dxa"/>
            <w:vMerge/>
            <w:tcBorders>
              <w:top w:val="nil"/>
              <w:left w:val="single" w:sz="4" w:space="0" w:color="auto"/>
              <w:bottom w:val="single" w:sz="4" w:space="0" w:color="000000"/>
              <w:right w:val="nil"/>
            </w:tcBorders>
            <w:vAlign w:val="center"/>
            <w:hideMark/>
          </w:tcPr>
          <w:p w:rsidR="004F56ED" w:rsidRPr="004F56ED" w:rsidRDefault="004F56ED" w:rsidP="004F56ED">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4F56ED" w:rsidRPr="004F56ED" w:rsidRDefault="004F56ED" w:rsidP="004F56ED">
            <w:pPr>
              <w:rPr>
                <w:rFonts w:ascii="Calibri" w:eastAsia="Times New Roman" w:hAnsi="Calibri" w:cs="Times New Roman"/>
                <w:color w:val="000000"/>
              </w:rPr>
            </w:pPr>
          </w:p>
        </w:tc>
      </w:tr>
    </w:tbl>
    <w:p w:rsidR="009E5746" w:rsidRDefault="009E5746" w:rsidP="005E6F86"/>
    <w:p w:rsidR="005E6F86" w:rsidRDefault="005E6F86"/>
    <w:p w:rsidR="004F56ED" w:rsidRPr="009F3C18" w:rsidRDefault="004F56ED" w:rsidP="004F56ED">
      <w:pPr>
        <w:pStyle w:val="Heading3"/>
      </w:pPr>
      <w:bookmarkStart w:id="98" w:name="_Toc390171206"/>
      <w:r>
        <w:rPr>
          <w:rFonts w:eastAsia="Times New Roman"/>
        </w:rPr>
        <w:t>Secure Electronic Messaging</w:t>
      </w:r>
      <w:r w:rsidRPr="009F3C18">
        <w:t>: Explanation of Measure</w:t>
      </w:r>
      <w:bookmarkEnd w:id="98"/>
    </w:p>
    <w:p w:rsidR="00334107" w:rsidRDefault="00334107" w:rsidP="00334107"/>
    <w:p w:rsidR="00334107" w:rsidRDefault="00334107" w:rsidP="00334107">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334107" w:rsidRDefault="00334107" w:rsidP="00334107"/>
    <w:p w:rsidR="00334107" w:rsidRDefault="00334107" w:rsidP="00334107">
      <w:r>
        <w:t xml:space="preserve">This measure is met by having the patient send a Secure Electronic Message to the EP during the reporting period. Unlike other Core and Menu Measures, this option can only be met through direct patient action. As a result, providers are encouraged to take an active part in ensuring their patients perform the actions necessary for this measure to be met. </w:t>
      </w:r>
    </w:p>
    <w:p w:rsidR="00334107" w:rsidRDefault="00334107" w:rsidP="00334107"/>
    <w:p w:rsidR="00AF4230" w:rsidRDefault="00334107" w:rsidP="00334107">
      <w:r>
        <w:t>Each EP will need to have received a Secure Electronic Message from a patient with a recorded visit during the reporting period in order to receive credit towards the numerator for that patient. If more than one EP has a visit with the same patient during the reporting period, then each EP will need to receive a Secure Electronic Message from that patient in order for that patient to count towards the numerator for that EP.</w:t>
      </w:r>
      <w:r w:rsidR="00AF4230">
        <w:br w:type="page"/>
      </w:r>
    </w:p>
    <w:p w:rsidR="00DB1297" w:rsidRPr="004736F7" w:rsidRDefault="00DB1297" w:rsidP="00DB1297">
      <w:pPr>
        <w:pStyle w:val="Heading3"/>
      </w:pPr>
      <w:bookmarkStart w:id="99" w:name="_Toc390171207"/>
      <w:r>
        <w:rPr>
          <w:rFonts w:eastAsia="Times New Roman"/>
        </w:rPr>
        <w:t>Secure Electronic Messaging</w:t>
      </w:r>
      <w:r w:rsidRPr="004736F7">
        <w:t xml:space="preserve">: </w:t>
      </w:r>
      <w:r>
        <w:t>Meaningful Use Measures</w:t>
      </w:r>
    </w:p>
    <w:p w:rsidR="00DB1297" w:rsidRPr="00DF721A" w:rsidRDefault="00DB1297" w:rsidP="00DB1297"/>
    <w:p w:rsidR="00DB1297" w:rsidRDefault="00DB1297" w:rsidP="00DB1297">
      <w:r>
        <w:t xml:space="preserve">There is a single line item related to </w:t>
      </w:r>
      <w:r>
        <w:rPr>
          <w:rFonts w:eastAsia="Times New Roman"/>
        </w:rPr>
        <w:t>Secure Electronic Messaging</w:t>
      </w:r>
      <w:r>
        <w:t xml:space="preserve"> in the Stage 2 list of Meaningful Use Measures. The name of this line item is </w:t>
      </w:r>
      <w:r w:rsidRPr="00DB1297">
        <w:rPr>
          <w:rFonts w:eastAsia="Times New Roman"/>
          <w:b/>
        </w:rPr>
        <w:t>Secure Electronic Messaging</w:t>
      </w:r>
      <w:r w:rsidRPr="00FD0136">
        <w:t>.</w:t>
      </w:r>
    </w:p>
    <w:p w:rsidR="00DB1297" w:rsidRDefault="00DB1297" w:rsidP="00DB1297"/>
    <w:p w:rsidR="00DB1297" w:rsidRDefault="00DB1297" w:rsidP="00DB1297"/>
    <w:p w:rsidR="00DB1297" w:rsidRDefault="003922AE" w:rsidP="00DB1297">
      <w:r>
        <w:rPr>
          <w:noProof/>
        </w:rPr>
        <w:drawing>
          <wp:inline distT="0" distB="0" distL="0" distR="0">
            <wp:extent cx="6854190" cy="454025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AF4230" w:rsidRPr="008B51F5" w:rsidRDefault="00DB1297" w:rsidP="00DB1297">
      <w:pPr>
        <w:pStyle w:val="Heading3"/>
      </w:pPr>
      <w:r>
        <w:rPr>
          <w:b w:val="0"/>
        </w:rPr>
        <w:br w:type="page"/>
      </w:r>
      <w:r w:rsidR="00AF4230">
        <w:rPr>
          <w:rFonts w:eastAsia="Times New Roman"/>
        </w:rPr>
        <w:t>Secure Electronic Messaging</w:t>
      </w:r>
      <w:r w:rsidR="00AF4230" w:rsidRPr="008B51F5">
        <w:t xml:space="preserve">: </w:t>
      </w:r>
      <w:r w:rsidR="00AF4230" w:rsidRPr="00AB1945">
        <w:t>Recording of Numerator in Valant</w:t>
      </w:r>
      <w:bookmarkEnd w:id="99"/>
    </w:p>
    <w:p w:rsidR="00334107" w:rsidRDefault="00334107" w:rsidP="00334107"/>
    <w:p w:rsidR="005E6F86" w:rsidRDefault="006D54FF">
      <w:r>
        <w:t xml:space="preserve">This measure relates specifically to Secure Electronic Messages that are sent from the Patient to the EP. This means that Secure Electronic Messages sent by the EP or the EP’s practice to the Patient will </w:t>
      </w:r>
      <w:r w:rsidRPr="006D54FF">
        <w:rPr>
          <w:b/>
          <w:u w:val="single"/>
        </w:rPr>
        <w:t>not</w:t>
      </w:r>
      <w:r>
        <w:t xml:space="preserve"> count towards the numerator for this measure. </w:t>
      </w:r>
      <w:r w:rsidR="00160764">
        <w:t xml:space="preserve">Instead, the patient needs to send a message to a specific EP in order for that patient to qualify for the numerator. </w:t>
      </w:r>
    </w:p>
    <w:p w:rsidR="00AF4230" w:rsidRDefault="00AF4230"/>
    <w:p w:rsidR="00160764" w:rsidRDefault="00160764">
      <w:r>
        <w:t xml:space="preserve">The threshold requirement for Secure Electronic Messaging can be met by using the </w:t>
      </w:r>
      <w:r w:rsidRPr="00160764">
        <w:rPr>
          <w:b/>
        </w:rPr>
        <w:t>Secure Messaging</w:t>
      </w:r>
      <w:r>
        <w:t xml:space="preserve"> feature within Patient Portal. Specifically, from a patient can log into their Patient Portal account and access their Secure Messaging </w:t>
      </w:r>
      <w:r w:rsidR="008538C5">
        <w:t xml:space="preserve">area. Once in the area, the patient can either compose a new message or reply to an existing message. Performing either action will make this patient eligible for the numerator for this measure. It is important to note that the recipient of the message must be the EP in order for that EP to receive credit for the numerator. </w:t>
      </w:r>
    </w:p>
    <w:p w:rsidR="00160764" w:rsidRDefault="00160764"/>
    <w:p w:rsidR="00160764" w:rsidRDefault="00160764" w:rsidP="00160764">
      <w:r>
        <w:t xml:space="preserve">For more information on the Secure Messaging within Patient Portal feature beyond what is described here, please refer to documentation </w:t>
      </w:r>
      <w:r w:rsidRPr="00D377DD">
        <w:rPr>
          <w:highlight w:val="yellow"/>
        </w:rPr>
        <w:t>XXXXX</w:t>
      </w:r>
      <w:r>
        <w:t>.</w:t>
      </w:r>
    </w:p>
    <w:p w:rsidR="00160764" w:rsidRDefault="00160764"/>
    <w:p w:rsidR="00160764" w:rsidRDefault="00160764"/>
    <w:p w:rsidR="00F56E7A" w:rsidRDefault="00F56E7A">
      <w:r>
        <w:br w:type="page"/>
      </w:r>
    </w:p>
    <w:p w:rsidR="00F56E7A" w:rsidRPr="006D18F2" w:rsidRDefault="00F56E7A" w:rsidP="00F56E7A">
      <w:pPr>
        <w:pStyle w:val="Heading1"/>
      </w:pPr>
      <w:bookmarkStart w:id="100" w:name="_Toc390171208"/>
      <w:r>
        <w:t>Stage 2 Menu</w:t>
      </w:r>
      <w:r w:rsidRPr="006D18F2">
        <w:t xml:space="preserve"> Measures</w:t>
      </w:r>
      <w:bookmarkEnd w:id="100"/>
    </w:p>
    <w:p w:rsidR="00F56E7A" w:rsidRDefault="00F56E7A" w:rsidP="00F56E7A"/>
    <w:p w:rsidR="00F56E7A" w:rsidRDefault="003F6B26" w:rsidP="00F56E7A">
      <w:r>
        <w:t>Three of the Six</w:t>
      </w:r>
      <w:r w:rsidR="00F56E7A">
        <w:t xml:space="preserve"> </w:t>
      </w:r>
      <w:r w:rsidR="00A20683">
        <w:t>Menu</w:t>
      </w:r>
      <w:r w:rsidR="00F56E7A">
        <w:t xml:space="preserve"> Measures need to be reported on in order for an EP to prove Meaningful Use under the 2014 Edition of CEHRT. </w:t>
      </w:r>
      <w:r w:rsidR="00A20683">
        <w:t>Several of the Menu</w:t>
      </w:r>
      <w:r w:rsidR="00F56E7A">
        <w:t xml:space="preserve"> Measures have an exclusion option</w:t>
      </w:r>
      <w:r w:rsidR="00A20683">
        <w:t>s</w:t>
      </w:r>
      <w:r w:rsidR="00F56E7A">
        <w:t xml:space="preserve"> which allows an EP</w:t>
      </w:r>
      <w:r w:rsidR="00A20683">
        <w:t xml:space="preserve"> to opt out of reporting</w:t>
      </w:r>
      <w:r w:rsidR="00F56E7A">
        <w:t xml:space="preserve"> </w:t>
      </w:r>
      <w:r w:rsidR="00A20683">
        <w:t>on</w:t>
      </w:r>
      <w:r w:rsidR="00F56E7A">
        <w:t xml:space="preserve"> that measure.</w:t>
      </w:r>
      <w:r w:rsidR="00A20683">
        <w:t xml:space="preserve"> </w:t>
      </w:r>
      <w:r w:rsidR="00F56E7A">
        <w:t xml:space="preserve"> </w:t>
      </w:r>
    </w:p>
    <w:p w:rsidR="00F56E7A" w:rsidRDefault="00F56E7A" w:rsidP="00F56E7A"/>
    <w:p w:rsidR="00F56E7A" w:rsidRDefault="00A20683" w:rsidP="00F56E7A">
      <w:r w:rsidRPr="003F6B26">
        <w:t>Some of the Menu</w:t>
      </w:r>
      <w:r w:rsidR="00F56E7A" w:rsidRPr="003F6B26">
        <w:t xml:space="preserve"> Measures have one or more Numerator, Denominator, and corresponding Threshold. The Valant Premium Psychiatrist Suite is capable of recording each of these values for the measures that have this requirement. The purpose of this documentation is to provide insight into how these values are captured.</w:t>
      </w:r>
      <w:r w:rsidR="00F56E7A">
        <w:t xml:space="preserve"> </w:t>
      </w:r>
    </w:p>
    <w:p w:rsidR="00F56E7A" w:rsidRDefault="00F56E7A" w:rsidP="00F56E7A"/>
    <w:p w:rsidR="00F56E7A" w:rsidRDefault="00F56E7A" w:rsidP="00F56E7A">
      <w:r>
        <w:t xml:space="preserve">Certain </w:t>
      </w:r>
      <w:r w:rsidR="00A20683">
        <w:t>Menu</w:t>
      </w:r>
      <w:r>
        <w:t xml:space="preserve"> Measures do not have any Numerator or Denominator reporting criteria. Instead, these measures are Yes/No questions answered by the attesting EP. For these Measures, the Valant Premium Psychiatrist Suite does not record any information. This is because the information required for attestation is recorded outside of the CEHRT. For Yes/No Core Measures, the EP is required to track their compliance outside of the CEHRT and attest using this external data. </w:t>
      </w:r>
    </w:p>
    <w:p w:rsidR="00F56E7A" w:rsidRDefault="00F56E7A" w:rsidP="00F56E7A"/>
    <w:p w:rsidR="00F56E7A" w:rsidRDefault="00F56E7A" w:rsidP="00F56E7A">
      <w:r>
        <w:t xml:space="preserve">Finally, not all Measures under the 2014 Edition of CEHRT were included in the certification of the Valant Premium Psychiatrist Suite as they fell outside of the scope of practice for behavioral health. It is assumed that the Measures which are not included in the Valant Premium Psychiatrist Suite can be successfully excluded by the EP as they do not relate to the scope of that EP’s work. </w:t>
      </w:r>
    </w:p>
    <w:p w:rsidR="00F56E7A" w:rsidRDefault="00F56E7A" w:rsidP="00F56E7A"/>
    <w:p w:rsidR="00C25947" w:rsidRDefault="00F56E7A" w:rsidP="00F56E7A">
      <w:r>
        <w:t xml:space="preserve">Full descriptions of each of the </w:t>
      </w:r>
      <w:r w:rsidR="00A20683">
        <w:t>6</w:t>
      </w:r>
      <w:r>
        <w:t xml:space="preserve"> </w:t>
      </w:r>
      <w:r w:rsidR="00A20683">
        <w:t>Menu</w:t>
      </w:r>
      <w:r>
        <w:t xml:space="preserve"> Measures can be found below. The definition of the Measure as well as the Numerator, Denominator, and reporting Threshold are all included. Additionally, there is an interpretation of the Measure as well as descriptions on how to make use of the Valant Premium Psychiatrist Suite to meet the reporting threshold. </w:t>
      </w:r>
    </w:p>
    <w:p w:rsidR="00C25947" w:rsidRDefault="00C25947">
      <w:r>
        <w:br w:type="page"/>
      </w:r>
    </w:p>
    <w:p w:rsidR="00F56E7A" w:rsidRDefault="00C25947" w:rsidP="00C25947">
      <w:pPr>
        <w:pStyle w:val="Heading2"/>
        <w:rPr>
          <w:rFonts w:eastAsia="Times New Roman"/>
        </w:rPr>
      </w:pPr>
      <w:bookmarkStart w:id="101" w:name="_Toc390171209"/>
      <w:r w:rsidRPr="00561D11">
        <w:rPr>
          <w:rFonts w:eastAsia="Times New Roman"/>
        </w:rPr>
        <w:t>Stage 2 - Menu #1: Syndromic Surveillance Data Submission</w:t>
      </w:r>
      <w:bookmarkEnd w:id="101"/>
      <w:r w:rsidRPr="00561D11">
        <w:rPr>
          <w:rFonts w:eastAsia="Times New Roman"/>
        </w:rPr>
        <w:t xml:space="preserve"> </w:t>
      </w:r>
    </w:p>
    <w:p w:rsidR="00C25947" w:rsidRDefault="00C25947" w:rsidP="00F56E7A"/>
    <w:tbl>
      <w:tblPr>
        <w:tblW w:w="10905" w:type="dxa"/>
        <w:tblInd w:w="93" w:type="dxa"/>
        <w:tblLook w:val="04A0" w:firstRow="1" w:lastRow="0" w:firstColumn="1" w:lastColumn="0" w:noHBand="0" w:noVBand="1"/>
      </w:tblPr>
      <w:tblGrid>
        <w:gridCol w:w="1340"/>
        <w:gridCol w:w="9565"/>
      </w:tblGrid>
      <w:tr w:rsidR="00561D11" w:rsidRPr="00561D11" w:rsidTr="00561D11">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561D11" w:rsidRPr="00C25947" w:rsidRDefault="00561D11" w:rsidP="00C25947">
            <w:pPr>
              <w:rPr>
                <w:b/>
              </w:rPr>
            </w:pPr>
            <w:r w:rsidRPr="00C25947">
              <w:rPr>
                <w:b/>
                <w:color w:val="FFFFFF" w:themeColor="background1"/>
                <w:sz w:val="32"/>
              </w:rPr>
              <w:t xml:space="preserve">Syndromic Surveillance Data Submission </w:t>
            </w:r>
          </w:p>
        </w:tc>
      </w:tr>
      <w:tr w:rsidR="00561D11" w:rsidRPr="00561D11" w:rsidTr="00561D11">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561D11" w:rsidRPr="00561D11" w:rsidRDefault="00561D11" w:rsidP="00561D11">
            <w:pPr>
              <w:jc w:val="right"/>
              <w:rPr>
                <w:rFonts w:ascii="Calibri" w:eastAsia="Times New Roman" w:hAnsi="Calibri" w:cs="Times New Roman"/>
                <w:b/>
                <w:bCs/>
                <w:color w:val="FFFFFF"/>
              </w:rPr>
            </w:pPr>
            <w:r w:rsidRPr="00561D11">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561D11" w:rsidRPr="00561D11" w:rsidRDefault="00561D11" w:rsidP="00561D11">
            <w:pPr>
              <w:rPr>
                <w:rFonts w:ascii="Calibri" w:eastAsia="Times New Roman" w:hAnsi="Calibri" w:cs="Times New Roman"/>
                <w:color w:val="000000"/>
              </w:rPr>
            </w:pPr>
            <w:r w:rsidRPr="00561D11">
              <w:rPr>
                <w:rFonts w:ascii="Calibri" w:eastAsia="Times New Roman" w:hAnsi="Calibri" w:cs="Times New Roman"/>
                <w:color w:val="000000"/>
              </w:rPr>
              <w:t>Capability to submit electronic syndromic surveillance data to public health agencies except where prohibited, and in accordance with applicable law and practice</w:t>
            </w:r>
          </w:p>
        </w:tc>
      </w:tr>
      <w:tr w:rsidR="00561D11" w:rsidRPr="00561D11" w:rsidTr="00561D11">
        <w:trPr>
          <w:trHeight w:val="300"/>
        </w:trPr>
        <w:tc>
          <w:tcPr>
            <w:tcW w:w="1340" w:type="dxa"/>
            <w:vMerge/>
            <w:tcBorders>
              <w:top w:val="nil"/>
              <w:left w:val="single" w:sz="4" w:space="0" w:color="auto"/>
              <w:bottom w:val="nil"/>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r w:rsidR="00561D11" w:rsidRPr="00561D11" w:rsidTr="00561D11">
        <w:trPr>
          <w:trHeight w:val="300"/>
        </w:trPr>
        <w:tc>
          <w:tcPr>
            <w:tcW w:w="1340" w:type="dxa"/>
            <w:vMerge/>
            <w:tcBorders>
              <w:top w:val="nil"/>
              <w:left w:val="single" w:sz="4" w:space="0" w:color="auto"/>
              <w:bottom w:val="nil"/>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r w:rsidR="00561D11" w:rsidRPr="00561D11" w:rsidTr="00561D11">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561D11" w:rsidRPr="00561D11" w:rsidRDefault="00561D11" w:rsidP="00561D11">
            <w:pPr>
              <w:jc w:val="right"/>
              <w:rPr>
                <w:rFonts w:ascii="Calibri" w:eastAsia="Times New Roman" w:hAnsi="Calibri" w:cs="Times New Roman"/>
                <w:b/>
                <w:bCs/>
                <w:color w:val="FFFFFF"/>
              </w:rPr>
            </w:pPr>
            <w:r w:rsidRPr="00561D11">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61D11" w:rsidRPr="00561D11" w:rsidRDefault="00561D11" w:rsidP="00561D11">
            <w:pPr>
              <w:rPr>
                <w:rFonts w:ascii="Calibri" w:eastAsia="Times New Roman" w:hAnsi="Calibri" w:cs="Times New Roman"/>
                <w:color w:val="000000"/>
              </w:rPr>
            </w:pPr>
            <w:r w:rsidRPr="00561D11">
              <w:rPr>
                <w:rFonts w:ascii="Calibri" w:eastAsia="Times New Roman" w:hAnsi="Calibri" w:cs="Times New Roman"/>
                <w:color w:val="000000"/>
              </w:rPr>
              <w:t>Successful ongoing submission of electronic syndromic surveillance data from CEHRT to a public health agency for the entire EHR reporting period</w:t>
            </w:r>
          </w:p>
        </w:tc>
      </w:tr>
      <w:tr w:rsidR="00561D11" w:rsidRPr="00561D11" w:rsidTr="00561D11">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r w:rsidR="00561D11" w:rsidRPr="00561D11" w:rsidTr="00561D11">
        <w:trPr>
          <w:trHeight w:val="300"/>
        </w:trPr>
        <w:tc>
          <w:tcPr>
            <w:tcW w:w="1340" w:type="dxa"/>
            <w:vMerge/>
            <w:tcBorders>
              <w:top w:val="single" w:sz="4" w:space="0" w:color="auto"/>
              <w:left w:val="single" w:sz="4" w:space="0" w:color="auto"/>
              <w:bottom w:val="single" w:sz="4" w:space="0" w:color="000000"/>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r w:rsidR="00561D11" w:rsidRPr="00561D11" w:rsidTr="00561D11">
        <w:trPr>
          <w:trHeight w:val="300"/>
        </w:trPr>
        <w:tc>
          <w:tcPr>
            <w:tcW w:w="1340" w:type="dxa"/>
            <w:vMerge w:val="restart"/>
            <w:tcBorders>
              <w:top w:val="nil"/>
              <w:left w:val="single" w:sz="4" w:space="0" w:color="auto"/>
              <w:bottom w:val="nil"/>
              <w:right w:val="nil"/>
            </w:tcBorders>
            <w:shd w:val="clear" w:color="000000" w:fill="1F497D"/>
            <w:vAlign w:val="center"/>
            <w:hideMark/>
          </w:tcPr>
          <w:p w:rsidR="00561D11" w:rsidRPr="00561D11" w:rsidRDefault="00561D11" w:rsidP="00561D11">
            <w:pPr>
              <w:jc w:val="right"/>
              <w:rPr>
                <w:rFonts w:ascii="Calibri" w:eastAsia="Times New Roman" w:hAnsi="Calibri" w:cs="Times New Roman"/>
                <w:b/>
                <w:bCs/>
                <w:color w:val="FFFFFF"/>
              </w:rPr>
            </w:pPr>
            <w:r w:rsidRPr="00561D11">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561D11" w:rsidRDefault="00561D11" w:rsidP="00561D11">
            <w:pPr>
              <w:rPr>
                <w:rFonts w:ascii="Calibri" w:eastAsia="Times New Roman" w:hAnsi="Calibri" w:cs="Times New Roman"/>
                <w:color w:val="000000"/>
              </w:rPr>
            </w:pPr>
            <w:r w:rsidRPr="00561D11">
              <w:rPr>
                <w:rFonts w:ascii="Calibri" w:eastAsia="Times New Roman" w:hAnsi="Calibri" w:cs="Times New Roman"/>
                <w:color w:val="000000"/>
              </w:rPr>
              <w:t>Any EP that meets one or more of the following criteria may be e</w:t>
            </w:r>
            <w:r>
              <w:rPr>
                <w:rFonts w:ascii="Calibri" w:eastAsia="Times New Roman" w:hAnsi="Calibri" w:cs="Times New Roman"/>
                <w:color w:val="000000"/>
              </w:rPr>
              <w:t xml:space="preserve">xcluded from this </w:t>
            </w:r>
            <w:r>
              <w:rPr>
                <w:rFonts w:ascii="Calibri" w:eastAsia="Times New Roman" w:hAnsi="Calibri" w:cs="Times New Roman"/>
                <w:color w:val="000000"/>
              </w:rPr>
              <w:br/>
              <w:t xml:space="preserve">objective: </w:t>
            </w:r>
          </w:p>
          <w:p w:rsidR="00561D11" w:rsidRDefault="000F1A35" w:rsidP="00561D11">
            <w:pPr>
              <w:pStyle w:val="ListParagraph"/>
              <w:numPr>
                <w:ilvl w:val="0"/>
                <w:numId w:val="16"/>
              </w:numPr>
              <w:rPr>
                <w:rFonts w:ascii="Calibri" w:eastAsia="Times New Roman" w:hAnsi="Calibri" w:cs="Times New Roman"/>
                <w:color w:val="000000"/>
              </w:rPr>
            </w:pPr>
            <w:r>
              <w:rPr>
                <w:rFonts w:ascii="Calibri" w:eastAsia="Times New Roman" w:hAnsi="Calibri" w:cs="Times New Roman"/>
                <w:color w:val="000000"/>
              </w:rPr>
              <w:t>T</w:t>
            </w:r>
            <w:r w:rsidR="00561D11" w:rsidRPr="00561D11">
              <w:rPr>
                <w:rFonts w:ascii="Calibri" w:eastAsia="Times New Roman" w:hAnsi="Calibri" w:cs="Times New Roman"/>
                <w:color w:val="000000"/>
              </w:rPr>
              <w:t>he EP is not in a category of providers that collect ambulatory syndromic</w:t>
            </w:r>
            <w:r>
              <w:rPr>
                <w:rFonts w:ascii="Calibri" w:eastAsia="Times New Roman" w:hAnsi="Calibri" w:cs="Times New Roman"/>
                <w:color w:val="000000"/>
              </w:rPr>
              <w:t xml:space="preserve"> </w:t>
            </w:r>
            <w:r w:rsidR="00561D11" w:rsidRPr="00561D11">
              <w:rPr>
                <w:rFonts w:ascii="Calibri" w:eastAsia="Times New Roman" w:hAnsi="Calibri" w:cs="Times New Roman"/>
                <w:color w:val="000000"/>
              </w:rPr>
              <w:t>surveillance information on their patients during</w:t>
            </w:r>
            <w:r w:rsidR="00561D11">
              <w:rPr>
                <w:rFonts w:ascii="Calibri" w:eastAsia="Times New Roman" w:hAnsi="Calibri" w:cs="Times New Roman"/>
                <w:color w:val="000000"/>
              </w:rPr>
              <w:t xml:space="preserve"> the EHR reporting period; </w:t>
            </w:r>
          </w:p>
          <w:p w:rsidR="00561D11" w:rsidRDefault="000F1A35" w:rsidP="00561D11">
            <w:pPr>
              <w:pStyle w:val="ListParagraph"/>
              <w:numPr>
                <w:ilvl w:val="0"/>
                <w:numId w:val="16"/>
              </w:numPr>
              <w:rPr>
                <w:rFonts w:ascii="Calibri" w:eastAsia="Times New Roman" w:hAnsi="Calibri" w:cs="Times New Roman"/>
                <w:color w:val="000000"/>
              </w:rPr>
            </w:pPr>
            <w:r>
              <w:rPr>
                <w:rFonts w:ascii="Calibri" w:eastAsia="Times New Roman" w:hAnsi="Calibri" w:cs="Times New Roman"/>
                <w:color w:val="000000"/>
              </w:rPr>
              <w:t>T</w:t>
            </w:r>
            <w:r w:rsidR="00561D11" w:rsidRPr="00561D11">
              <w:rPr>
                <w:rFonts w:ascii="Calibri" w:eastAsia="Times New Roman" w:hAnsi="Calibri" w:cs="Times New Roman"/>
                <w:color w:val="000000"/>
              </w:rPr>
              <w:t>he EP operates in a jurisdiction for which no p</w:t>
            </w:r>
            <w:r>
              <w:rPr>
                <w:rFonts w:ascii="Calibri" w:eastAsia="Times New Roman" w:hAnsi="Calibri" w:cs="Times New Roman"/>
                <w:color w:val="000000"/>
              </w:rPr>
              <w:t xml:space="preserve">ublic health agency is capable </w:t>
            </w:r>
            <w:r w:rsidR="00561D11" w:rsidRPr="00561D11">
              <w:rPr>
                <w:rFonts w:ascii="Calibri" w:eastAsia="Times New Roman" w:hAnsi="Calibri" w:cs="Times New Roman"/>
                <w:color w:val="000000"/>
              </w:rPr>
              <w:t xml:space="preserve">of receiving electronic syndromic surveillance </w:t>
            </w:r>
            <w:r>
              <w:rPr>
                <w:rFonts w:ascii="Calibri" w:eastAsia="Times New Roman" w:hAnsi="Calibri" w:cs="Times New Roman"/>
                <w:color w:val="000000"/>
              </w:rPr>
              <w:t xml:space="preserve">data in the specific standards </w:t>
            </w:r>
            <w:r w:rsidR="00561D11" w:rsidRPr="00561D11">
              <w:rPr>
                <w:rFonts w:ascii="Calibri" w:eastAsia="Times New Roman" w:hAnsi="Calibri" w:cs="Times New Roman"/>
                <w:color w:val="000000"/>
              </w:rPr>
              <w:t xml:space="preserve">required by CEHRT at the start of </w:t>
            </w:r>
            <w:r w:rsidR="00561D11">
              <w:rPr>
                <w:rFonts w:ascii="Calibri" w:eastAsia="Times New Roman" w:hAnsi="Calibri" w:cs="Times New Roman"/>
                <w:color w:val="000000"/>
              </w:rPr>
              <w:t xml:space="preserve">their EHR reporting period; </w:t>
            </w:r>
          </w:p>
          <w:p w:rsidR="00561D11" w:rsidRDefault="000F1A35" w:rsidP="00561D11">
            <w:pPr>
              <w:pStyle w:val="ListParagraph"/>
              <w:numPr>
                <w:ilvl w:val="0"/>
                <w:numId w:val="16"/>
              </w:numPr>
              <w:rPr>
                <w:rFonts w:ascii="Calibri" w:eastAsia="Times New Roman" w:hAnsi="Calibri" w:cs="Times New Roman"/>
                <w:color w:val="000000"/>
              </w:rPr>
            </w:pPr>
            <w:r>
              <w:rPr>
                <w:rFonts w:ascii="Calibri" w:eastAsia="Times New Roman" w:hAnsi="Calibri" w:cs="Times New Roman"/>
                <w:color w:val="000000"/>
              </w:rPr>
              <w:t>T</w:t>
            </w:r>
            <w:r w:rsidR="00561D11" w:rsidRPr="00561D11">
              <w:rPr>
                <w:rFonts w:ascii="Calibri" w:eastAsia="Times New Roman" w:hAnsi="Calibri" w:cs="Times New Roman"/>
                <w:color w:val="000000"/>
              </w:rPr>
              <w:t>he EP operates in a jurisdiction where no</w:t>
            </w:r>
            <w:r>
              <w:rPr>
                <w:rFonts w:ascii="Calibri" w:eastAsia="Times New Roman" w:hAnsi="Calibri" w:cs="Times New Roman"/>
                <w:color w:val="000000"/>
              </w:rPr>
              <w:t xml:space="preserve"> public health agency provides </w:t>
            </w:r>
            <w:r w:rsidR="00561D11" w:rsidRPr="00561D11">
              <w:rPr>
                <w:rFonts w:ascii="Calibri" w:eastAsia="Times New Roman" w:hAnsi="Calibri" w:cs="Times New Roman"/>
                <w:color w:val="000000"/>
              </w:rPr>
              <w:t>information timely on capability to receive syndr</w:t>
            </w:r>
            <w:r w:rsidR="00561D11">
              <w:rPr>
                <w:rFonts w:ascii="Calibri" w:eastAsia="Times New Roman" w:hAnsi="Calibri" w:cs="Times New Roman"/>
                <w:color w:val="000000"/>
              </w:rPr>
              <w:t xml:space="preserve">omic surveillance data; or </w:t>
            </w:r>
          </w:p>
          <w:p w:rsidR="00561D11" w:rsidRPr="00561D11" w:rsidRDefault="000F1A35" w:rsidP="00561D11">
            <w:pPr>
              <w:pStyle w:val="ListParagraph"/>
              <w:numPr>
                <w:ilvl w:val="0"/>
                <w:numId w:val="16"/>
              </w:numPr>
              <w:rPr>
                <w:rFonts w:ascii="Calibri" w:eastAsia="Times New Roman" w:hAnsi="Calibri" w:cs="Times New Roman"/>
                <w:color w:val="000000"/>
              </w:rPr>
            </w:pPr>
            <w:r>
              <w:rPr>
                <w:rFonts w:ascii="Calibri" w:eastAsia="Times New Roman" w:hAnsi="Calibri" w:cs="Times New Roman"/>
                <w:color w:val="000000"/>
              </w:rPr>
              <w:t>T</w:t>
            </w:r>
            <w:r w:rsidR="00561D11" w:rsidRPr="00561D11">
              <w:rPr>
                <w:rFonts w:ascii="Calibri" w:eastAsia="Times New Roman" w:hAnsi="Calibri" w:cs="Times New Roman"/>
                <w:color w:val="000000"/>
              </w:rPr>
              <w:t>he EP operates in a jurisdiction for which no p</w:t>
            </w:r>
            <w:r>
              <w:rPr>
                <w:rFonts w:ascii="Calibri" w:eastAsia="Times New Roman" w:hAnsi="Calibri" w:cs="Times New Roman"/>
                <w:color w:val="000000"/>
              </w:rPr>
              <w:t xml:space="preserve">ublic health agency that is </w:t>
            </w:r>
            <w:r w:rsidR="00561D11" w:rsidRPr="00561D11">
              <w:rPr>
                <w:rFonts w:ascii="Calibri" w:eastAsia="Times New Roman" w:hAnsi="Calibri" w:cs="Times New Roman"/>
                <w:color w:val="000000"/>
              </w:rPr>
              <w:t>capable of accepting the specific standards req</w:t>
            </w:r>
            <w:r>
              <w:rPr>
                <w:rFonts w:ascii="Calibri" w:eastAsia="Times New Roman" w:hAnsi="Calibri" w:cs="Times New Roman"/>
                <w:color w:val="000000"/>
              </w:rPr>
              <w:t xml:space="preserve">uired by CEHRT at the start of </w:t>
            </w:r>
            <w:r w:rsidR="00561D11" w:rsidRPr="00561D11">
              <w:rPr>
                <w:rFonts w:ascii="Calibri" w:eastAsia="Times New Roman" w:hAnsi="Calibri" w:cs="Times New Roman"/>
                <w:color w:val="000000"/>
              </w:rPr>
              <w:t>their EHR reporting period can enroll additional EPs.</w:t>
            </w:r>
          </w:p>
        </w:tc>
      </w:tr>
      <w:tr w:rsidR="00561D11" w:rsidRPr="00561D11" w:rsidTr="00561D11">
        <w:trPr>
          <w:trHeight w:val="300"/>
        </w:trPr>
        <w:tc>
          <w:tcPr>
            <w:tcW w:w="1340" w:type="dxa"/>
            <w:vMerge/>
            <w:tcBorders>
              <w:top w:val="nil"/>
              <w:left w:val="single" w:sz="4" w:space="0" w:color="auto"/>
              <w:bottom w:val="nil"/>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r w:rsidR="00561D11" w:rsidRPr="00561D11" w:rsidTr="00561D11">
        <w:trPr>
          <w:trHeight w:val="300"/>
        </w:trPr>
        <w:tc>
          <w:tcPr>
            <w:tcW w:w="1340" w:type="dxa"/>
            <w:vMerge/>
            <w:tcBorders>
              <w:top w:val="nil"/>
              <w:left w:val="single" w:sz="4" w:space="0" w:color="auto"/>
              <w:bottom w:val="nil"/>
              <w:right w:val="nil"/>
            </w:tcBorders>
            <w:vAlign w:val="center"/>
            <w:hideMark/>
          </w:tcPr>
          <w:p w:rsidR="00561D11" w:rsidRPr="00561D11" w:rsidRDefault="00561D11" w:rsidP="00561D11">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561D11" w:rsidRPr="00561D11" w:rsidRDefault="00561D11" w:rsidP="00561D11">
            <w:pPr>
              <w:rPr>
                <w:rFonts w:ascii="Calibri" w:eastAsia="Times New Roman" w:hAnsi="Calibri" w:cs="Times New Roman"/>
                <w:color w:val="000000"/>
              </w:rPr>
            </w:pPr>
          </w:p>
        </w:tc>
      </w:tr>
    </w:tbl>
    <w:p w:rsidR="000836DB" w:rsidRDefault="000836DB" w:rsidP="00F56E7A"/>
    <w:p w:rsidR="00980B03" w:rsidRDefault="00980B03" w:rsidP="00F56E7A"/>
    <w:tbl>
      <w:tblPr>
        <w:tblW w:w="10815" w:type="dxa"/>
        <w:tblInd w:w="93" w:type="dxa"/>
        <w:tblLook w:val="04A0" w:firstRow="1" w:lastRow="0" w:firstColumn="1" w:lastColumn="0" w:noHBand="0" w:noVBand="1"/>
      </w:tblPr>
      <w:tblGrid>
        <w:gridCol w:w="1435"/>
        <w:gridCol w:w="9380"/>
      </w:tblGrid>
      <w:tr w:rsidR="00980B03" w:rsidRPr="00244863" w:rsidTr="00980B0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980B03" w:rsidRPr="00244863" w:rsidRDefault="008B6BCC" w:rsidP="00980B03">
            <w:pPr>
              <w:rPr>
                <w:rFonts w:ascii="Calibri" w:eastAsia="Times New Roman" w:hAnsi="Calibri" w:cs="Times New Roman"/>
                <w:b/>
                <w:bCs/>
                <w:color w:val="FFFFFF"/>
                <w:sz w:val="28"/>
                <w:szCs w:val="28"/>
              </w:rPr>
            </w:pPr>
            <w:r w:rsidRPr="008B6BCC">
              <w:rPr>
                <w:rFonts w:ascii="Calibri" w:eastAsia="Times New Roman" w:hAnsi="Calibri" w:cs="Times New Roman"/>
                <w:b/>
                <w:bCs/>
                <w:color w:val="FFFFFF"/>
                <w:sz w:val="28"/>
                <w:szCs w:val="28"/>
              </w:rPr>
              <w:t>Syndromic Surveillance Data Submission</w:t>
            </w:r>
            <w:r w:rsidR="00980B03">
              <w:rPr>
                <w:rFonts w:ascii="Calibri" w:eastAsia="Times New Roman" w:hAnsi="Calibri" w:cs="Times New Roman"/>
                <w:b/>
                <w:bCs/>
                <w:color w:val="FFFFFF"/>
                <w:sz w:val="28"/>
                <w:szCs w:val="28"/>
              </w:rPr>
              <w:t>: Attestation Requirements</w:t>
            </w:r>
          </w:p>
        </w:tc>
      </w:tr>
      <w:tr w:rsidR="00980B03" w:rsidRPr="00244863" w:rsidTr="00980B0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980B03" w:rsidRPr="00244863" w:rsidRDefault="00980B03" w:rsidP="00980B03">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980B03" w:rsidRPr="00980B03" w:rsidRDefault="00980B03" w:rsidP="00980B03">
            <w:pPr>
              <w:rPr>
                <w:rFonts w:ascii="Calibri" w:eastAsia="Times New Roman" w:hAnsi="Calibri" w:cs="Times New Roman"/>
                <w:color w:val="000000"/>
              </w:rPr>
            </w:pPr>
            <w:r w:rsidRPr="00980B03">
              <w:rPr>
                <w:rFonts w:ascii="Calibri" w:eastAsia="Times New Roman" w:hAnsi="Calibri" w:cs="Times New Roman"/>
                <w:color w:val="000000"/>
              </w:rPr>
              <w:t>EPs must attest YES to successful ongoing submission of electronic sy</w:t>
            </w:r>
            <w:r>
              <w:rPr>
                <w:rFonts w:ascii="Calibri" w:eastAsia="Times New Roman" w:hAnsi="Calibri" w:cs="Times New Roman"/>
                <w:color w:val="000000"/>
              </w:rPr>
              <w:t xml:space="preserve">ndromic surveillance data from </w:t>
            </w:r>
            <w:r w:rsidRPr="00980B03">
              <w:rPr>
                <w:rFonts w:ascii="Calibri" w:eastAsia="Times New Roman" w:hAnsi="Calibri" w:cs="Times New Roman"/>
                <w:color w:val="000000"/>
              </w:rPr>
              <w:t xml:space="preserve">CEHRT to a public health agency for the entire EHR reporting period. </w:t>
            </w:r>
          </w:p>
          <w:p w:rsidR="00980B03" w:rsidRPr="00980B03" w:rsidRDefault="00980B03" w:rsidP="00980B03">
            <w:pPr>
              <w:pStyle w:val="ListParagraph"/>
              <w:numPr>
                <w:ilvl w:val="0"/>
                <w:numId w:val="21"/>
              </w:numPr>
              <w:rPr>
                <w:rFonts w:ascii="Calibri" w:eastAsia="Times New Roman" w:hAnsi="Calibri" w:cs="Times New Roman"/>
                <w:color w:val="000000"/>
              </w:rPr>
            </w:pPr>
            <w:r w:rsidRPr="00980B03">
              <w:rPr>
                <w:rFonts w:ascii="Calibri" w:eastAsia="Times New Roman" w:hAnsi="Calibri" w:cs="Times New Roman"/>
                <w:color w:val="000000"/>
              </w:rPr>
              <w:t xml:space="preserve">Ongoing submission was already achieved for an EHR reporting period in a prior year and continues throughout the current EHR reporting period. </w:t>
            </w:r>
          </w:p>
          <w:p w:rsidR="00980B03" w:rsidRPr="00980B03" w:rsidRDefault="00980B03" w:rsidP="00980B03">
            <w:pPr>
              <w:pStyle w:val="ListParagraph"/>
              <w:numPr>
                <w:ilvl w:val="0"/>
                <w:numId w:val="21"/>
              </w:numPr>
              <w:rPr>
                <w:rFonts w:ascii="Calibri" w:eastAsia="Times New Roman" w:hAnsi="Calibri" w:cs="Times New Roman"/>
                <w:color w:val="000000"/>
              </w:rPr>
            </w:pPr>
            <w:r w:rsidRPr="00980B03">
              <w:rPr>
                <w:rFonts w:ascii="Calibri" w:eastAsia="Times New Roman" w:hAnsi="Calibri" w:cs="Times New Roman"/>
                <w:color w:val="000000"/>
              </w:rPr>
              <w:t>Registration with the PHA or other body to whom the information is being submitted of intent to initiate ongoing submission was made by the deadline (within 60 days of the start of the EHR reporting period) and ongoing submission was achieved.</w:t>
            </w:r>
          </w:p>
          <w:p w:rsidR="00980B03" w:rsidRPr="00980B03" w:rsidRDefault="00980B03" w:rsidP="00980B03">
            <w:pPr>
              <w:pStyle w:val="ListParagraph"/>
              <w:numPr>
                <w:ilvl w:val="0"/>
                <w:numId w:val="21"/>
              </w:numPr>
              <w:rPr>
                <w:rFonts w:ascii="Calibri" w:eastAsia="Times New Roman" w:hAnsi="Calibri" w:cs="Times New Roman"/>
                <w:color w:val="000000"/>
              </w:rPr>
            </w:pPr>
            <w:r w:rsidRPr="00980B03">
              <w:rPr>
                <w:rFonts w:ascii="Calibri" w:eastAsia="Times New Roman" w:hAnsi="Calibri" w:cs="Times New Roman"/>
                <w:color w:val="000000"/>
              </w:rPr>
              <w:t xml:space="preserve">Registration of intent to initiate ongoing submission was made by the deadline and the EP or hospital is still engaged in testing and validation of ongoing electronic submission. </w:t>
            </w:r>
          </w:p>
          <w:p w:rsidR="00980B03" w:rsidRPr="00980B03" w:rsidRDefault="00980B03" w:rsidP="00980B03">
            <w:pPr>
              <w:pStyle w:val="ListParagraph"/>
              <w:numPr>
                <w:ilvl w:val="0"/>
                <w:numId w:val="21"/>
              </w:numPr>
              <w:rPr>
                <w:rFonts w:ascii="Calibri" w:eastAsia="Times New Roman" w:hAnsi="Calibri" w:cs="Times New Roman"/>
                <w:color w:val="000000"/>
              </w:rPr>
            </w:pPr>
            <w:r w:rsidRPr="00980B03">
              <w:rPr>
                <w:rFonts w:ascii="Calibri" w:eastAsia="Times New Roman" w:hAnsi="Calibri" w:cs="Times New Roman"/>
                <w:color w:val="000000"/>
              </w:rPr>
              <w:t>Registration of intent to initiate ongoing submission was made by the deadline and the EP or hospital is awaiting invitation to begin testing and validation.</w:t>
            </w:r>
          </w:p>
        </w:tc>
      </w:tr>
      <w:tr w:rsidR="00980B03" w:rsidRPr="00244863" w:rsidTr="00980B03">
        <w:trPr>
          <w:trHeight w:val="300"/>
        </w:trPr>
        <w:tc>
          <w:tcPr>
            <w:tcW w:w="1435" w:type="dxa"/>
            <w:vMerge/>
            <w:tcBorders>
              <w:top w:val="nil"/>
              <w:left w:val="single" w:sz="4" w:space="0" w:color="auto"/>
              <w:bottom w:val="single" w:sz="4" w:space="0" w:color="000000"/>
              <w:right w:val="nil"/>
            </w:tcBorders>
            <w:vAlign w:val="center"/>
            <w:hideMark/>
          </w:tcPr>
          <w:p w:rsidR="00980B03" w:rsidRPr="00244863" w:rsidRDefault="00980B03"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80B03" w:rsidRPr="00244863" w:rsidRDefault="00980B03" w:rsidP="00980B03">
            <w:pPr>
              <w:rPr>
                <w:rFonts w:ascii="Calibri" w:eastAsia="Times New Roman" w:hAnsi="Calibri" w:cs="Times New Roman"/>
                <w:color w:val="000000"/>
              </w:rPr>
            </w:pPr>
          </w:p>
        </w:tc>
      </w:tr>
      <w:tr w:rsidR="00980B03" w:rsidRPr="00244863" w:rsidTr="00980B03">
        <w:trPr>
          <w:trHeight w:val="2024"/>
        </w:trPr>
        <w:tc>
          <w:tcPr>
            <w:tcW w:w="1435" w:type="dxa"/>
            <w:vMerge/>
            <w:tcBorders>
              <w:top w:val="nil"/>
              <w:left w:val="single" w:sz="4" w:space="0" w:color="auto"/>
              <w:bottom w:val="single" w:sz="4" w:space="0" w:color="000000"/>
              <w:right w:val="nil"/>
            </w:tcBorders>
            <w:vAlign w:val="center"/>
            <w:hideMark/>
          </w:tcPr>
          <w:p w:rsidR="00980B03" w:rsidRPr="00244863" w:rsidRDefault="00980B03"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980B03" w:rsidRPr="00244863" w:rsidRDefault="00980B03" w:rsidP="00980B03">
            <w:pPr>
              <w:rPr>
                <w:rFonts w:ascii="Calibri" w:eastAsia="Times New Roman" w:hAnsi="Calibri" w:cs="Times New Roman"/>
                <w:color w:val="000000"/>
              </w:rPr>
            </w:pPr>
          </w:p>
        </w:tc>
      </w:tr>
    </w:tbl>
    <w:p w:rsidR="00980B03" w:rsidRDefault="00980B03" w:rsidP="00F56E7A"/>
    <w:p w:rsidR="000836DB" w:rsidRDefault="000836DB" w:rsidP="00F56E7A"/>
    <w:p w:rsidR="001D78E1" w:rsidRDefault="001D78E1">
      <w:pPr>
        <w:rPr>
          <w:rFonts w:eastAsia="Times New Roman" w:cstheme="majorBidi"/>
          <w:b/>
          <w:bCs/>
          <w:sz w:val="28"/>
        </w:rPr>
      </w:pPr>
      <w:r>
        <w:rPr>
          <w:rFonts w:eastAsia="Times New Roman"/>
        </w:rPr>
        <w:br w:type="page"/>
      </w:r>
    </w:p>
    <w:p w:rsidR="000836DB" w:rsidRPr="009F3C18" w:rsidRDefault="000836DB" w:rsidP="000836DB">
      <w:pPr>
        <w:pStyle w:val="Heading3"/>
      </w:pPr>
      <w:bookmarkStart w:id="102" w:name="_Toc390171210"/>
      <w:r w:rsidRPr="00561D11">
        <w:rPr>
          <w:rFonts w:eastAsia="Times New Roman"/>
        </w:rPr>
        <w:t>Syndromic Surveillance Data</w:t>
      </w:r>
      <w:r w:rsidRPr="009F3C18">
        <w:t>: Explanation of Measure</w:t>
      </w:r>
      <w:bookmarkEnd w:id="102"/>
    </w:p>
    <w:p w:rsidR="000836DB" w:rsidRDefault="000836DB" w:rsidP="000836DB">
      <w:pPr>
        <w:rPr>
          <w:b/>
        </w:rPr>
      </w:pPr>
    </w:p>
    <w:p w:rsidR="000836DB" w:rsidRDefault="000836DB" w:rsidP="000836DB">
      <w:r>
        <w:t>This measure does not have a numerator, denominator or reporting threshold. Instead, it is a Yes/No attestation by the EP. This means that there is nothing to track within the CEHRT as far as reporting specific numbers. Instead, the EP is supposed to have performed the work outside of the CEHRT and attest that the work had been done.</w:t>
      </w:r>
    </w:p>
    <w:p w:rsidR="000836DB" w:rsidRDefault="000836DB" w:rsidP="000836DB"/>
    <w:p w:rsidR="000836DB" w:rsidRDefault="000836DB" w:rsidP="000836DB">
      <w:r>
        <w:t xml:space="preserve">In the case of this measure, the EP is required to submit </w:t>
      </w:r>
      <w:r w:rsidR="00AD6497" w:rsidRPr="00561D11">
        <w:rPr>
          <w:rFonts w:ascii="Calibri" w:eastAsia="Times New Roman" w:hAnsi="Calibri" w:cs="Times New Roman"/>
          <w:color w:val="000000"/>
        </w:rPr>
        <w:t xml:space="preserve">syndromic surveillance </w:t>
      </w:r>
      <w:r w:rsidR="00AD6497">
        <w:rPr>
          <w:rFonts w:ascii="Calibri" w:eastAsia="Times New Roman" w:hAnsi="Calibri" w:cs="Times New Roman"/>
          <w:color w:val="000000"/>
        </w:rPr>
        <w:t xml:space="preserve">data </w:t>
      </w:r>
      <w:r>
        <w:t xml:space="preserve">to </w:t>
      </w:r>
      <w:r w:rsidR="00AD6497" w:rsidRPr="00561D11">
        <w:rPr>
          <w:rFonts w:ascii="Calibri" w:eastAsia="Times New Roman" w:hAnsi="Calibri" w:cs="Times New Roman"/>
          <w:color w:val="000000"/>
        </w:rPr>
        <w:t>public health</w:t>
      </w:r>
      <w:r>
        <w:t>. Due to the fact that Behavioral Health EP’s</w:t>
      </w:r>
      <w:r w:rsidR="00AD6497">
        <w:t xml:space="preserve"> are not a</w:t>
      </w:r>
      <w:r>
        <w:t xml:space="preserve"> </w:t>
      </w:r>
      <w:r w:rsidR="00AD6497" w:rsidRPr="00561D11">
        <w:rPr>
          <w:rFonts w:ascii="Calibri" w:eastAsia="Times New Roman" w:hAnsi="Calibri" w:cs="Times New Roman"/>
          <w:color w:val="000000"/>
        </w:rPr>
        <w:t>category of providers that collect ambulatory syndromic</w:t>
      </w:r>
      <w:r w:rsidR="00AD6497">
        <w:rPr>
          <w:rFonts w:ascii="Calibri" w:eastAsia="Times New Roman" w:hAnsi="Calibri" w:cs="Times New Roman"/>
          <w:color w:val="000000"/>
        </w:rPr>
        <w:t xml:space="preserve"> </w:t>
      </w:r>
      <w:r w:rsidR="00AD6497" w:rsidRPr="00561D11">
        <w:rPr>
          <w:rFonts w:ascii="Calibri" w:eastAsia="Times New Roman" w:hAnsi="Calibri" w:cs="Times New Roman"/>
          <w:color w:val="000000"/>
        </w:rPr>
        <w:t>surveillance information on their patients</w:t>
      </w:r>
      <w:r>
        <w:t>, this measure is one that we expect all EP’s of the Valant Premium Psychiatrist Suite exclude out during their reporting.</w:t>
      </w:r>
    </w:p>
    <w:p w:rsidR="000836DB" w:rsidRDefault="000836DB" w:rsidP="000836DB"/>
    <w:p w:rsidR="00C25947" w:rsidRDefault="000836DB" w:rsidP="000836DB">
      <w:r>
        <w:t xml:space="preserve">Since </w:t>
      </w:r>
      <w:r w:rsidR="00AD6497">
        <w:t xml:space="preserve">the </w:t>
      </w:r>
      <w:r w:rsidR="00AD6497" w:rsidRPr="00561D11">
        <w:rPr>
          <w:rFonts w:ascii="Calibri" w:eastAsia="Times New Roman" w:hAnsi="Calibri" w:cs="Times New Roman"/>
          <w:color w:val="000000"/>
        </w:rPr>
        <w:t>collect</w:t>
      </w:r>
      <w:r w:rsidR="00AD6497">
        <w:rPr>
          <w:rFonts w:ascii="Calibri" w:eastAsia="Times New Roman" w:hAnsi="Calibri" w:cs="Times New Roman"/>
          <w:color w:val="000000"/>
        </w:rPr>
        <w:t>ing</w:t>
      </w:r>
      <w:r w:rsidR="00AD6497" w:rsidRPr="00561D11">
        <w:rPr>
          <w:rFonts w:ascii="Calibri" w:eastAsia="Times New Roman" w:hAnsi="Calibri" w:cs="Times New Roman"/>
          <w:color w:val="000000"/>
        </w:rPr>
        <w:t xml:space="preserve"> ambulatory syndromic</w:t>
      </w:r>
      <w:r w:rsidR="00AD6497">
        <w:rPr>
          <w:rFonts w:ascii="Calibri" w:eastAsia="Times New Roman" w:hAnsi="Calibri" w:cs="Times New Roman"/>
          <w:color w:val="000000"/>
        </w:rPr>
        <w:t xml:space="preserve"> </w:t>
      </w:r>
      <w:r w:rsidR="00AD6497" w:rsidRPr="00561D11">
        <w:rPr>
          <w:rFonts w:ascii="Calibri" w:eastAsia="Times New Roman" w:hAnsi="Calibri" w:cs="Times New Roman"/>
          <w:color w:val="000000"/>
        </w:rPr>
        <w:t xml:space="preserve">surveillance information </w:t>
      </w:r>
      <w:r w:rsidR="00AD6497">
        <w:t>of</w:t>
      </w:r>
      <w:r>
        <w:t xml:space="preserve"> patients is outside the scope of Behavioral Health, this measure was deemed outside of the scope of the Valant Premium Psychiatrist Suite. As a result, this measure is excluded from the certification of the Valant Premium Psychiatrist Suite for the 2014 CEHRT. </w:t>
      </w:r>
    </w:p>
    <w:p w:rsidR="00C25947" w:rsidRDefault="00C25947">
      <w:r>
        <w:br w:type="page"/>
      </w:r>
    </w:p>
    <w:p w:rsidR="000836DB" w:rsidRDefault="00C25947" w:rsidP="00C25947">
      <w:pPr>
        <w:pStyle w:val="Heading2"/>
        <w:rPr>
          <w:rFonts w:eastAsia="Times New Roman"/>
        </w:rPr>
      </w:pPr>
      <w:bookmarkStart w:id="103" w:name="_Toc390171211"/>
      <w:r w:rsidRPr="00BC448E">
        <w:rPr>
          <w:rFonts w:eastAsia="Times New Roman"/>
        </w:rPr>
        <w:t>Stage 2 - Menu #2: Electronic Notes</w:t>
      </w:r>
      <w:bookmarkEnd w:id="103"/>
    </w:p>
    <w:p w:rsidR="00C25947" w:rsidRDefault="00C25947" w:rsidP="000836DB"/>
    <w:tbl>
      <w:tblPr>
        <w:tblW w:w="10905" w:type="dxa"/>
        <w:tblInd w:w="93" w:type="dxa"/>
        <w:tblLook w:val="04A0" w:firstRow="1" w:lastRow="0" w:firstColumn="1" w:lastColumn="0" w:noHBand="0" w:noVBand="1"/>
      </w:tblPr>
      <w:tblGrid>
        <w:gridCol w:w="1340"/>
        <w:gridCol w:w="9565"/>
      </w:tblGrid>
      <w:tr w:rsidR="00BC448E" w:rsidRPr="00BC448E" w:rsidTr="00BC448E">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BC448E" w:rsidRPr="00C25947" w:rsidRDefault="00BC448E" w:rsidP="00C25947">
            <w:pPr>
              <w:rPr>
                <w:b/>
              </w:rPr>
            </w:pPr>
            <w:r w:rsidRPr="00C25947">
              <w:rPr>
                <w:b/>
                <w:color w:val="FFFFFF" w:themeColor="background1"/>
                <w:sz w:val="32"/>
              </w:rPr>
              <w:t>Electronic Notes</w:t>
            </w:r>
          </w:p>
        </w:tc>
      </w:tr>
      <w:tr w:rsidR="00BC448E" w:rsidRPr="00BC448E" w:rsidTr="00BC448E">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Record electronic notes in  patient records</w:t>
            </w:r>
          </w:p>
        </w:tc>
      </w:tr>
      <w:tr w:rsidR="00BC448E" w:rsidRPr="00BC448E" w:rsidTr="00BC448E">
        <w:trPr>
          <w:trHeight w:val="300"/>
        </w:trPr>
        <w:tc>
          <w:tcPr>
            <w:tcW w:w="1340" w:type="dxa"/>
            <w:vMerge/>
            <w:tcBorders>
              <w:top w:val="nil"/>
              <w:left w:val="single" w:sz="4" w:space="0" w:color="auto"/>
              <w:bottom w:val="nil"/>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340" w:type="dxa"/>
            <w:vMerge/>
            <w:tcBorders>
              <w:top w:val="nil"/>
              <w:left w:val="single" w:sz="4" w:space="0" w:color="auto"/>
              <w:bottom w:val="nil"/>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Enter at least one electronic progress note created, edited and signed by an EP for more than 30 percent of unique patients with at least one office visit during the EHR Measure reporting period. The text of the electronic note must be text searchable and may contain drawings and other content</w:t>
            </w:r>
          </w:p>
        </w:tc>
      </w:tr>
      <w:tr w:rsidR="00BC448E" w:rsidRPr="00BC448E" w:rsidTr="00BC448E">
        <w:trPr>
          <w:trHeight w:val="300"/>
        </w:trPr>
        <w:tc>
          <w:tcPr>
            <w:tcW w:w="1340" w:type="dxa"/>
            <w:vMerge/>
            <w:tcBorders>
              <w:top w:val="single" w:sz="4" w:space="0" w:color="auto"/>
              <w:left w:val="single" w:sz="4" w:space="0" w:color="auto"/>
              <w:bottom w:val="single" w:sz="4" w:space="0" w:color="000000"/>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340" w:type="dxa"/>
            <w:vMerge/>
            <w:tcBorders>
              <w:top w:val="single" w:sz="4" w:space="0" w:color="auto"/>
              <w:left w:val="single" w:sz="4" w:space="0" w:color="auto"/>
              <w:bottom w:val="single" w:sz="4" w:space="0" w:color="000000"/>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340" w:type="dxa"/>
            <w:vMerge w:val="restart"/>
            <w:tcBorders>
              <w:top w:val="nil"/>
              <w:left w:val="single" w:sz="4" w:space="0" w:color="auto"/>
              <w:bottom w:val="nil"/>
              <w:right w:val="nil"/>
            </w:tcBorders>
            <w:shd w:val="clear" w:color="000000" w:fill="1F497D"/>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No exclusion</w:t>
            </w:r>
          </w:p>
        </w:tc>
      </w:tr>
      <w:tr w:rsidR="00BC448E" w:rsidRPr="00BC448E" w:rsidTr="00BC448E">
        <w:trPr>
          <w:trHeight w:val="300"/>
        </w:trPr>
        <w:tc>
          <w:tcPr>
            <w:tcW w:w="1340" w:type="dxa"/>
            <w:vMerge/>
            <w:tcBorders>
              <w:top w:val="nil"/>
              <w:left w:val="single" w:sz="4" w:space="0" w:color="auto"/>
              <w:bottom w:val="nil"/>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340" w:type="dxa"/>
            <w:vMerge/>
            <w:tcBorders>
              <w:top w:val="nil"/>
              <w:left w:val="single" w:sz="4" w:space="0" w:color="auto"/>
              <w:bottom w:val="nil"/>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bl>
    <w:p w:rsidR="000836DB" w:rsidRDefault="000836DB" w:rsidP="000836DB"/>
    <w:p w:rsidR="00BC448E" w:rsidRDefault="00BC448E" w:rsidP="00F56E7A"/>
    <w:tbl>
      <w:tblPr>
        <w:tblW w:w="10905" w:type="dxa"/>
        <w:tblInd w:w="93" w:type="dxa"/>
        <w:tblLook w:val="04A0" w:firstRow="1" w:lastRow="0" w:firstColumn="1" w:lastColumn="0" w:noHBand="0" w:noVBand="1"/>
      </w:tblPr>
      <w:tblGrid>
        <w:gridCol w:w="1435"/>
        <w:gridCol w:w="9470"/>
      </w:tblGrid>
      <w:tr w:rsidR="00BC448E" w:rsidRPr="00BC448E" w:rsidTr="00BC448E">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BC448E" w:rsidRPr="00BC448E" w:rsidRDefault="00BC448E" w:rsidP="00EB6172">
            <w:pPr>
              <w:rPr>
                <w:rFonts w:ascii="Calibri" w:eastAsia="Times New Roman" w:hAnsi="Calibri" w:cs="Times New Roman"/>
                <w:b/>
                <w:bCs/>
                <w:color w:val="FFFFFF"/>
                <w:sz w:val="28"/>
                <w:szCs w:val="28"/>
              </w:rPr>
            </w:pPr>
            <w:r w:rsidRPr="00BC448E">
              <w:rPr>
                <w:rFonts w:ascii="Calibri" w:eastAsia="Times New Roman" w:hAnsi="Calibri" w:cs="Times New Roman"/>
                <w:b/>
                <w:bCs/>
                <w:color w:val="FFFFFF"/>
                <w:sz w:val="28"/>
                <w:szCs w:val="28"/>
              </w:rPr>
              <w:t xml:space="preserve">Electronic </w:t>
            </w:r>
            <w:r w:rsidR="00EB6172">
              <w:rPr>
                <w:rFonts w:ascii="Calibri" w:eastAsia="Times New Roman" w:hAnsi="Calibri" w:cs="Times New Roman"/>
                <w:b/>
                <w:bCs/>
                <w:color w:val="FFFFFF"/>
                <w:sz w:val="28"/>
                <w:szCs w:val="28"/>
              </w:rPr>
              <w:t>Notes</w:t>
            </w:r>
            <w:r w:rsidR="008B6BCC">
              <w:rPr>
                <w:rFonts w:ascii="Calibri" w:eastAsia="Times New Roman" w:hAnsi="Calibri" w:cs="Times New Roman"/>
                <w:b/>
                <w:bCs/>
                <w:color w:val="FFFFFF"/>
                <w:sz w:val="28"/>
                <w:szCs w:val="28"/>
              </w:rPr>
              <w:t>: Attestation Requirements</w:t>
            </w:r>
          </w:p>
        </w:tc>
      </w:tr>
      <w:tr w:rsidR="00BC448E" w:rsidRPr="00BC448E" w:rsidTr="00BC448E">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Number of unique patients with at least one office visit during the EHR</w:t>
            </w:r>
            <w:r>
              <w:rPr>
                <w:rFonts w:ascii="Calibri" w:eastAsia="Times New Roman" w:hAnsi="Calibri" w:cs="Times New Roman"/>
                <w:color w:val="000000"/>
              </w:rPr>
              <w:t xml:space="preserve"> </w:t>
            </w:r>
            <w:r w:rsidRPr="00BC448E">
              <w:rPr>
                <w:rFonts w:ascii="Calibri" w:eastAsia="Times New Roman" w:hAnsi="Calibri" w:cs="Times New Roman"/>
                <w:color w:val="000000"/>
              </w:rPr>
              <w:t>reporting period for EPs during the EHR reporting period</w:t>
            </w:r>
          </w:p>
        </w:tc>
      </w:tr>
      <w:tr w:rsidR="00BC448E" w:rsidRPr="00BC448E" w:rsidTr="00BC448E">
        <w:trPr>
          <w:trHeight w:val="300"/>
        </w:trPr>
        <w:tc>
          <w:tcPr>
            <w:tcW w:w="1435" w:type="dxa"/>
            <w:vMerge/>
            <w:tcBorders>
              <w:top w:val="nil"/>
              <w:left w:val="single" w:sz="4" w:space="0" w:color="auto"/>
              <w:bottom w:val="single" w:sz="4" w:space="0" w:color="000000"/>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 xml:space="preserve">The number of unique patients in the denominator who have at least one </w:t>
            </w:r>
            <w:r w:rsidRPr="00BC448E">
              <w:rPr>
                <w:rFonts w:ascii="Calibri" w:eastAsia="Times New Roman" w:hAnsi="Calibri" w:cs="Times New Roman"/>
                <w:color w:val="000000"/>
              </w:rPr>
              <w:br/>
              <w:t>electronic progress note from an eligible professional recorded as text searchable data</w:t>
            </w:r>
          </w:p>
        </w:tc>
      </w:tr>
      <w:tr w:rsidR="00BC448E" w:rsidRPr="00BC448E" w:rsidTr="00BC448E">
        <w:trPr>
          <w:trHeight w:val="300"/>
        </w:trPr>
        <w:tc>
          <w:tcPr>
            <w:tcW w:w="1435" w:type="dxa"/>
            <w:vMerge/>
            <w:tcBorders>
              <w:top w:val="nil"/>
              <w:left w:val="single" w:sz="4" w:space="0" w:color="auto"/>
              <w:bottom w:val="single" w:sz="4" w:space="0" w:color="000000"/>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r w:rsidR="00BC448E" w:rsidRPr="00BC448E" w:rsidTr="00BC448E">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BC448E" w:rsidRPr="00BC448E" w:rsidRDefault="00BC448E" w:rsidP="00BC448E">
            <w:pPr>
              <w:jc w:val="right"/>
              <w:rPr>
                <w:rFonts w:ascii="Calibri" w:eastAsia="Times New Roman" w:hAnsi="Calibri" w:cs="Times New Roman"/>
                <w:b/>
                <w:bCs/>
                <w:color w:val="FFFFFF"/>
              </w:rPr>
            </w:pPr>
            <w:r w:rsidRPr="00BC448E">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BC448E" w:rsidRPr="00BC448E" w:rsidRDefault="00BC448E" w:rsidP="00BC448E">
            <w:pPr>
              <w:rPr>
                <w:rFonts w:ascii="Calibri" w:eastAsia="Times New Roman" w:hAnsi="Calibri" w:cs="Times New Roman"/>
                <w:color w:val="000000"/>
              </w:rPr>
            </w:pPr>
            <w:r w:rsidRPr="00BC448E">
              <w:rPr>
                <w:rFonts w:ascii="Calibri" w:eastAsia="Times New Roman" w:hAnsi="Calibri" w:cs="Times New Roman"/>
                <w:color w:val="000000"/>
              </w:rPr>
              <w:t>The resulting percentage must be more than 30 percent in order for an EP to meet this measure</w:t>
            </w:r>
          </w:p>
        </w:tc>
      </w:tr>
      <w:tr w:rsidR="00BC448E" w:rsidRPr="00BC448E" w:rsidTr="00BC448E">
        <w:trPr>
          <w:trHeight w:val="300"/>
        </w:trPr>
        <w:tc>
          <w:tcPr>
            <w:tcW w:w="1435" w:type="dxa"/>
            <w:vMerge/>
            <w:tcBorders>
              <w:top w:val="nil"/>
              <w:left w:val="single" w:sz="4" w:space="0" w:color="auto"/>
              <w:bottom w:val="single" w:sz="4" w:space="0" w:color="000000"/>
              <w:right w:val="nil"/>
            </w:tcBorders>
            <w:vAlign w:val="center"/>
            <w:hideMark/>
          </w:tcPr>
          <w:p w:rsidR="00BC448E" w:rsidRPr="00BC448E" w:rsidRDefault="00BC448E" w:rsidP="00BC448E">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BC448E" w:rsidRPr="00BC448E" w:rsidRDefault="00BC448E" w:rsidP="00BC448E">
            <w:pPr>
              <w:rPr>
                <w:rFonts w:ascii="Calibri" w:eastAsia="Times New Roman" w:hAnsi="Calibri" w:cs="Times New Roman"/>
                <w:color w:val="000000"/>
              </w:rPr>
            </w:pPr>
          </w:p>
        </w:tc>
      </w:tr>
    </w:tbl>
    <w:p w:rsidR="00BC448E" w:rsidRDefault="00BC448E" w:rsidP="00F56E7A"/>
    <w:p w:rsidR="00BC448E" w:rsidRDefault="00BC448E" w:rsidP="00F56E7A"/>
    <w:p w:rsidR="00EB6172" w:rsidRPr="009F3C18" w:rsidRDefault="00EB6172" w:rsidP="00EB6172">
      <w:pPr>
        <w:pStyle w:val="Heading3"/>
      </w:pPr>
      <w:bookmarkStart w:id="104" w:name="_Toc390171212"/>
      <w:r>
        <w:rPr>
          <w:rFonts w:eastAsia="Times New Roman"/>
        </w:rPr>
        <w:t>Electronic Notes</w:t>
      </w:r>
      <w:r w:rsidRPr="009F3C18">
        <w:t>: Explanation of Measure</w:t>
      </w:r>
      <w:bookmarkEnd w:id="104"/>
    </w:p>
    <w:p w:rsidR="00454C06" w:rsidRDefault="00454C06" w:rsidP="00454C06"/>
    <w:p w:rsidR="00454C06" w:rsidRDefault="00454C06" w:rsidP="00454C06">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w:t>
      </w:r>
    </w:p>
    <w:p w:rsidR="00454C06" w:rsidRDefault="00454C06" w:rsidP="00454C06"/>
    <w:p w:rsidR="00454C06" w:rsidRDefault="00454C06" w:rsidP="00454C06">
      <w:r>
        <w:t>To meet the numerator requirement for this measure, a patient needs to have at least one signed note attached to their chart</w:t>
      </w:r>
      <w:r w:rsidR="006E4792">
        <w:t xml:space="preserve"> that was both created and signed within the Valant Premium Psychiatric Suite</w:t>
      </w:r>
      <w:r w:rsidR="00E73859">
        <w:t xml:space="preserve"> by the EP</w:t>
      </w:r>
      <w:r w:rsidR="006E4792">
        <w:t xml:space="preserve">. </w:t>
      </w:r>
      <w:r w:rsidR="00436E9E">
        <w:t>By definition, all notes created in this manner are text searchable. Additionally, the term “progress note” denotes any signed electronic note relating to a patient visit. CMS defines this as a category including phone notes and counseling visits.</w:t>
      </w:r>
    </w:p>
    <w:p w:rsidR="00454C06" w:rsidRDefault="00454C06" w:rsidP="00454C06"/>
    <w:p w:rsidR="00AF64E5" w:rsidRDefault="00AF64E5" w:rsidP="00AF64E5">
      <w:r>
        <w:t xml:space="preserve">Each EP will need to ensure that they create and sign at least one note for each patient seen during the reporting period in order to receive credit for the numerator for this measure. If more than one EP has a recorded visit with the same patient during the reporting period, then each EP will need to ensure that they have at least one signed document for that patient in order for the patient to count towards the numerator for that EP.  </w:t>
      </w:r>
    </w:p>
    <w:p w:rsidR="00AF64E5" w:rsidRDefault="00AF64E5" w:rsidP="00454C06"/>
    <w:p w:rsidR="00454C06" w:rsidRDefault="00454C06" w:rsidP="00454C06">
      <w:pPr>
        <w:rPr>
          <w:b/>
          <w:sz w:val="28"/>
        </w:rPr>
      </w:pPr>
      <w:r>
        <w:rPr>
          <w:b/>
          <w:sz w:val="28"/>
        </w:rPr>
        <w:br w:type="page"/>
      </w:r>
    </w:p>
    <w:p w:rsidR="00450833" w:rsidRPr="004736F7" w:rsidRDefault="00450833" w:rsidP="00450833">
      <w:pPr>
        <w:pStyle w:val="Heading3"/>
      </w:pPr>
      <w:bookmarkStart w:id="105" w:name="_Toc390171213"/>
      <w:r>
        <w:rPr>
          <w:rFonts w:eastAsia="Times New Roman"/>
        </w:rPr>
        <w:t>Electronic Notes</w:t>
      </w:r>
      <w:r w:rsidRPr="004736F7">
        <w:t xml:space="preserve">: </w:t>
      </w:r>
      <w:r>
        <w:t>Meaningful Use Measures</w:t>
      </w:r>
    </w:p>
    <w:p w:rsidR="00450833" w:rsidRPr="00DF721A" w:rsidRDefault="00450833" w:rsidP="00450833"/>
    <w:p w:rsidR="00450833" w:rsidRDefault="00450833" w:rsidP="00450833">
      <w:r>
        <w:t xml:space="preserve">There is a single line item related to </w:t>
      </w:r>
      <w:r>
        <w:rPr>
          <w:rFonts w:eastAsia="Times New Roman"/>
        </w:rPr>
        <w:t>Electronic Notes</w:t>
      </w:r>
      <w:r>
        <w:t xml:space="preserve"> in the Stage 2 list of Meaningful Use Measures. The name of this line item is </w:t>
      </w:r>
      <w:r w:rsidRPr="00450833">
        <w:rPr>
          <w:rFonts w:eastAsia="Times New Roman"/>
          <w:b/>
        </w:rPr>
        <w:t>Electronic Notes</w:t>
      </w:r>
      <w:r w:rsidRPr="00FD0136">
        <w:t>.</w:t>
      </w:r>
    </w:p>
    <w:p w:rsidR="00450833" w:rsidRDefault="00450833" w:rsidP="00450833"/>
    <w:p w:rsidR="00450833" w:rsidRDefault="00450833" w:rsidP="00450833"/>
    <w:p w:rsidR="00450833" w:rsidRDefault="00450833" w:rsidP="00450833">
      <w:r>
        <w:rPr>
          <w:noProof/>
        </w:rPr>
        <w:drawing>
          <wp:inline distT="0" distB="0" distL="0" distR="0">
            <wp:extent cx="6854190" cy="4540250"/>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E73859" w:rsidRPr="004736F7" w:rsidRDefault="00450833" w:rsidP="00450833">
      <w:pPr>
        <w:pStyle w:val="Heading3"/>
      </w:pPr>
      <w:r>
        <w:rPr>
          <w:b w:val="0"/>
        </w:rPr>
        <w:br w:type="page"/>
      </w:r>
      <w:r w:rsidR="00E73859">
        <w:rPr>
          <w:rFonts w:eastAsia="Times New Roman"/>
        </w:rPr>
        <w:t>Electronic Notes</w:t>
      </w:r>
      <w:r w:rsidR="00E73859" w:rsidRPr="004736F7">
        <w:t>: Recording of Numerator in Valant</w:t>
      </w:r>
      <w:bookmarkEnd w:id="105"/>
    </w:p>
    <w:p w:rsidR="00BC448E" w:rsidRDefault="00BC448E" w:rsidP="00F56E7A"/>
    <w:p w:rsidR="00BC448E" w:rsidRDefault="007930AB" w:rsidP="00F56E7A">
      <w:r>
        <w:t xml:space="preserve">Any clinical document created and signed within the Valant Premium Psychiatric Suite will count towards meeting the requirement of this measure. This means that notes created using the Web Editor, Word Template, or Mobile Notes can all be used to satisfy the numerator. </w:t>
      </w:r>
      <w:r w:rsidR="00505B1C">
        <w:t>The documents must be clinical notes; as such, non-clinical documents will not meet the numerator requirement. Additionally, d</w:t>
      </w:r>
      <w:r>
        <w:t xml:space="preserve">ocuments that have been uploaded will </w:t>
      </w:r>
      <w:r w:rsidRPr="007930AB">
        <w:rPr>
          <w:u w:val="single"/>
        </w:rPr>
        <w:t>not</w:t>
      </w:r>
      <w:r>
        <w:t xml:space="preserve"> be used to meet the requirement of this measure as they were not created within the system.    </w:t>
      </w:r>
    </w:p>
    <w:p w:rsidR="00C25947" w:rsidRDefault="00C25947">
      <w:r>
        <w:br w:type="page"/>
      </w:r>
    </w:p>
    <w:p w:rsidR="00C25947" w:rsidRDefault="00C25947" w:rsidP="00C25947">
      <w:pPr>
        <w:pStyle w:val="Heading2"/>
      </w:pPr>
      <w:bookmarkStart w:id="106" w:name="_Toc390171214"/>
      <w:r w:rsidRPr="000F1A35">
        <w:t>Stage 2 - Menu #3: Imaging Results</w:t>
      </w:r>
      <w:bookmarkEnd w:id="106"/>
    </w:p>
    <w:p w:rsidR="00350184" w:rsidRDefault="00350184" w:rsidP="00C25947"/>
    <w:tbl>
      <w:tblPr>
        <w:tblW w:w="10905" w:type="dxa"/>
        <w:tblInd w:w="93" w:type="dxa"/>
        <w:tblLook w:val="04A0" w:firstRow="1" w:lastRow="0" w:firstColumn="1" w:lastColumn="0" w:noHBand="0" w:noVBand="1"/>
      </w:tblPr>
      <w:tblGrid>
        <w:gridCol w:w="1340"/>
        <w:gridCol w:w="9565"/>
      </w:tblGrid>
      <w:tr w:rsidR="00350184" w:rsidRPr="00350184" w:rsidTr="00350184">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350184" w:rsidRPr="00C25947" w:rsidRDefault="00350184" w:rsidP="00C25947">
            <w:pPr>
              <w:rPr>
                <w:b/>
              </w:rPr>
            </w:pPr>
            <w:r w:rsidRPr="00C25947">
              <w:rPr>
                <w:b/>
                <w:color w:val="FFFFFF" w:themeColor="background1"/>
                <w:sz w:val="32"/>
              </w:rPr>
              <w:t>Imaging Results</w:t>
            </w:r>
          </w:p>
        </w:tc>
      </w:tr>
      <w:tr w:rsidR="00350184" w:rsidRPr="00350184" w:rsidTr="00350184">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Imaging results consisting of the image itself and any explanation or other accompanying information are accessible through CEHRT</w:t>
            </w: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More than 10 percent of all tests whose result is one or more images ordered by the EP during the EHR reporting period are accessible through CEHRT</w:t>
            </w:r>
          </w:p>
        </w:tc>
      </w:tr>
      <w:tr w:rsidR="00350184" w:rsidRPr="00350184" w:rsidTr="0035018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val="restart"/>
            <w:tcBorders>
              <w:top w:val="nil"/>
              <w:left w:val="single" w:sz="4" w:space="0" w:color="auto"/>
              <w:bottom w:val="nil"/>
              <w:right w:val="nil"/>
            </w:tcBorders>
            <w:shd w:val="clear" w:color="000000" w:fill="1F497D"/>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Any EP who orders less than 100 tests whose result is an image during the EHR reporting period; or any EP who has no access to electronic imaging results at the start of the EHR reporting period</w:t>
            </w: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bl>
    <w:p w:rsidR="00BC448E" w:rsidRDefault="00BC448E" w:rsidP="00F56E7A"/>
    <w:p w:rsidR="00BC448E" w:rsidRDefault="00BC448E" w:rsidP="00F56E7A"/>
    <w:tbl>
      <w:tblPr>
        <w:tblW w:w="10905" w:type="dxa"/>
        <w:tblInd w:w="93" w:type="dxa"/>
        <w:tblLook w:val="04A0" w:firstRow="1" w:lastRow="0" w:firstColumn="1" w:lastColumn="0" w:noHBand="0" w:noVBand="1"/>
      </w:tblPr>
      <w:tblGrid>
        <w:gridCol w:w="1435"/>
        <w:gridCol w:w="9470"/>
      </w:tblGrid>
      <w:tr w:rsidR="00350184" w:rsidRPr="00350184" w:rsidTr="00350184">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350184" w:rsidRPr="00350184" w:rsidRDefault="00350184" w:rsidP="00350184">
            <w:pPr>
              <w:rPr>
                <w:rFonts w:ascii="Calibri" w:eastAsia="Times New Roman" w:hAnsi="Calibri" w:cs="Times New Roman"/>
                <w:b/>
                <w:bCs/>
                <w:color w:val="FFFFFF"/>
                <w:sz w:val="28"/>
                <w:szCs w:val="28"/>
              </w:rPr>
            </w:pPr>
            <w:r w:rsidRPr="00350184">
              <w:rPr>
                <w:rFonts w:ascii="Calibri" w:eastAsia="Times New Roman" w:hAnsi="Calibri" w:cs="Times New Roman"/>
                <w:b/>
                <w:bCs/>
                <w:color w:val="FFFFFF"/>
                <w:sz w:val="28"/>
                <w:szCs w:val="28"/>
              </w:rPr>
              <w:t>Imaging Results</w:t>
            </w:r>
            <w:r w:rsidR="008B6BCC">
              <w:rPr>
                <w:rFonts w:ascii="Calibri" w:eastAsia="Times New Roman" w:hAnsi="Calibri" w:cs="Times New Roman"/>
                <w:b/>
                <w:bCs/>
                <w:color w:val="FFFFFF"/>
                <w:sz w:val="28"/>
                <w:szCs w:val="28"/>
              </w:rPr>
              <w:t>: Attestation Requirements</w:t>
            </w: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Number of tests whose result is one or more images ordered by the EP during the EHR reporting period</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The number of results in the denominator that are accessible through CEHRT</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The resulting percentage must be more than 10 percent in order to meet this measure</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bl>
    <w:p w:rsidR="00BC448E" w:rsidRDefault="00BC448E" w:rsidP="00F56E7A"/>
    <w:p w:rsidR="00BC448E" w:rsidRDefault="00BC448E" w:rsidP="00F56E7A"/>
    <w:p w:rsidR="00BC448E" w:rsidRDefault="00BC448E" w:rsidP="00F56E7A"/>
    <w:p w:rsidR="00350184" w:rsidRPr="009F3C18" w:rsidRDefault="00350184" w:rsidP="00350184">
      <w:pPr>
        <w:pStyle w:val="Heading3"/>
      </w:pPr>
      <w:bookmarkStart w:id="107" w:name="_Toc390171215"/>
      <w:r>
        <w:rPr>
          <w:rFonts w:eastAsia="Times New Roman"/>
        </w:rPr>
        <w:t>Imaging Results</w:t>
      </w:r>
      <w:r w:rsidRPr="009F3C18">
        <w:t>: Explanation of Measure</w:t>
      </w:r>
      <w:bookmarkEnd w:id="107"/>
    </w:p>
    <w:p w:rsidR="00BC448E" w:rsidRDefault="00BC448E" w:rsidP="00F56E7A"/>
    <w:p w:rsidR="00376EA1" w:rsidRDefault="00376EA1" w:rsidP="00376EA1">
      <w:r>
        <w:t>This measur</w:t>
      </w:r>
      <w:r w:rsidR="00790B1B">
        <w:t>e is based the number of Image</w:t>
      </w:r>
      <w:r>
        <w:t xml:space="preserve"> Orders </w:t>
      </w:r>
      <w:r w:rsidR="00790B1B">
        <w:t>requested by the</w:t>
      </w:r>
      <w:r>
        <w:t xml:space="preserve"> EP during the reporting period. This measure is unique in that it is the only measure which is directly related to the amount of </w:t>
      </w:r>
      <w:r w:rsidR="00790B1B">
        <w:t xml:space="preserve">Image Orders created </w:t>
      </w:r>
      <w:r>
        <w:t xml:space="preserve">by an EP. This means that, based on the </w:t>
      </w:r>
      <w:r w:rsidR="00790B1B">
        <w:t>Image Orders that have been created</w:t>
      </w:r>
      <w:r>
        <w:t xml:space="preserve">, the same patient can count towards both the numerator and denominator multiple times during a reporting period for an individual EP. As such, care should be taken to ensure that the proper work is done to ensure that the EP will meet the threshold for this measure.  </w:t>
      </w:r>
    </w:p>
    <w:p w:rsidR="00376EA1" w:rsidRDefault="00376EA1" w:rsidP="00376EA1"/>
    <w:p w:rsidR="00790B1B" w:rsidRDefault="00376EA1" w:rsidP="00376EA1">
      <w:r>
        <w:t xml:space="preserve">For each </w:t>
      </w:r>
      <w:r w:rsidR="00790B1B">
        <w:t>Image Order created by</w:t>
      </w:r>
      <w:r>
        <w:t xml:space="preserve"> the EP</w:t>
      </w:r>
      <w:r w:rsidR="00790B1B">
        <w:t xml:space="preserve">, the image results related to the order need to be incorporated in the CEHRT for that Image Order to count towards the numerator for this measure. Each Image Order can count at most once for both numerator and denominator, meaning that Image Orders which contain multiple results will still only count as one entry for the purposes of this measure. </w:t>
      </w:r>
    </w:p>
    <w:p w:rsidR="00376EA1" w:rsidRDefault="00376EA1" w:rsidP="00376EA1"/>
    <w:p w:rsidR="00376EA1" w:rsidRDefault="00376EA1" w:rsidP="00F56E7A">
      <w:r>
        <w:t xml:space="preserve">Each EP will need to </w:t>
      </w:r>
      <w:r w:rsidR="00790B1B">
        <w:t xml:space="preserve">ensure that the Image Orders created </w:t>
      </w:r>
      <w:r>
        <w:t xml:space="preserve">during the reporting period </w:t>
      </w:r>
      <w:r w:rsidR="00790B1B">
        <w:t xml:space="preserve">have results entered in the CEHRT </w:t>
      </w:r>
      <w:r>
        <w:t xml:space="preserve">in order to receive credit for the numerator for this measure. If more than one EP has </w:t>
      </w:r>
      <w:r w:rsidR="00790B1B">
        <w:t>an Image Order</w:t>
      </w:r>
      <w:r>
        <w:t xml:space="preserve"> with the same patient during the reporting period, then each EP will need to</w:t>
      </w:r>
      <w:r w:rsidR="00790B1B">
        <w:t xml:space="preserve"> ensure that the Image Results have been entered for their own Image Order</w:t>
      </w:r>
      <w:r>
        <w:t xml:space="preserve"> for that </w:t>
      </w:r>
      <w:r w:rsidR="00790B1B">
        <w:t>result</w:t>
      </w:r>
      <w:r>
        <w:t xml:space="preserve"> to count towards the numerator for that EP.  </w:t>
      </w:r>
    </w:p>
    <w:p w:rsidR="00376EA1" w:rsidRDefault="00376EA1" w:rsidP="00F56E7A"/>
    <w:p w:rsidR="00376EA1" w:rsidRDefault="00376EA1" w:rsidP="00F56E7A">
      <w:r>
        <w:br w:type="page"/>
      </w:r>
    </w:p>
    <w:p w:rsidR="006B28CE" w:rsidRPr="004736F7" w:rsidRDefault="006B28CE" w:rsidP="006B28CE">
      <w:pPr>
        <w:pStyle w:val="Heading3"/>
      </w:pPr>
      <w:bookmarkStart w:id="108" w:name="_Toc390171216"/>
      <w:r>
        <w:rPr>
          <w:rFonts w:eastAsia="Times New Roman"/>
        </w:rPr>
        <w:t>Imaging Results</w:t>
      </w:r>
      <w:r w:rsidRPr="004736F7">
        <w:t xml:space="preserve">: </w:t>
      </w:r>
      <w:r>
        <w:t>Meaningful Use Measures</w:t>
      </w:r>
    </w:p>
    <w:p w:rsidR="006B28CE" w:rsidRPr="00DF721A" w:rsidRDefault="006B28CE" w:rsidP="006B28CE"/>
    <w:p w:rsidR="006B28CE" w:rsidRDefault="006B28CE" w:rsidP="006B28CE">
      <w:r>
        <w:t xml:space="preserve">There is a single line item related to </w:t>
      </w:r>
      <w:r>
        <w:rPr>
          <w:rFonts w:eastAsia="Times New Roman"/>
        </w:rPr>
        <w:t>Imaging Results</w:t>
      </w:r>
      <w:r>
        <w:t xml:space="preserve"> in the Stage 2 list of Meaningful Use Measures. The name of this line item is </w:t>
      </w:r>
      <w:r w:rsidRPr="006B28CE">
        <w:rPr>
          <w:rFonts w:eastAsia="Times New Roman"/>
          <w:b/>
        </w:rPr>
        <w:t>Imaging Results</w:t>
      </w:r>
      <w:r w:rsidRPr="00FD0136">
        <w:t>.</w:t>
      </w:r>
    </w:p>
    <w:p w:rsidR="006B28CE" w:rsidRDefault="006B28CE" w:rsidP="006B28CE"/>
    <w:p w:rsidR="006B28CE" w:rsidRDefault="006B28CE" w:rsidP="006B28CE"/>
    <w:p w:rsidR="006B28CE" w:rsidRDefault="006B28CE" w:rsidP="006B28CE">
      <w:r>
        <w:rPr>
          <w:noProof/>
        </w:rPr>
        <w:drawing>
          <wp:inline distT="0" distB="0" distL="0" distR="0">
            <wp:extent cx="6854190" cy="454025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376EA1" w:rsidRPr="004736F7" w:rsidRDefault="006B28CE" w:rsidP="006B28CE">
      <w:pPr>
        <w:pStyle w:val="Heading3"/>
      </w:pPr>
      <w:r>
        <w:rPr>
          <w:b w:val="0"/>
        </w:rPr>
        <w:br w:type="page"/>
      </w:r>
      <w:r w:rsidR="00376EA1">
        <w:rPr>
          <w:rFonts w:eastAsia="Times New Roman"/>
        </w:rPr>
        <w:t>Imaging Results</w:t>
      </w:r>
      <w:r w:rsidR="00376EA1" w:rsidRPr="004736F7">
        <w:t>: Recording of Numerator in Valant</w:t>
      </w:r>
      <w:bookmarkEnd w:id="108"/>
    </w:p>
    <w:p w:rsidR="00376EA1" w:rsidRDefault="00376EA1" w:rsidP="00F56E7A"/>
    <w:p w:rsidR="0066139F" w:rsidRDefault="0073581F" w:rsidP="00F56E7A">
      <w:r>
        <w:t>Recordi</w:t>
      </w:r>
      <w:r w:rsidR="001E2720">
        <w:t xml:space="preserve">ng the result of an Image Order </w:t>
      </w:r>
      <w:r w:rsidR="00EE667F">
        <w:t xml:space="preserve">such that the Image Result will count towards the numerator for the purposes of this measure is a two-step process. </w:t>
      </w:r>
      <w:r w:rsidR="0066139F">
        <w:t xml:space="preserve">First, the </w:t>
      </w:r>
      <w:r w:rsidR="0066139F" w:rsidRPr="00036856">
        <w:rPr>
          <w:b/>
        </w:rPr>
        <w:t>Image Results</w:t>
      </w:r>
      <w:r w:rsidR="0066139F">
        <w:t xml:space="preserve"> must be uploaded into the Valant Premium Psychiatric Suite. Once this has been done, the Image Order needs to be marked to indicate that the results for this order have been incorporated into the patient chart. </w:t>
      </w:r>
    </w:p>
    <w:p w:rsidR="0066139F" w:rsidRDefault="0066139F" w:rsidP="00F56E7A"/>
    <w:p w:rsidR="00BC448E" w:rsidRDefault="00EE667F" w:rsidP="00F56E7A">
      <w:r>
        <w:t xml:space="preserve">For more information on the </w:t>
      </w:r>
      <w:r w:rsidR="0066139F">
        <w:t>Image Results</w:t>
      </w:r>
      <w:r>
        <w:t xml:space="preserve"> feature beyond what is described here, please refer to documentation </w:t>
      </w:r>
      <w:r w:rsidRPr="00D377DD">
        <w:rPr>
          <w:highlight w:val="yellow"/>
        </w:rPr>
        <w:t>XXXXX</w:t>
      </w:r>
      <w:r>
        <w:t>.</w:t>
      </w:r>
    </w:p>
    <w:p w:rsidR="0066139F" w:rsidRDefault="0066139F" w:rsidP="00F56E7A"/>
    <w:p w:rsidR="0066139F" w:rsidRDefault="0066139F" w:rsidP="00F56E7A"/>
    <w:p w:rsidR="0066139F" w:rsidRDefault="0066139F" w:rsidP="0066139F">
      <w:pPr>
        <w:pStyle w:val="Heading4"/>
      </w:pPr>
      <w:bookmarkStart w:id="109" w:name="_Toc390171217"/>
      <w:r>
        <w:t>Image Results</w:t>
      </w:r>
      <w:bookmarkEnd w:id="109"/>
    </w:p>
    <w:p w:rsidR="0066139F" w:rsidRDefault="0066139F" w:rsidP="00F56E7A"/>
    <w:p w:rsidR="0066139F" w:rsidRDefault="00036856" w:rsidP="00F56E7A">
      <w:r>
        <w:t xml:space="preserve">To upload the results from an Image Order, navigate to the Image Results tab in the patient chart. </w:t>
      </w:r>
    </w:p>
    <w:p w:rsidR="0066139F" w:rsidRDefault="0066139F" w:rsidP="00F56E7A"/>
    <w:p w:rsidR="00036856" w:rsidRDefault="00036856" w:rsidP="00F56E7A">
      <w:r>
        <w:rPr>
          <w:noProof/>
        </w:rPr>
        <w:drawing>
          <wp:inline distT="0" distB="0" distL="0" distR="0" wp14:anchorId="074AFFA1" wp14:editId="633D6CC6">
            <wp:extent cx="6854190" cy="262255"/>
            <wp:effectExtent l="0" t="0" r="381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4190" cy="262255"/>
                    </a:xfrm>
                    <a:prstGeom prst="rect">
                      <a:avLst/>
                    </a:prstGeom>
                    <a:noFill/>
                    <a:ln>
                      <a:noFill/>
                    </a:ln>
                  </pic:spPr>
                </pic:pic>
              </a:graphicData>
            </a:graphic>
          </wp:inline>
        </w:drawing>
      </w:r>
    </w:p>
    <w:p w:rsidR="0066139F" w:rsidRDefault="0066139F" w:rsidP="00F56E7A"/>
    <w:p w:rsidR="0066139F" w:rsidRDefault="0066139F" w:rsidP="00F56E7A"/>
    <w:p w:rsidR="000C142C" w:rsidRDefault="000C142C" w:rsidP="00F56E7A">
      <w:r>
        <w:t xml:space="preserve">Clicking on the </w:t>
      </w:r>
      <w:r w:rsidRPr="000C142C">
        <w:rPr>
          <w:b/>
        </w:rPr>
        <w:t>New Image Result</w:t>
      </w:r>
      <w:r>
        <w:t xml:space="preserve"> button will start the process of uploading the Image Result into the patient’s record. </w:t>
      </w:r>
    </w:p>
    <w:p w:rsidR="000C142C" w:rsidRDefault="000C142C" w:rsidP="00F56E7A"/>
    <w:p w:rsidR="000C142C" w:rsidRDefault="000C142C" w:rsidP="00F56E7A">
      <w:r>
        <w:rPr>
          <w:noProof/>
        </w:rPr>
        <w:drawing>
          <wp:inline distT="0" distB="0" distL="0" distR="0" wp14:anchorId="4682C4FE" wp14:editId="21CC0EAE">
            <wp:extent cx="6848475" cy="514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48475" cy="514350"/>
                    </a:xfrm>
                    <a:prstGeom prst="rect">
                      <a:avLst/>
                    </a:prstGeom>
                    <a:noFill/>
                    <a:ln>
                      <a:noFill/>
                    </a:ln>
                  </pic:spPr>
                </pic:pic>
              </a:graphicData>
            </a:graphic>
          </wp:inline>
        </w:drawing>
      </w:r>
    </w:p>
    <w:p w:rsidR="00036856" w:rsidRDefault="00036856" w:rsidP="00F56E7A"/>
    <w:p w:rsidR="0066139F" w:rsidRDefault="0066139F" w:rsidP="00F56E7A"/>
    <w:p w:rsidR="000C142C" w:rsidRDefault="000C142C" w:rsidP="00F56E7A">
      <w:r>
        <w:t xml:space="preserve">An Image Result can be uploaded into the patient’s chart through the </w:t>
      </w:r>
      <w:r w:rsidRPr="000C142C">
        <w:rPr>
          <w:b/>
        </w:rPr>
        <w:t>Add New Image Result</w:t>
      </w:r>
      <w:r>
        <w:t xml:space="preserve"> window. A Date, Interpretation, and Provider can all be attached to an Image Result. Once these fields have been set, clicking the </w:t>
      </w:r>
      <w:r w:rsidRPr="000C142C">
        <w:rPr>
          <w:b/>
        </w:rPr>
        <w:t>Browse</w:t>
      </w:r>
      <w:r>
        <w:t xml:space="preserve"> button will enable the user to attach the results to these details. When the files have been associated, clicking the </w:t>
      </w:r>
      <w:r w:rsidRPr="000C142C">
        <w:rPr>
          <w:b/>
        </w:rPr>
        <w:t>OK</w:t>
      </w:r>
      <w:r>
        <w:t xml:space="preserve"> button will upload the Image Results into the patient’s record.</w:t>
      </w:r>
    </w:p>
    <w:p w:rsidR="000C142C" w:rsidRDefault="000C142C" w:rsidP="00F56E7A"/>
    <w:p w:rsidR="000C142C" w:rsidRDefault="000C142C" w:rsidP="000C142C">
      <w:pPr>
        <w:jc w:val="center"/>
      </w:pPr>
      <w:r>
        <w:rPr>
          <w:noProof/>
        </w:rPr>
        <w:drawing>
          <wp:inline distT="0" distB="0" distL="0" distR="0" wp14:anchorId="2C5BEADA" wp14:editId="5D4D652A">
            <wp:extent cx="4495800" cy="3257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95800" cy="3257550"/>
                    </a:xfrm>
                    <a:prstGeom prst="rect">
                      <a:avLst/>
                    </a:prstGeom>
                    <a:noFill/>
                    <a:ln>
                      <a:noFill/>
                    </a:ln>
                  </pic:spPr>
                </pic:pic>
              </a:graphicData>
            </a:graphic>
          </wp:inline>
        </w:drawing>
      </w:r>
      <w:r>
        <w:br w:type="page"/>
      </w:r>
    </w:p>
    <w:p w:rsidR="009B430B" w:rsidRDefault="009B430B" w:rsidP="000C142C">
      <w:r>
        <w:t xml:space="preserve">The resulting line item related to the uploaded Image Results will appear in the table of Image Results for this patient. </w:t>
      </w:r>
    </w:p>
    <w:p w:rsidR="009B430B" w:rsidRDefault="009B430B" w:rsidP="000C142C"/>
    <w:p w:rsidR="000C142C" w:rsidRPr="009B430B" w:rsidRDefault="009B430B" w:rsidP="000C142C">
      <w:pPr>
        <w:rPr>
          <w:b/>
          <w:color w:val="FF0000"/>
        </w:rPr>
      </w:pPr>
      <w:r w:rsidRPr="009B430B">
        <w:rPr>
          <w:b/>
          <w:color w:val="FF0000"/>
        </w:rPr>
        <w:t xml:space="preserve">NOTE: The act of uploading the Image Results to the patient record is only half of what is required in order to meet the numerator requirements for this measure. Once the Image Results have been uploaded, the Image Order itself must be updated to indicate that the results for that order have been incorporated. </w:t>
      </w:r>
    </w:p>
    <w:p w:rsidR="000C142C" w:rsidRDefault="000C142C" w:rsidP="000C142C"/>
    <w:p w:rsidR="009B430B" w:rsidRDefault="009B430B" w:rsidP="000C142C"/>
    <w:p w:rsidR="009B430B" w:rsidRDefault="009B430B" w:rsidP="000C142C">
      <w:r>
        <w:rPr>
          <w:noProof/>
        </w:rPr>
        <w:drawing>
          <wp:inline distT="0" distB="0" distL="0" distR="0" wp14:anchorId="7D2EF065" wp14:editId="0CC9415D">
            <wp:extent cx="6848475" cy="8667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48475" cy="866775"/>
                    </a:xfrm>
                    <a:prstGeom prst="rect">
                      <a:avLst/>
                    </a:prstGeom>
                    <a:noFill/>
                    <a:ln>
                      <a:noFill/>
                    </a:ln>
                  </pic:spPr>
                </pic:pic>
              </a:graphicData>
            </a:graphic>
          </wp:inline>
        </w:drawing>
      </w:r>
    </w:p>
    <w:p w:rsidR="000C142C" w:rsidRDefault="000C142C" w:rsidP="000C142C"/>
    <w:p w:rsidR="000C142C" w:rsidRDefault="000C142C" w:rsidP="00F56E7A"/>
    <w:p w:rsidR="000C142C" w:rsidRDefault="000C142C" w:rsidP="00F56E7A"/>
    <w:p w:rsidR="0066139F" w:rsidRDefault="0066139F" w:rsidP="0066139F">
      <w:pPr>
        <w:pStyle w:val="Heading4"/>
      </w:pPr>
      <w:bookmarkStart w:id="110" w:name="_Toc390171218"/>
      <w:r>
        <w:t>Image Order: Results Were Incorporated</w:t>
      </w:r>
      <w:bookmarkEnd w:id="110"/>
      <w:r>
        <w:br/>
      </w:r>
    </w:p>
    <w:p w:rsidR="00393EDE" w:rsidRDefault="00393EDE" w:rsidP="00F56E7A">
      <w:r>
        <w:t xml:space="preserve">Once an Image Result has been uploaded into the patient’s chart, the Image Order needs to be marked to indicate that the results were incorporated. Image Orders can be accessed by going to the </w:t>
      </w:r>
      <w:r w:rsidRPr="002A1C65">
        <w:rPr>
          <w:b/>
        </w:rPr>
        <w:t>Image Orders</w:t>
      </w:r>
      <w:r>
        <w:t xml:space="preserve"> tab in the patient chart. </w:t>
      </w:r>
    </w:p>
    <w:p w:rsidR="00393EDE" w:rsidRDefault="00393EDE" w:rsidP="00F56E7A"/>
    <w:p w:rsidR="00393EDE" w:rsidRDefault="00393EDE" w:rsidP="00F56E7A">
      <w:r>
        <w:rPr>
          <w:noProof/>
        </w:rPr>
        <w:drawing>
          <wp:inline distT="0" distB="0" distL="0" distR="0" wp14:anchorId="1FDD4B34" wp14:editId="079AC922">
            <wp:extent cx="6854190" cy="27051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4190" cy="270510"/>
                    </a:xfrm>
                    <a:prstGeom prst="rect">
                      <a:avLst/>
                    </a:prstGeom>
                    <a:noFill/>
                    <a:ln>
                      <a:noFill/>
                    </a:ln>
                  </pic:spPr>
                </pic:pic>
              </a:graphicData>
            </a:graphic>
          </wp:inline>
        </w:drawing>
      </w:r>
    </w:p>
    <w:p w:rsidR="00393EDE" w:rsidRDefault="00393EDE" w:rsidP="00F56E7A"/>
    <w:p w:rsidR="00393EDE" w:rsidRDefault="00393EDE" w:rsidP="00F56E7A"/>
    <w:p w:rsidR="00393EDE" w:rsidRDefault="00393EDE" w:rsidP="00F56E7A">
      <w:r>
        <w:t xml:space="preserve">To indicate that results were incorporated to an Image Order, use the </w:t>
      </w:r>
      <w:r w:rsidRPr="00393EDE">
        <w:rPr>
          <w:b/>
        </w:rPr>
        <w:t>Action</w:t>
      </w:r>
      <w:r>
        <w:t xml:space="preserve"> button and select the option entitled </w:t>
      </w:r>
      <w:r w:rsidRPr="00393EDE">
        <w:rPr>
          <w:b/>
        </w:rPr>
        <w:t>Results Were Incorporated</w:t>
      </w:r>
      <w:r>
        <w:t xml:space="preserve">. </w:t>
      </w:r>
    </w:p>
    <w:p w:rsidR="00393EDE" w:rsidRDefault="00393EDE" w:rsidP="00F56E7A"/>
    <w:p w:rsidR="00393EDE" w:rsidRDefault="00393EDE" w:rsidP="00F56E7A">
      <w:r>
        <w:rPr>
          <w:noProof/>
        </w:rPr>
        <w:drawing>
          <wp:inline distT="0" distB="0" distL="0" distR="0" wp14:anchorId="5822DC84" wp14:editId="4C729283">
            <wp:extent cx="6854190" cy="1503045"/>
            <wp:effectExtent l="0" t="0" r="381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4190" cy="1503045"/>
                    </a:xfrm>
                    <a:prstGeom prst="rect">
                      <a:avLst/>
                    </a:prstGeom>
                    <a:noFill/>
                    <a:ln>
                      <a:noFill/>
                    </a:ln>
                  </pic:spPr>
                </pic:pic>
              </a:graphicData>
            </a:graphic>
          </wp:inline>
        </w:drawing>
      </w:r>
    </w:p>
    <w:p w:rsidR="00393EDE" w:rsidRDefault="00393EDE" w:rsidP="00F56E7A"/>
    <w:p w:rsidR="002A1C65" w:rsidRDefault="002A1C65" w:rsidP="00F56E7A"/>
    <w:p w:rsidR="002A1C65" w:rsidRDefault="002A1C65" w:rsidP="00F56E7A"/>
    <w:p w:rsidR="002A1C65" w:rsidRDefault="002A1C65" w:rsidP="00F56E7A">
      <w:r>
        <w:t>Choosing the Yes option in the resulting dialogue box will mark the Image Order as having its results incorporated into the patient chart. Doing so will enable this Image Order to be eligible for the numerator for this measure.</w:t>
      </w:r>
    </w:p>
    <w:p w:rsidR="002A1C65" w:rsidRDefault="002A1C65" w:rsidP="00F56E7A"/>
    <w:p w:rsidR="00393EDE" w:rsidRDefault="002A1C65" w:rsidP="002A1C65">
      <w:pPr>
        <w:jc w:val="center"/>
      </w:pPr>
      <w:r>
        <w:rPr>
          <w:noProof/>
        </w:rPr>
        <w:drawing>
          <wp:inline distT="0" distB="0" distL="0" distR="0" wp14:anchorId="626B8E45" wp14:editId="533DCF5F">
            <wp:extent cx="3761105" cy="12642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61105" cy="1264285"/>
                    </a:xfrm>
                    <a:prstGeom prst="rect">
                      <a:avLst/>
                    </a:prstGeom>
                    <a:noFill/>
                    <a:ln>
                      <a:noFill/>
                    </a:ln>
                  </pic:spPr>
                </pic:pic>
              </a:graphicData>
            </a:graphic>
          </wp:inline>
        </w:drawing>
      </w:r>
    </w:p>
    <w:p w:rsidR="00C25947" w:rsidRDefault="00C25947">
      <w:r>
        <w:br w:type="page"/>
      </w:r>
    </w:p>
    <w:p w:rsidR="00350184" w:rsidRDefault="00C25947" w:rsidP="00C25947">
      <w:pPr>
        <w:pStyle w:val="Heading2"/>
      </w:pPr>
      <w:bookmarkStart w:id="111" w:name="_Toc390171219"/>
      <w:r w:rsidRPr="00350184">
        <w:rPr>
          <w:rFonts w:eastAsia="Times New Roman"/>
        </w:rPr>
        <w:t>Stage 2 - Menu #4: Family Health History</w:t>
      </w:r>
      <w:bookmarkEnd w:id="111"/>
      <w:r>
        <w:t xml:space="preserve"> </w:t>
      </w:r>
    </w:p>
    <w:p w:rsidR="00C25947" w:rsidRDefault="00C25947" w:rsidP="00F56E7A"/>
    <w:tbl>
      <w:tblPr>
        <w:tblW w:w="10905" w:type="dxa"/>
        <w:tblInd w:w="93" w:type="dxa"/>
        <w:tblLook w:val="04A0" w:firstRow="1" w:lastRow="0" w:firstColumn="1" w:lastColumn="0" w:noHBand="0" w:noVBand="1"/>
      </w:tblPr>
      <w:tblGrid>
        <w:gridCol w:w="1340"/>
        <w:gridCol w:w="9565"/>
      </w:tblGrid>
      <w:tr w:rsidR="00350184" w:rsidRPr="00350184" w:rsidTr="00350184">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350184" w:rsidRPr="00C25947" w:rsidRDefault="00350184" w:rsidP="00C25947">
            <w:pPr>
              <w:rPr>
                <w:b/>
              </w:rPr>
            </w:pPr>
            <w:r w:rsidRPr="00C25947">
              <w:rPr>
                <w:b/>
                <w:color w:val="FFFFFF" w:themeColor="background1"/>
                <w:sz w:val="32"/>
              </w:rPr>
              <w:t>Family Health History</w:t>
            </w:r>
          </w:p>
        </w:tc>
      </w:tr>
      <w:tr w:rsidR="00350184" w:rsidRPr="00350184" w:rsidTr="00350184">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Record patient family health history as structured data</w:t>
            </w: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More than 20 percent of all unique patients seen by the EP during the EHR reporting</w:t>
            </w:r>
            <w:r>
              <w:rPr>
                <w:rFonts w:ascii="Calibri" w:eastAsia="Times New Roman" w:hAnsi="Calibri" w:cs="Times New Roman"/>
                <w:color w:val="000000"/>
              </w:rPr>
              <w:t xml:space="preserve"> </w:t>
            </w:r>
            <w:r w:rsidRPr="00350184">
              <w:rPr>
                <w:rFonts w:ascii="Calibri" w:eastAsia="Times New Roman" w:hAnsi="Calibri" w:cs="Times New Roman"/>
                <w:color w:val="000000"/>
              </w:rPr>
              <w:t>period have a structured data entry for one or more first-degree relatives</w:t>
            </w:r>
          </w:p>
        </w:tc>
      </w:tr>
      <w:tr w:rsidR="00350184" w:rsidRPr="00350184" w:rsidTr="0035018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single" w:sz="4" w:space="0" w:color="auto"/>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val="restart"/>
            <w:tcBorders>
              <w:top w:val="nil"/>
              <w:left w:val="single" w:sz="4" w:space="0" w:color="auto"/>
              <w:bottom w:val="nil"/>
              <w:right w:val="nil"/>
            </w:tcBorders>
            <w:shd w:val="clear" w:color="000000" w:fill="1F497D"/>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Any EP who has no office visits during the EHR reporting period</w:t>
            </w: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340" w:type="dxa"/>
            <w:vMerge/>
            <w:tcBorders>
              <w:top w:val="nil"/>
              <w:left w:val="single" w:sz="4" w:space="0" w:color="auto"/>
              <w:bottom w:val="nil"/>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bl>
    <w:p w:rsidR="00350184" w:rsidRDefault="00350184" w:rsidP="00F56E7A"/>
    <w:p w:rsidR="00350184" w:rsidRDefault="00350184" w:rsidP="00F56E7A"/>
    <w:tbl>
      <w:tblPr>
        <w:tblW w:w="10905" w:type="dxa"/>
        <w:tblInd w:w="93" w:type="dxa"/>
        <w:tblLook w:val="04A0" w:firstRow="1" w:lastRow="0" w:firstColumn="1" w:lastColumn="0" w:noHBand="0" w:noVBand="1"/>
      </w:tblPr>
      <w:tblGrid>
        <w:gridCol w:w="1435"/>
        <w:gridCol w:w="9470"/>
      </w:tblGrid>
      <w:tr w:rsidR="00350184" w:rsidRPr="00350184" w:rsidTr="00350184">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350184" w:rsidRPr="00350184" w:rsidRDefault="00350184" w:rsidP="00350184">
            <w:pPr>
              <w:rPr>
                <w:rFonts w:ascii="Calibri" w:eastAsia="Times New Roman" w:hAnsi="Calibri" w:cs="Times New Roman"/>
                <w:b/>
                <w:bCs/>
                <w:color w:val="FFFFFF"/>
                <w:sz w:val="28"/>
                <w:szCs w:val="28"/>
              </w:rPr>
            </w:pPr>
            <w:r w:rsidRPr="00350184">
              <w:rPr>
                <w:rFonts w:ascii="Calibri" w:eastAsia="Times New Roman" w:hAnsi="Calibri" w:cs="Times New Roman"/>
                <w:b/>
                <w:bCs/>
                <w:color w:val="FFFFFF"/>
                <w:sz w:val="28"/>
                <w:szCs w:val="28"/>
              </w:rPr>
              <w:t>Family Health History</w:t>
            </w:r>
            <w:r w:rsidR="008B6BCC">
              <w:rPr>
                <w:rFonts w:ascii="Calibri" w:eastAsia="Times New Roman" w:hAnsi="Calibri" w:cs="Times New Roman"/>
                <w:b/>
                <w:bCs/>
                <w:color w:val="FFFFFF"/>
                <w:sz w:val="28"/>
                <w:szCs w:val="28"/>
              </w:rPr>
              <w:t>: Attestation Requirements</w:t>
            </w: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Denominator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Number of unique patients seen by the EP during the EHR reporting period</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Numerator</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The number of patients in the denominator with a structured data entry for one or more first-degree relatives</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r w:rsidR="00350184" w:rsidRPr="00350184" w:rsidTr="00350184">
        <w:trPr>
          <w:trHeight w:val="300"/>
        </w:trPr>
        <w:tc>
          <w:tcPr>
            <w:tcW w:w="1435" w:type="dxa"/>
            <w:vMerge w:val="restart"/>
            <w:tcBorders>
              <w:top w:val="nil"/>
              <w:left w:val="single" w:sz="4" w:space="0" w:color="auto"/>
              <w:bottom w:val="single" w:sz="4" w:space="0" w:color="000000"/>
              <w:right w:val="nil"/>
            </w:tcBorders>
            <w:shd w:val="clear" w:color="000000" w:fill="60497A"/>
            <w:vAlign w:val="center"/>
            <w:hideMark/>
          </w:tcPr>
          <w:p w:rsidR="00350184" w:rsidRPr="00350184" w:rsidRDefault="00350184" w:rsidP="00350184">
            <w:pPr>
              <w:jc w:val="right"/>
              <w:rPr>
                <w:rFonts w:ascii="Calibri" w:eastAsia="Times New Roman" w:hAnsi="Calibri" w:cs="Times New Roman"/>
                <w:b/>
                <w:bCs/>
                <w:color w:val="FFFFFF"/>
              </w:rPr>
            </w:pPr>
            <w:r w:rsidRPr="00350184">
              <w:rPr>
                <w:rFonts w:ascii="Calibri" w:eastAsia="Times New Roman" w:hAnsi="Calibri" w:cs="Times New Roman"/>
                <w:b/>
                <w:bCs/>
                <w:color w:val="FFFFFF"/>
              </w:rPr>
              <w:t>Threshold</w:t>
            </w:r>
          </w:p>
        </w:tc>
        <w:tc>
          <w:tcPr>
            <w:tcW w:w="9470" w:type="dxa"/>
            <w:vMerge w:val="restart"/>
            <w:tcBorders>
              <w:top w:val="single" w:sz="4" w:space="0" w:color="auto"/>
              <w:left w:val="nil"/>
              <w:bottom w:val="single" w:sz="4" w:space="0" w:color="000000"/>
              <w:right w:val="single" w:sz="4" w:space="0" w:color="000000"/>
            </w:tcBorders>
            <w:shd w:val="clear" w:color="auto" w:fill="auto"/>
            <w:vAlign w:val="center"/>
            <w:hideMark/>
          </w:tcPr>
          <w:p w:rsidR="00350184" w:rsidRPr="00350184" w:rsidRDefault="00350184" w:rsidP="00350184">
            <w:pPr>
              <w:rPr>
                <w:rFonts w:ascii="Calibri" w:eastAsia="Times New Roman" w:hAnsi="Calibri" w:cs="Times New Roman"/>
                <w:color w:val="000000"/>
              </w:rPr>
            </w:pPr>
            <w:r w:rsidRPr="00350184">
              <w:rPr>
                <w:rFonts w:ascii="Calibri" w:eastAsia="Times New Roman" w:hAnsi="Calibri" w:cs="Times New Roman"/>
                <w:color w:val="000000"/>
              </w:rPr>
              <w:t>The resulting percentage must be more than 20 percent in order to meet this measure</w:t>
            </w:r>
          </w:p>
        </w:tc>
      </w:tr>
      <w:tr w:rsidR="00350184" w:rsidRPr="00350184" w:rsidTr="00350184">
        <w:trPr>
          <w:trHeight w:val="300"/>
        </w:trPr>
        <w:tc>
          <w:tcPr>
            <w:tcW w:w="1435" w:type="dxa"/>
            <w:vMerge/>
            <w:tcBorders>
              <w:top w:val="nil"/>
              <w:left w:val="single" w:sz="4" w:space="0" w:color="auto"/>
              <w:bottom w:val="single" w:sz="4" w:space="0" w:color="000000"/>
              <w:right w:val="nil"/>
            </w:tcBorders>
            <w:vAlign w:val="center"/>
            <w:hideMark/>
          </w:tcPr>
          <w:p w:rsidR="00350184" w:rsidRPr="00350184" w:rsidRDefault="00350184" w:rsidP="00350184">
            <w:pPr>
              <w:rPr>
                <w:rFonts w:ascii="Calibri" w:eastAsia="Times New Roman" w:hAnsi="Calibri" w:cs="Times New Roman"/>
                <w:b/>
                <w:bCs/>
                <w:color w:val="FFFFFF"/>
              </w:rPr>
            </w:pPr>
          </w:p>
        </w:tc>
        <w:tc>
          <w:tcPr>
            <w:tcW w:w="9470" w:type="dxa"/>
            <w:vMerge/>
            <w:tcBorders>
              <w:top w:val="single" w:sz="4" w:space="0" w:color="auto"/>
              <w:left w:val="nil"/>
              <w:bottom w:val="single" w:sz="4" w:space="0" w:color="000000"/>
              <w:right w:val="single" w:sz="4" w:space="0" w:color="000000"/>
            </w:tcBorders>
            <w:vAlign w:val="center"/>
            <w:hideMark/>
          </w:tcPr>
          <w:p w:rsidR="00350184" w:rsidRPr="00350184" w:rsidRDefault="00350184" w:rsidP="00350184">
            <w:pPr>
              <w:rPr>
                <w:rFonts w:ascii="Calibri" w:eastAsia="Times New Roman" w:hAnsi="Calibri" w:cs="Times New Roman"/>
                <w:color w:val="000000"/>
              </w:rPr>
            </w:pPr>
          </w:p>
        </w:tc>
      </w:tr>
    </w:tbl>
    <w:p w:rsidR="00350184" w:rsidRDefault="00350184" w:rsidP="00F56E7A"/>
    <w:p w:rsidR="00350184" w:rsidRDefault="00350184" w:rsidP="00F56E7A"/>
    <w:p w:rsidR="00350184" w:rsidRDefault="00350184" w:rsidP="00F56E7A"/>
    <w:p w:rsidR="00350184" w:rsidRPr="009F3C18" w:rsidRDefault="00350184" w:rsidP="00350184">
      <w:pPr>
        <w:pStyle w:val="Heading3"/>
      </w:pPr>
      <w:bookmarkStart w:id="112" w:name="_Toc390171220"/>
      <w:r>
        <w:rPr>
          <w:rFonts w:eastAsia="Times New Roman"/>
        </w:rPr>
        <w:t>Family Health History</w:t>
      </w:r>
      <w:r w:rsidRPr="009F3C18">
        <w:t>: Explanation of Measure</w:t>
      </w:r>
      <w:bookmarkEnd w:id="112"/>
    </w:p>
    <w:p w:rsidR="00350184" w:rsidRDefault="00350184" w:rsidP="00F56E7A"/>
    <w:p w:rsidR="00E960BE" w:rsidRDefault="00E960BE" w:rsidP="00E960BE">
      <w:r>
        <w:t xml:space="preserve">This measure is based on unique patients with a recorded visit by the EP during the reporting period. This means that a given patient, no matter how many times seen during the reporting period, can only count once for both numerator and denominator. Likewise, patients with no recorded visits during the reporting period will not count towards either numerator or denominator. Finally, this measure applies to </w:t>
      </w:r>
      <w:r w:rsidRPr="00D74C28">
        <w:rPr>
          <w:i/>
        </w:rPr>
        <w:t>all</w:t>
      </w:r>
      <w:r>
        <w:t xml:space="preserve"> patients, regardless of age, who were seen during the reporting period. </w:t>
      </w:r>
    </w:p>
    <w:p w:rsidR="00E960BE" w:rsidRDefault="00E960BE" w:rsidP="00E960BE"/>
    <w:p w:rsidR="00E960BE" w:rsidRDefault="00E960BE" w:rsidP="00E960BE">
      <w:r>
        <w:t xml:space="preserve">Recording the Family History for a patient can occur before, during or after the reporting period. This means that it does not matter when the Family History is recorded so long as it is done prior to generating the measures for submission to CMS. Additionally, once the Family History has been recorded for a patient, then that patient will always appear in the numerator for an EP that has a recorded visit with that patient during the reporting period. </w:t>
      </w:r>
    </w:p>
    <w:p w:rsidR="00E960BE" w:rsidRDefault="00E960BE" w:rsidP="00E960BE"/>
    <w:p w:rsidR="00E960BE" w:rsidRDefault="00E960BE" w:rsidP="00E960BE">
      <w:r>
        <w:t>Family History must be recorded for at least one first-degree family member in order for a patient to count towards the numerator for this measure. First-Degree family members are defined as the following: father, mother, brother, sister, son, or daughter. The history of only one of th</w:t>
      </w:r>
      <w:r w:rsidR="00F11B40">
        <w:t xml:space="preserve">ese family members is required for this </w:t>
      </w:r>
      <w:r w:rsidR="00CC1967">
        <w:t>measure;</w:t>
      </w:r>
      <w:r w:rsidR="00F11B40">
        <w:t xml:space="preserve"> however the history of any combination of family members can be </w:t>
      </w:r>
      <w:r w:rsidR="00CC1967">
        <w:t xml:space="preserve">captured as well. </w:t>
      </w:r>
      <w:r w:rsidR="00F11B40">
        <w:t xml:space="preserve"> </w:t>
      </w:r>
      <w:r>
        <w:t xml:space="preserve"> </w:t>
      </w:r>
    </w:p>
    <w:p w:rsidR="00E960BE" w:rsidRDefault="00E960BE" w:rsidP="00E960BE"/>
    <w:p w:rsidR="00F11B40" w:rsidRDefault="00E960BE" w:rsidP="00F56E7A">
      <w:r>
        <w:t xml:space="preserve">Recording the Family History is not tied to an individual EP within a practice. All EP’s within a practice will receive credit for a patient who has their Family History recorded so long as that patient has a recorded visit with the EP during the reporting period. This means that, once the Family History for a patient has been recorded, any EP who has a recorded visit with that patient during the reporting period will have that patient appear in both the numerator and denominator for this particular measure. </w:t>
      </w:r>
      <w:r w:rsidR="00F11B40">
        <w:br w:type="page"/>
      </w:r>
    </w:p>
    <w:p w:rsidR="006B28CE" w:rsidRPr="004736F7" w:rsidRDefault="006B28CE" w:rsidP="006B28CE">
      <w:pPr>
        <w:pStyle w:val="Heading3"/>
      </w:pPr>
      <w:bookmarkStart w:id="113" w:name="_Toc390171221"/>
      <w:r>
        <w:rPr>
          <w:rFonts w:eastAsia="Times New Roman"/>
        </w:rPr>
        <w:t>Family Health History</w:t>
      </w:r>
      <w:r w:rsidRPr="004736F7">
        <w:t xml:space="preserve">: </w:t>
      </w:r>
      <w:r>
        <w:t>Meaningful Use Measures</w:t>
      </w:r>
    </w:p>
    <w:p w:rsidR="006B28CE" w:rsidRPr="00DF721A" w:rsidRDefault="006B28CE" w:rsidP="006B28CE"/>
    <w:p w:rsidR="006B28CE" w:rsidRDefault="006B28CE" w:rsidP="006B28CE">
      <w:r>
        <w:t xml:space="preserve">There is a single line item related to </w:t>
      </w:r>
      <w:r>
        <w:rPr>
          <w:rFonts w:eastAsia="Times New Roman"/>
        </w:rPr>
        <w:t>Family Health History</w:t>
      </w:r>
      <w:r>
        <w:t xml:space="preserve"> in the Stage 2 list of Meaningful Use Measures. The name of this line item is </w:t>
      </w:r>
      <w:r w:rsidRPr="006B28CE">
        <w:rPr>
          <w:rFonts w:eastAsia="Times New Roman"/>
          <w:b/>
        </w:rPr>
        <w:t>Family Health History</w:t>
      </w:r>
      <w:r w:rsidRPr="00FD0136">
        <w:t>.</w:t>
      </w:r>
    </w:p>
    <w:p w:rsidR="006B28CE" w:rsidRDefault="006B28CE" w:rsidP="006B28CE"/>
    <w:p w:rsidR="006B28CE" w:rsidRDefault="006B28CE" w:rsidP="006B28CE"/>
    <w:p w:rsidR="006B28CE" w:rsidRDefault="006B28CE" w:rsidP="006B28CE">
      <w:r>
        <w:rPr>
          <w:noProof/>
        </w:rPr>
        <w:drawing>
          <wp:inline distT="0" distB="0" distL="0" distR="0">
            <wp:extent cx="6854190" cy="454025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4190" cy="4540250"/>
                    </a:xfrm>
                    <a:prstGeom prst="rect">
                      <a:avLst/>
                    </a:prstGeom>
                    <a:noFill/>
                    <a:ln>
                      <a:noFill/>
                    </a:ln>
                  </pic:spPr>
                </pic:pic>
              </a:graphicData>
            </a:graphic>
          </wp:inline>
        </w:drawing>
      </w:r>
    </w:p>
    <w:p w:rsidR="00C92062" w:rsidRPr="004736F7" w:rsidRDefault="006B28CE" w:rsidP="006B28CE">
      <w:pPr>
        <w:pStyle w:val="Heading3"/>
      </w:pPr>
      <w:r>
        <w:rPr>
          <w:b w:val="0"/>
        </w:rPr>
        <w:br w:type="page"/>
      </w:r>
      <w:r w:rsidR="00C92062">
        <w:rPr>
          <w:rFonts w:eastAsia="Times New Roman"/>
        </w:rPr>
        <w:t>Family Health History</w:t>
      </w:r>
      <w:r w:rsidR="00C92062" w:rsidRPr="004736F7">
        <w:t>: Recording of Numerator in Valant</w:t>
      </w:r>
      <w:bookmarkEnd w:id="113"/>
    </w:p>
    <w:p w:rsidR="00C92062" w:rsidRDefault="00C92062" w:rsidP="00F56E7A"/>
    <w:p w:rsidR="00034A20" w:rsidRDefault="003F10D3" w:rsidP="00F56E7A">
      <w:r>
        <w:t xml:space="preserve">In order to meet the numerator requirement for this measure, the patient must have the Family Health History recorded for at least one first-degree family member. </w:t>
      </w:r>
      <w:r w:rsidR="00034A20">
        <w:t xml:space="preserve">The Family Health History for a patient is recorded in the </w:t>
      </w:r>
      <w:r w:rsidR="00034A20" w:rsidRPr="003F10D3">
        <w:rPr>
          <w:b/>
        </w:rPr>
        <w:t>Family History</w:t>
      </w:r>
      <w:r w:rsidR="00034A20">
        <w:t xml:space="preserve"> tab of the patient’s chart. For more information on the Family Health History feature beyond what is described here, please refer to documentation </w:t>
      </w:r>
      <w:r w:rsidR="00034A20" w:rsidRPr="00D377DD">
        <w:rPr>
          <w:highlight w:val="yellow"/>
        </w:rPr>
        <w:t>XXXXX</w:t>
      </w:r>
      <w:r>
        <w:t>.</w:t>
      </w:r>
    </w:p>
    <w:p w:rsidR="00C92062" w:rsidRDefault="00C92062" w:rsidP="00F56E7A"/>
    <w:p w:rsidR="00C92062" w:rsidRDefault="00034A20" w:rsidP="00F56E7A">
      <w:r>
        <w:rPr>
          <w:noProof/>
        </w:rPr>
        <w:drawing>
          <wp:inline distT="0" distB="0" distL="0" distR="0" wp14:anchorId="05495558" wp14:editId="695BBEAC">
            <wp:extent cx="6854190" cy="27813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4190" cy="278130"/>
                    </a:xfrm>
                    <a:prstGeom prst="rect">
                      <a:avLst/>
                    </a:prstGeom>
                    <a:noFill/>
                    <a:ln>
                      <a:noFill/>
                    </a:ln>
                  </pic:spPr>
                </pic:pic>
              </a:graphicData>
            </a:graphic>
          </wp:inline>
        </w:drawing>
      </w:r>
    </w:p>
    <w:p w:rsidR="00F11B40" w:rsidRDefault="00F11B40" w:rsidP="00F56E7A"/>
    <w:p w:rsidR="00F11B40" w:rsidRDefault="00F11B40" w:rsidP="00F56E7A"/>
    <w:p w:rsidR="00034A20" w:rsidRDefault="003F10D3" w:rsidP="00F56E7A">
      <w:r>
        <w:t xml:space="preserve">Once in the </w:t>
      </w:r>
      <w:r w:rsidRPr="003F10D3">
        <w:rPr>
          <w:b/>
        </w:rPr>
        <w:t>Family History</w:t>
      </w:r>
      <w:r>
        <w:t xml:space="preserve"> tab, the Health History for a family member can be started by clicking on the </w:t>
      </w:r>
      <w:r w:rsidRPr="003F10D3">
        <w:rPr>
          <w:b/>
        </w:rPr>
        <w:t xml:space="preserve">New Family Member </w:t>
      </w:r>
      <w:r>
        <w:t>button.</w:t>
      </w:r>
    </w:p>
    <w:p w:rsidR="00F11B40" w:rsidRDefault="00F11B40" w:rsidP="00F56E7A"/>
    <w:p w:rsidR="00F11B40" w:rsidRDefault="00034A20" w:rsidP="00F56E7A">
      <w:r>
        <w:rPr>
          <w:noProof/>
        </w:rPr>
        <w:drawing>
          <wp:inline distT="0" distB="0" distL="0" distR="0" wp14:anchorId="7FAEC50A" wp14:editId="6ECA1ACC">
            <wp:extent cx="6854190" cy="8191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4190" cy="819150"/>
                    </a:xfrm>
                    <a:prstGeom prst="rect">
                      <a:avLst/>
                    </a:prstGeom>
                    <a:noFill/>
                    <a:ln>
                      <a:noFill/>
                    </a:ln>
                  </pic:spPr>
                </pic:pic>
              </a:graphicData>
            </a:graphic>
          </wp:inline>
        </w:drawing>
      </w:r>
    </w:p>
    <w:p w:rsidR="00034A20" w:rsidRDefault="00034A20" w:rsidP="00F56E7A"/>
    <w:p w:rsidR="00034A20" w:rsidRDefault="00034A20" w:rsidP="00F56E7A"/>
    <w:p w:rsidR="00034A20" w:rsidRDefault="003F10D3" w:rsidP="00F56E7A">
      <w:r>
        <w:t xml:space="preserve">After clicking on the </w:t>
      </w:r>
      <w:r w:rsidRPr="003F10D3">
        <w:rPr>
          <w:b/>
        </w:rPr>
        <w:t xml:space="preserve">New Family Member </w:t>
      </w:r>
      <w:r>
        <w:t>button, the lower portion of the page will display a set of fields that are required to record the Family Health History for that family member. The meaning and requirements of each field is described in detail below.</w:t>
      </w:r>
    </w:p>
    <w:p w:rsidR="00034A20" w:rsidRDefault="00034A20" w:rsidP="00F56E7A"/>
    <w:p w:rsidR="003F10D3" w:rsidRDefault="00034A20" w:rsidP="00F56E7A">
      <w:r>
        <w:rPr>
          <w:noProof/>
        </w:rPr>
        <w:drawing>
          <wp:inline distT="0" distB="0" distL="0" distR="0" wp14:anchorId="5A730236" wp14:editId="0928C66F">
            <wp:extent cx="685800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0" cy="885825"/>
                    </a:xfrm>
                    <a:prstGeom prst="rect">
                      <a:avLst/>
                    </a:prstGeom>
                    <a:noFill/>
                    <a:ln>
                      <a:noFill/>
                    </a:ln>
                  </pic:spPr>
                </pic:pic>
              </a:graphicData>
            </a:graphic>
          </wp:inline>
        </w:drawing>
      </w:r>
    </w:p>
    <w:p w:rsidR="003F10D3" w:rsidRDefault="003F10D3" w:rsidP="00F56E7A"/>
    <w:p w:rsidR="007E59CC" w:rsidRDefault="003F10D3" w:rsidP="003F10D3">
      <w:pPr>
        <w:ind w:left="720"/>
      </w:pPr>
      <w:r w:rsidRPr="006E1B33">
        <w:rPr>
          <w:b/>
          <w:u w:val="single"/>
        </w:rPr>
        <w:t>Family Member</w:t>
      </w:r>
      <w:r>
        <w:t xml:space="preserve">: Sets the family member whose Health History is being recorded. The list of family members includes: </w:t>
      </w:r>
      <w:r w:rsidR="00770164" w:rsidRPr="00770164">
        <w:rPr>
          <w:b/>
        </w:rPr>
        <w:t>Father</w:t>
      </w:r>
      <w:r w:rsidR="00770164">
        <w:t xml:space="preserve">, </w:t>
      </w:r>
      <w:r w:rsidR="00770164" w:rsidRPr="00770164">
        <w:rPr>
          <w:b/>
        </w:rPr>
        <w:t>Mother</w:t>
      </w:r>
      <w:r w:rsidR="00770164">
        <w:t xml:space="preserve">, </w:t>
      </w:r>
      <w:r w:rsidR="00770164">
        <w:rPr>
          <w:b/>
        </w:rPr>
        <w:t>B</w:t>
      </w:r>
      <w:r w:rsidR="00770164" w:rsidRPr="00770164">
        <w:rPr>
          <w:b/>
        </w:rPr>
        <w:t>rother</w:t>
      </w:r>
      <w:r w:rsidR="00770164">
        <w:t xml:space="preserve">, </w:t>
      </w:r>
      <w:r w:rsidR="00770164">
        <w:rPr>
          <w:b/>
        </w:rPr>
        <w:t>S</w:t>
      </w:r>
      <w:r w:rsidR="00770164" w:rsidRPr="00770164">
        <w:rPr>
          <w:b/>
        </w:rPr>
        <w:t>ister</w:t>
      </w:r>
      <w:r w:rsidR="00770164">
        <w:t xml:space="preserve">, </w:t>
      </w:r>
      <w:r w:rsidR="00770164">
        <w:rPr>
          <w:b/>
        </w:rPr>
        <w:t>S</w:t>
      </w:r>
      <w:r w:rsidR="00770164" w:rsidRPr="00770164">
        <w:rPr>
          <w:b/>
        </w:rPr>
        <w:t>on</w:t>
      </w:r>
      <w:r w:rsidR="00770164">
        <w:t xml:space="preserve">, or </w:t>
      </w:r>
      <w:r w:rsidR="00770164">
        <w:rPr>
          <w:b/>
        </w:rPr>
        <w:t>D</w:t>
      </w:r>
      <w:r w:rsidR="00770164" w:rsidRPr="00770164">
        <w:rPr>
          <w:b/>
        </w:rPr>
        <w:t>aughter</w:t>
      </w:r>
      <w:r w:rsidR="00770164">
        <w:t xml:space="preserve">. Each family member appears with their corresponding SNOMED code. </w:t>
      </w:r>
    </w:p>
    <w:p w:rsidR="003F10D3" w:rsidRDefault="003F10D3" w:rsidP="003F10D3">
      <w:pPr>
        <w:ind w:left="720"/>
      </w:pPr>
    </w:p>
    <w:p w:rsidR="007E59CC" w:rsidRDefault="003F10D3" w:rsidP="003F10D3">
      <w:pPr>
        <w:ind w:left="720"/>
      </w:pPr>
      <w:r w:rsidRPr="006E1B33">
        <w:rPr>
          <w:b/>
          <w:u w:val="single"/>
        </w:rPr>
        <w:t>Psychiatric Problem</w:t>
      </w:r>
      <w:r w:rsidR="00770164">
        <w:t xml:space="preserve">: Sets the psychiatric problem(s) for this family member. The list of problems </w:t>
      </w:r>
      <w:r w:rsidR="007E59CC">
        <w:t>is</w:t>
      </w:r>
      <w:r w:rsidR="00770164">
        <w:t xml:space="preserve"> limited to those </w:t>
      </w:r>
      <w:r w:rsidR="007E59CC">
        <w:t xml:space="preserve">relevant to </w:t>
      </w:r>
      <w:r w:rsidR="00770164">
        <w:t xml:space="preserve">behavioral health. The list of problems includes: </w:t>
      </w:r>
      <w:r w:rsidR="007E59CC" w:rsidRPr="007E59CC">
        <w:rPr>
          <w:b/>
        </w:rPr>
        <w:t>ADHD</w:t>
      </w:r>
      <w:r w:rsidR="007E59CC">
        <w:t xml:space="preserve">, </w:t>
      </w:r>
      <w:r w:rsidR="007E59CC" w:rsidRPr="007E59CC">
        <w:rPr>
          <w:b/>
        </w:rPr>
        <w:t>Alcoholism</w:t>
      </w:r>
      <w:r w:rsidR="007E59CC">
        <w:t xml:space="preserve">, </w:t>
      </w:r>
      <w:r w:rsidR="007E59CC" w:rsidRPr="007E59CC">
        <w:rPr>
          <w:b/>
        </w:rPr>
        <w:t>Anxiety</w:t>
      </w:r>
      <w:r w:rsidR="007E59CC">
        <w:t xml:space="preserve">, </w:t>
      </w:r>
      <w:r w:rsidR="007E59CC" w:rsidRPr="007E59CC">
        <w:rPr>
          <w:b/>
        </w:rPr>
        <w:t>Autism</w:t>
      </w:r>
      <w:r w:rsidR="007E59CC">
        <w:t xml:space="preserve">, </w:t>
      </w:r>
      <w:r w:rsidR="007E59CC" w:rsidRPr="007E59CC">
        <w:rPr>
          <w:b/>
        </w:rPr>
        <w:t>Bipolar Disorder</w:t>
      </w:r>
      <w:r w:rsidR="007E59CC">
        <w:t xml:space="preserve">, </w:t>
      </w:r>
      <w:r w:rsidR="007E59CC" w:rsidRPr="007E59CC">
        <w:rPr>
          <w:b/>
        </w:rPr>
        <w:t>Dementia</w:t>
      </w:r>
      <w:r w:rsidR="007E59CC">
        <w:t>,</w:t>
      </w:r>
      <w:r w:rsidR="007E59CC" w:rsidRPr="007E59CC">
        <w:rPr>
          <w:b/>
        </w:rPr>
        <w:t xml:space="preserve"> </w:t>
      </w:r>
      <w:r w:rsidR="007E59CC" w:rsidRPr="00770164">
        <w:rPr>
          <w:b/>
        </w:rPr>
        <w:t>Depression</w:t>
      </w:r>
      <w:r w:rsidR="007E59CC">
        <w:t>,</w:t>
      </w:r>
      <w:r w:rsidR="007E59CC" w:rsidRPr="007E59CC">
        <w:t xml:space="preserve"> </w:t>
      </w:r>
      <w:r w:rsidR="007E59CC" w:rsidRPr="007E59CC">
        <w:rPr>
          <w:b/>
        </w:rPr>
        <w:t>Drug Abuse</w:t>
      </w:r>
      <w:r w:rsidR="007E59CC">
        <w:t xml:space="preserve">, </w:t>
      </w:r>
      <w:r w:rsidR="007E59CC" w:rsidRPr="007E59CC">
        <w:rPr>
          <w:b/>
        </w:rPr>
        <w:t>Eating Disorder</w:t>
      </w:r>
      <w:r w:rsidR="007E59CC">
        <w:t xml:space="preserve">, </w:t>
      </w:r>
      <w:r w:rsidR="007E59CC" w:rsidRPr="007E59CC">
        <w:rPr>
          <w:b/>
        </w:rPr>
        <w:t>Generalized Anxiety Disorder</w:t>
      </w:r>
      <w:r w:rsidR="007E59CC">
        <w:t xml:space="preserve">, </w:t>
      </w:r>
      <w:r w:rsidR="007E59CC" w:rsidRPr="007E59CC">
        <w:rPr>
          <w:b/>
        </w:rPr>
        <w:t>Mental Disorder, Obsessive Compulsive Disorder</w:t>
      </w:r>
      <w:r w:rsidR="007E59CC">
        <w:t>,</w:t>
      </w:r>
      <w:r w:rsidR="007E59CC" w:rsidRPr="007E59CC">
        <w:rPr>
          <w:b/>
        </w:rPr>
        <w:t xml:space="preserve"> </w:t>
      </w:r>
      <w:r w:rsidR="007E59CC" w:rsidRPr="00770164">
        <w:rPr>
          <w:b/>
        </w:rPr>
        <w:t>Panic Disorder</w:t>
      </w:r>
      <w:r w:rsidR="007E59CC">
        <w:t>,</w:t>
      </w:r>
      <w:r w:rsidR="007E59CC" w:rsidRPr="007E59CC">
        <w:t xml:space="preserve"> </w:t>
      </w:r>
      <w:r w:rsidR="007E59CC" w:rsidRPr="007E59CC">
        <w:rPr>
          <w:b/>
        </w:rPr>
        <w:t>Personality Disorder</w:t>
      </w:r>
      <w:r w:rsidR="007E59CC">
        <w:t>,</w:t>
      </w:r>
      <w:r w:rsidR="007E59CC" w:rsidRPr="007E59CC">
        <w:t xml:space="preserve"> </w:t>
      </w:r>
      <w:r w:rsidR="007E59CC" w:rsidRPr="007E59CC">
        <w:rPr>
          <w:b/>
        </w:rPr>
        <w:t>Post Traumatic Stress Disorder</w:t>
      </w:r>
      <w:r w:rsidR="007E59CC">
        <w:t>,</w:t>
      </w:r>
      <w:r w:rsidR="007E59CC" w:rsidRPr="007E59CC">
        <w:t xml:space="preserve"> </w:t>
      </w:r>
      <w:r w:rsidR="007E59CC" w:rsidRPr="007E59CC">
        <w:rPr>
          <w:b/>
        </w:rPr>
        <w:t>Psychiatric Hospitalization</w:t>
      </w:r>
      <w:r w:rsidR="007E59CC">
        <w:t>,</w:t>
      </w:r>
      <w:r w:rsidR="007E59CC" w:rsidRPr="007E59CC">
        <w:t xml:space="preserve"> </w:t>
      </w:r>
      <w:r w:rsidR="007E59CC" w:rsidRPr="007E59CC">
        <w:rPr>
          <w:b/>
        </w:rPr>
        <w:t>Schizophrenia/Psychosis</w:t>
      </w:r>
      <w:r w:rsidR="007E59CC">
        <w:t>,</w:t>
      </w:r>
      <w:r w:rsidR="007E59CC" w:rsidRPr="007E59CC">
        <w:t xml:space="preserve"> </w:t>
      </w:r>
      <w:r w:rsidR="007E59CC" w:rsidRPr="007E59CC">
        <w:rPr>
          <w:b/>
        </w:rPr>
        <w:t>Social Anxiety Disorder</w:t>
      </w:r>
      <w:r w:rsidR="007E59CC">
        <w:t>,</w:t>
      </w:r>
      <w:r w:rsidR="007E59CC" w:rsidRPr="007E59CC">
        <w:t xml:space="preserve"> </w:t>
      </w:r>
      <w:r w:rsidR="007E59CC" w:rsidRPr="007E59CC">
        <w:rPr>
          <w:b/>
        </w:rPr>
        <w:t>Suicide</w:t>
      </w:r>
      <w:r w:rsidR="007E59CC">
        <w:t>,</w:t>
      </w:r>
      <w:r w:rsidR="007E59CC" w:rsidRPr="007E59CC">
        <w:t xml:space="preserve"> </w:t>
      </w:r>
      <w:r w:rsidR="007E59CC">
        <w:t xml:space="preserve">and </w:t>
      </w:r>
      <w:r w:rsidR="007E59CC" w:rsidRPr="007E59CC">
        <w:rPr>
          <w:b/>
        </w:rPr>
        <w:t>Suicide Attempt</w:t>
      </w:r>
      <w:r w:rsidR="007E59CC">
        <w:t xml:space="preserve">. </w:t>
      </w:r>
    </w:p>
    <w:p w:rsidR="007E59CC" w:rsidRDefault="007E59CC" w:rsidP="003F10D3">
      <w:pPr>
        <w:ind w:left="720"/>
      </w:pPr>
    </w:p>
    <w:p w:rsidR="007E59CC" w:rsidRDefault="007E59CC" w:rsidP="003F10D3">
      <w:pPr>
        <w:ind w:left="720"/>
      </w:pPr>
      <w:r>
        <w:t xml:space="preserve">Only a single problem can be selected at a time, however multiple problems can be entered for the same family member by using the </w:t>
      </w:r>
      <w:r w:rsidRPr="007E59CC">
        <w:rPr>
          <w:b/>
        </w:rPr>
        <w:t>New Psychiatric Problem</w:t>
      </w:r>
      <w:r>
        <w:t xml:space="preserve"> button. Alternatively, if the psychiatric history of a family member is unknown, checking the </w:t>
      </w:r>
      <w:r w:rsidRPr="007E59CC">
        <w:rPr>
          <w:b/>
        </w:rPr>
        <w:t>History unknown</w:t>
      </w:r>
      <w:r>
        <w:t xml:space="preserve"> checkbox will count as recording the Health History for that family member. </w:t>
      </w:r>
    </w:p>
    <w:p w:rsidR="003F10D3" w:rsidRDefault="003F10D3" w:rsidP="003F10D3">
      <w:pPr>
        <w:ind w:left="720"/>
      </w:pPr>
    </w:p>
    <w:p w:rsidR="003F10D3" w:rsidRDefault="003F10D3" w:rsidP="003F10D3">
      <w:pPr>
        <w:ind w:left="720"/>
      </w:pPr>
      <w:r w:rsidRPr="006E1B33">
        <w:rPr>
          <w:b/>
          <w:u w:val="single"/>
        </w:rPr>
        <w:t>Label</w:t>
      </w:r>
      <w:r>
        <w:t xml:space="preserve">: </w:t>
      </w:r>
      <w:r w:rsidR="007E59CC">
        <w:t xml:space="preserve">This is a </w:t>
      </w:r>
      <w:r>
        <w:t xml:space="preserve">free text field </w:t>
      </w:r>
      <w:r w:rsidR="007E59CC">
        <w:t xml:space="preserve">that can </w:t>
      </w:r>
      <w:r>
        <w:t xml:space="preserve">used to </w:t>
      </w:r>
      <w:r w:rsidR="007E59CC">
        <w:t xml:space="preserve">differentiate </w:t>
      </w:r>
      <w:r>
        <w:t xml:space="preserve">between </w:t>
      </w:r>
      <w:r w:rsidR="007E59CC">
        <w:t>various</w:t>
      </w:r>
      <w:r>
        <w:t xml:space="preserve"> family member</w:t>
      </w:r>
      <w:r w:rsidR="007E59CC">
        <w:t>s</w:t>
      </w:r>
      <w:r>
        <w:t xml:space="preserve">. </w:t>
      </w:r>
      <w:r w:rsidR="007E59CC">
        <w:t>An e</w:t>
      </w:r>
      <w:r>
        <w:t>xample</w:t>
      </w:r>
      <w:r w:rsidR="007E59CC">
        <w:t xml:space="preserve"> where this might be used is when the patient has </w:t>
      </w:r>
      <w:r>
        <w:t>two brothers</w:t>
      </w:r>
      <w:r w:rsidR="007E59CC">
        <w:t xml:space="preserve"> and the Health History for both </w:t>
      </w:r>
      <w:r w:rsidR="002B10D7">
        <w:t xml:space="preserve">is recorded. The Label field can be used to provide the name for the brother </w:t>
      </w:r>
      <w:r>
        <w:t xml:space="preserve"> </w:t>
      </w:r>
    </w:p>
    <w:p w:rsidR="003F10D3" w:rsidRDefault="003F10D3" w:rsidP="003F10D3">
      <w:pPr>
        <w:ind w:left="720"/>
      </w:pPr>
    </w:p>
    <w:p w:rsidR="003F10D3" w:rsidRDefault="003F10D3" w:rsidP="003F10D3">
      <w:pPr>
        <w:ind w:left="720"/>
      </w:pPr>
      <w:r w:rsidRPr="006E1B33">
        <w:rPr>
          <w:b/>
          <w:u w:val="single"/>
        </w:rPr>
        <w:t>Age at Diagnosis</w:t>
      </w:r>
      <w:r>
        <w:t>:</w:t>
      </w:r>
      <w:r w:rsidR="002B10D7">
        <w:t xml:space="preserve"> </w:t>
      </w:r>
      <w:r w:rsidR="00082F72">
        <w:t xml:space="preserve">Used to indicate what age the family member was diagnoses with the indicated problem. </w:t>
      </w:r>
    </w:p>
    <w:p w:rsidR="00082F72" w:rsidRDefault="00082F72" w:rsidP="00F56E7A">
      <w:r>
        <w:t xml:space="preserve">Once a problem has been specified for a family member, clicking on the </w:t>
      </w:r>
      <w:r w:rsidRPr="00082F72">
        <w:rPr>
          <w:b/>
        </w:rPr>
        <w:t>New Psychiatric Problem</w:t>
      </w:r>
      <w:r>
        <w:t xml:space="preserve"> button will add the details of that problem to that family member’s list. Additional problems can be added by changing the fields and clicking on the button again to add that new problem to their list as well. </w:t>
      </w:r>
    </w:p>
    <w:p w:rsidR="00082F72" w:rsidRDefault="00082F72" w:rsidP="00F56E7A"/>
    <w:p w:rsidR="00082F72" w:rsidRDefault="00082F72" w:rsidP="00F56E7A">
      <w:r>
        <w:rPr>
          <w:noProof/>
        </w:rPr>
        <w:drawing>
          <wp:inline distT="0" distB="0" distL="0" distR="0" wp14:anchorId="7C514A9D" wp14:editId="55A87560">
            <wp:extent cx="6854190" cy="1176655"/>
            <wp:effectExtent l="0" t="0" r="381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4190" cy="1176655"/>
                    </a:xfrm>
                    <a:prstGeom prst="rect">
                      <a:avLst/>
                    </a:prstGeom>
                    <a:noFill/>
                    <a:ln>
                      <a:noFill/>
                    </a:ln>
                  </pic:spPr>
                </pic:pic>
              </a:graphicData>
            </a:graphic>
          </wp:inline>
        </w:drawing>
      </w:r>
    </w:p>
    <w:p w:rsidR="00082F72" w:rsidRDefault="00082F72" w:rsidP="00F56E7A"/>
    <w:p w:rsidR="00082F72" w:rsidRDefault="00082F72" w:rsidP="00F56E7A"/>
    <w:p w:rsidR="00082F72" w:rsidRDefault="00082F72" w:rsidP="00F56E7A"/>
    <w:p w:rsidR="00082F72" w:rsidRDefault="00082F72" w:rsidP="00F56E7A">
      <w:r>
        <w:t xml:space="preserve">Once the Health History has been defined for a specific family member, choosing Save at the bottom of the page will save that family member into the list at the top. Once the information has been saved, this will have satisfied the requirement for recording the Family Health History for this particular patient. The Health History of additional family members can be recorded as well, </w:t>
      </w:r>
      <w:r w:rsidR="00A46DF3">
        <w:t xml:space="preserve">however the Health History of only a single family member is required to meet the numerator requirements for this measure. </w:t>
      </w:r>
    </w:p>
    <w:p w:rsidR="00082F72" w:rsidRDefault="00082F72" w:rsidP="00F56E7A"/>
    <w:p w:rsidR="00082F72" w:rsidRDefault="00082F72" w:rsidP="00F56E7A"/>
    <w:p w:rsidR="00C25947" w:rsidRDefault="00376EA1" w:rsidP="00F56E7A">
      <w:r>
        <w:rPr>
          <w:noProof/>
        </w:rPr>
        <w:drawing>
          <wp:inline distT="0" distB="0" distL="0" distR="0" wp14:anchorId="3AABC5F5" wp14:editId="6AD618ED">
            <wp:extent cx="6854190" cy="10655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4190" cy="1065530"/>
                    </a:xfrm>
                    <a:prstGeom prst="rect">
                      <a:avLst/>
                    </a:prstGeom>
                    <a:noFill/>
                    <a:ln>
                      <a:noFill/>
                    </a:ln>
                  </pic:spPr>
                </pic:pic>
              </a:graphicData>
            </a:graphic>
          </wp:inline>
        </w:drawing>
      </w:r>
    </w:p>
    <w:p w:rsidR="00C25947" w:rsidRDefault="00C25947">
      <w:r>
        <w:br w:type="page"/>
      </w:r>
    </w:p>
    <w:p w:rsidR="00F11B40" w:rsidRDefault="00C25947" w:rsidP="00C25947">
      <w:pPr>
        <w:pStyle w:val="Heading2"/>
      </w:pPr>
      <w:bookmarkStart w:id="114" w:name="_Toc390171222"/>
      <w:r w:rsidRPr="000F1A35">
        <w:rPr>
          <w:rFonts w:eastAsia="Times New Roman"/>
        </w:rPr>
        <w:t>Stage 2 - Menu #5: Report Cancer Cases</w:t>
      </w:r>
      <w:bookmarkEnd w:id="114"/>
      <w:r>
        <w:t xml:space="preserve"> </w:t>
      </w:r>
    </w:p>
    <w:p w:rsidR="00C25947" w:rsidRDefault="00C25947" w:rsidP="00F56E7A"/>
    <w:tbl>
      <w:tblPr>
        <w:tblW w:w="10905" w:type="dxa"/>
        <w:tblInd w:w="93" w:type="dxa"/>
        <w:tblLook w:val="04A0" w:firstRow="1" w:lastRow="0" w:firstColumn="1" w:lastColumn="0" w:noHBand="0" w:noVBand="1"/>
      </w:tblPr>
      <w:tblGrid>
        <w:gridCol w:w="1340"/>
        <w:gridCol w:w="9565"/>
      </w:tblGrid>
      <w:tr w:rsidR="000F1A35" w:rsidRPr="000F1A35" w:rsidTr="000F1A35">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0F1A35" w:rsidRPr="00C25947" w:rsidRDefault="000F1A35" w:rsidP="00C25947">
            <w:pPr>
              <w:rPr>
                <w:b/>
              </w:rPr>
            </w:pPr>
            <w:r w:rsidRPr="00C25947">
              <w:rPr>
                <w:b/>
                <w:color w:val="FFFFFF" w:themeColor="background1"/>
                <w:sz w:val="32"/>
              </w:rPr>
              <w:t>Report Cancer Cases</w:t>
            </w:r>
          </w:p>
        </w:tc>
      </w:tr>
      <w:tr w:rsidR="000F1A35" w:rsidRPr="000F1A35" w:rsidTr="000F1A35">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0F1A35" w:rsidRPr="000F1A35" w:rsidRDefault="000F1A35" w:rsidP="000F1A35">
            <w:pPr>
              <w:jc w:val="right"/>
              <w:rPr>
                <w:rFonts w:ascii="Calibri" w:eastAsia="Times New Roman" w:hAnsi="Calibri" w:cs="Times New Roman"/>
                <w:b/>
                <w:bCs/>
                <w:color w:val="FFFFFF"/>
              </w:rPr>
            </w:pPr>
            <w:r w:rsidRPr="000F1A35">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0F1A35" w:rsidRPr="000F1A35" w:rsidRDefault="000F1A35" w:rsidP="000F1A35">
            <w:pPr>
              <w:rPr>
                <w:rFonts w:ascii="Calibri" w:eastAsia="Times New Roman" w:hAnsi="Calibri" w:cs="Times New Roman"/>
                <w:color w:val="000000"/>
              </w:rPr>
            </w:pPr>
            <w:r w:rsidRPr="000F1A35">
              <w:rPr>
                <w:rFonts w:ascii="Calibri" w:eastAsia="Times New Roman" w:hAnsi="Calibri" w:cs="Times New Roman"/>
                <w:color w:val="000000"/>
              </w:rPr>
              <w:t>Capability to identify and report cancer cases to a public health central cancer registry, except where prohibited, and in accordance with applicable law and practice</w:t>
            </w:r>
          </w:p>
        </w:tc>
      </w:tr>
      <w:tr w:rsidR="000F1A35" w:rsidRPr="000F1A35" w:rsidTr="000F1A35">
        <w:trPr>
          <w:trHeight w:val="300"/>
        </w:trPr>
        <w:tc>
          <w:tcPr>
            <w:tcW w:w="1340" w:type="dxa"/>
            <w:vMerge/>
            <w:tcBorders>
              <w:top w:val="nil"/>
              <w:left w:val="single" w:sz="4" w:space="0" w:color="auto"/>
              <w:bottom w:val="nil"/>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r w:rsidR="000F1A35" w:rsidRPr="000F1A35" w:rsidTr="000F1A35">
        <w:trPr>
          <w:trHeight w:val="300"/>
        </w:trPr>
        <w:tc>
          <w:tcPr>
            <w:tcW w:w="1340" w:type="dxa"/>
            <w:vMerge/>
            <w:tcBorders>
              <w:top w:val="nil"/>
              <w:left w:val="single" w:sz="4" w:space="0" w:color="auto"/>
              <w:bottom w:val="nil"/>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r w:rsidR="000F1A35" w:rsidRPr="000F1A35" w:rsidTr="000F1A35">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0F1A35" w:rsidRPr="000F1A35" w:rsidRDefault="000F1A35" w:rsidP="000F1A35">
            <w:pPr>
              <w:jc w:val="right"/>
              <w:rPr>
                <w:rFonts w:ascii="Calibri" w:eastAsia="Times New Roman" w:hAnsi="Calibri" w:cs="Times New Roman"/>
                <w:b/>
                <w:bCs/>
                <w:color w:val="FFFFFF"/>
              </w:rPr>
            </w:pPr>
            <w:r w:rsidRPr="000F1A35">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0F1A35" w:rsidRPr="000F1A35" w:rsidRDefault="000F1A35" w:rsidP="000F1A35">
            <w:pPr>
              <w:rPr>
                <w:rFonts w:ascii="Calibri" w:eastAsia="Times New Roman" w:hAnsi="Calibri" w:cs="Times New Roman"/>
                <w:color w:val="000000"/>
              </w:rPr>
            </w:pPr>
            <w:r w:rsidRPr="000F1A35">
              <w:rPr>
                <w:rFonts w:ascii="Calibri" w:eastAsia="Times New Roman" w:hAnsi="Calibri" w:cs="Times New Roman"/>
                <w:color w:val="000000"/>
              </w:rPr>
              <w:t>Successful ongoing submission of cancer case information from CEHRT to a public health central cancer registry for the entire EHR reporting period</w:t>
            </w:r>
          </w:p>
        </w:tc>
      </w:tr>
      <w:tr w:rsidR="000F1A35" w:rsidRPr="000F1A35" w:rsidTr="000F1A35">
        <w:trPr>
          <w:trHeight w:val="300"/>
        </w:trPr>
        <w:tc>
          <w:tcPr>
            <w:tcW w:w="1340" w:type="dxa"/>
            <w:vMerge/>
            <w:tcBorders>
              <w:top w:val="single" w:sz="4" w:space="0" w:color="auto"/>
              <w:left w:val="single" w:sz="4" w:space="0" w:color="auto"/>
              <w:bottom w:val="single" w:sz="4" w:space="0" w:color="000000"/>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r w:rsidR="000F1A35" w:rsidRPr="000F1A35" w:rsidTr="000F1A35">
        <w:trPr>
          <w:trHeight w:val="300"/>
        </w:trPr>
        <w:tc>
          <w:tcPr>
            <w:tcW w:w="1340" w:type="dxa"/>
            <w:vMerge/>
            <w:tcBorders>
              <w:top w:val="single" w:sz="4" w:space="0" w:color="auto"/>
              <w:left w:val="single" w:sz="4" w:space="0" w:color="auto"/>
              <w:bottom w:val="single" w:sz="4" w:space="0" w:color="000000"/>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r w:rsidR="000F1A35" w:rsidRPr="000F1A35" w:rsidTr="000F1A35">
        <w:trPr>
          <w:trHeight w:val="300"/>
        </w:trPr>
        <w:tc>
          <w:tcPr>
            <w:tcW w:w="1340" w:type="dxa"/>
            <w:vMerge w:val="restart"/>
            <w:tcBorders>
              <w:top w:val="nil"/>
              <w:left w:val="single" w:sz="4" w:space="0" w:color="auto"/>
              <w:bottom w:val="nil"/>
              <w:right w:val="nil"/>
            </w:tcBorders>
            <w:shd w:val="clear" w:color="000000" w:fill="1F497D"/>
            <w:vAlign w:val="center"/>
            <w:hideMark/>
          </w:tcPr>
          <w:p w:rsidR="000F1A35" w:rsidRPr="000F1A35" w:rsidRDefault="000F1A35" w:rsidP="000F1A35">
            <w:pPr>
              <w:jc w:val="right"/>
              <w:rPr>
                <w:rFonts w:ascii="Calibri" w:eastAsia="Times New Roman" w:hAnsi="Calibri" w:cs="Times New Roman"/>
                <w:b/>
                <w:bCs/>
                <w:color w:val="FFFFFF"/>
              </w:rPr>
            </w:pPr>
            <w:r w:rsidRPr="000F1A35">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0F1A35" w:rsidRDefault="000F1A35" w:rsidP="000F1A35">
            <w:pPr>
              <w:rPr>
                <w:rFonts w:ascii="Calibri" w:eastAsia="Times New Roman" w:hAnsi="Calibri" w:cs="Times New Roman"/>
                <w:color w:val="000000"/>
              </w:rPr>
            </w:pPr>
            <w:r w:rsidRPr="000F1A35">
              <w:rPr>
                <w:rFonts w:ascii="Calibri" w:eastAsia="Times New Roman" w:hAnsi="Calibri" w:cs="Times New Roman"/>
                <w:color w:val="000000"/>
              </w:rPr>
              <w:t xml:space="preserve">Any EP that meets at least 1 of the following criteria may be excluded from this </w:t>
            </w:r>
            <w:r w:rsidRPr="000F1A35">
              <w:rPr>
                <w:rFonts w:ascii="Calibri" w:eastAsia="Times New Roman" w:hAnsi="Calibri" w:cs="Times New Roman"/>
                <w:color w:val="000000"/>
              </w:rPr>
              <w:br/>
              <w:t xml:space="preserve">objective: </w:t>
            </w:r>
          </w:p>
          <w:p w:rsidR="000F1A35" w:rsidRDefault="000F1A35" w:rsidP="000F1A35">
            <w:pPr>
              <w:pStyle w:val="ListParagraph"/>
              <w:numPr>
                <w:ilvl w:val="0"/>
                <w:numId w:val="17"/>
              </w:numPr>
              <w:rPr>
                <w:rFonts w:ascii="Calibri" w:eastAsia="Times New Roman" w:hAnsi="Calibri" w:cs="Times New Roman"/>
                <w:color w:val="000000"/>
              </w:rPr>
            </w:pPr>
            <w:r w:rsidRPr="000F1A35">
              <w:rPr>
                <w:rFonts w:ascii="Calibri" w:eastAsia="Times New Roman" w:hAnsi="Calibri" w:cs="Times New Roman"/>
                <w:color w:val="000000"/>
              </w:rPr>
              <w:t>The EP does not diagnose</w:t>
            </w:r>
            <w:r>
              <w:rPr>
                <w:rFonts w:ascii="Calibri" w:eastAsia="Times New Roman" w:hAnsi="Calibri" w:cs="Times New Roman"/>
                <w:color w:val="000000"/>
              </w:rPr>
              <w:t xml:space="preserve"> or directly treat cancer; </w:t>
            </w:r>
          </w:p>
          <w:p w:rsidR="000F1A35" w:rsidRDefault="000F1A35" w:rsidP="000F1A35">
            <w:pPr>
              <w:pStyle w:val="ListParagraph"/>
              <w:numPr>
                <w:ilvl w:val="0"/>
                <w:numId w:val="17"/>
              </w:numPr>
              <w:rPr>
                <w:rFonts w:ascii="Calibri" w:eastAsia="Times New Roman" w:hAnsi="Calibri" w:cs="Times New Roman"/>
                <w:color w:val="000000"/>
              </w:rPr>
            </w:pPr>
            <w:r w:rsidRPr="000F1A35">
              <w:rPr>
                <w:rFonts w:ascii="Calibri" w:eastAsia="Times New Roman" w:hAnsi="Calibri" w:cs="Times New Roman"/>
                <w:color w:val="000000"/>
              </w:rPr>
              <w:t>The EP operates in a jurisdiction for which no p</w:t>
            </w:r>
            <w:r>
              <w:rPr>
                <w:rFonts w:ascii="Calibri" w:eastAsia="Times New Roman" w:hAnsi="Calibri" w:cs="Times New Roman"/>
                <w:color w:val="000000"/>
              </w:rPr>
              <w:t xml:space="preserve">ublic health agency is capable </w:t>
            </w:r>
            <w:r w:rsidRPr="000F1A35">
              <w:rPr>
                <w:rFonts w:ascii="Calibri" w:eastAsia="Times New Roman" w:hAnsi="Calibri" w:cs="Times New Roman"/>
                <w:color w:val="000000"/>
              </w:rPr>
              <w:t>of receiving electronic cancer case information in th</w:t>
            </w:r>
            <w:r>
              <w:rPr>
                <w:rFonts w:ascii="Calibri" w:eastAsia="Times New Roman" w:hAnsi="Calibri" w:cs="Times New Roman"/>
                <w:color w:val="000000"/>
              </w:rPr>
              <w:t xml:space="preserve">e specific standards </w:t>
            </w:r>
            <w:r w:rsidRPr="000F1A35">
              <w:rPr>
                <w:rFonts w:ascii="Calibri" w:eastAsia="Times New Roman" w:hAnsi="Calibri" w:cs="Times New Roman"/>
                <w:color w:val="000000"/>
              </w:rPr>
              <w:t>required for CEHRT at the beginning of t</w:t>
            </w:r>
            <w:r>
              <w:rPr>
                <w:rFonts w:ascii="Calibri" w:eastAsia="Times New Roman" w:hAnsi="Calibri" w:cs="Times New Roman"/>
                <w:color w:val="000000"/>
              </w:rPr>
              <w:t xml:space="preserve">heir EHR reporting period; </w:t>
            </w:r>
          </w:p>
          <w:p w:rsidR="000F1A35" w:rsidRDefault="000F1A35" w:rsidP="000F1A35">
            <w:pPr>
              <w:pStyle w:val="ListParagraph"/>
              <w:numPr>
                <w:ilvl w:val="0"/>
                <w:numId w:val="17"/>
              </w:numPr>
              <w:rPr>
                <w:rFonts w:ascii="Calibri" w:eastAsia="Times New Roman" w:hAnsi="Calibri" w:cs="Times New Roman"/>
                <w:color w:val="000000"/>
              </w:rPr>
            </w:pPr>
            <w:r w:rsidRPr="000F1A35">
              <w:rPr>
                <w:rFonts w:ascii="Calibri" w:eastAsia="Times New Roman" w:hAnsi="Calibri" w:cs="Times New Roman"/>
                <w:color w:val="000000"/>
              </w:rPr>
              <w:t>The EP operates in a jurisdiction where no P</w:t>
            </w:r>
            <w:r>
              <w:rPr>
                <w:rFonts w:ascii="Calibri" w:eastAsia="Times New Roman" w:hAnsi="Calibri" w:cs="Times New Roman"/>
                <w:color w:val="000000"/>
              </w:rPr>
              <w:t xml:space="preserve">HA provides information timely </w:t>
            </w:r>
            <w:r w:rsidRPr="000F1A35">
              <w:rPr>
                <w:rFonts w:ascii="Calibri" w:eastAsia="Times New Roman" w:hAnsi="Calibri" w:cs="Times New Roman"/>
                <w:color w:val="000000"/>
              </w:rPr>
              <w:t>on capability to receive electronic c</w:t>
            </w:r>
            <w:r>
              <w:rPr>
                <w:rFonts w:ascii="Calibri" w:eastAsia="Times New Roman" w:hAnsi="Calibri" w:cs="Times New Roman"/>
                <w:color w:val="000000"/>
              </w:rPr>
              <w:t>ancer case information; or</w:t>
            </w:r>
          </w:p>
          <w:p w:rsidR="000F1A35" w:rsidRPr="000F1A35" w:rsidRDefault="000F1A35" w:rsidP="000F1A35">
            <w:pPr>
              <w:pStyle w:val="ListParagraph"/>
              <w:numPr>
                <w:ilvl w:val="0"/>
                <w:numId w:val="17"/>
              </w:numPr>
              <w:rPr>
                <w:rFonts w:ascii="Calibri" w:eastAsia="Times New Roman" w:hAnsi="Calibri" w:cs="Times New Roman"/>
                <w:color w:val="000000"/>
              </w:rPr>
            </w:pPr>
            <w:r>
              <w:rPr>
                <w:rFonts w:ascii="Calibri" w:eastAsia="Times New Roman" w:hAnsi="Calibri" w:cs="Times New Roman"/>
                <w:color w:val="000000"/>
              </w:rPr>
              <w:t>T</w:t>
            </w:r>
            <w:r w:rsidRPr="000F1A35">
              <w:rPr>
                <w:rFonts w:ascii="Calibri" w:eastAsia="Times New Roman" w:hAnsi="Calibri" w:cs="Times New Roman"/>
                <w:color w:val="000000"/>
              </w:rPr>
              <w:t>he EP operates in a jurisdiction for which n</w:t>
            </w:r>
            <w:r>
              <w:rPr>
                <w:rFonts w:ascii="Calibri" w:eastAsia="Times New Roman" w:hAnsi="Calibri" w:cs="Times New Roman"/>
                <w:color w:val="000000"/>
              </w:rPr>
              <w:t xml:space="preserve">o public health agency that is </w:t>
            </w:r>
            <w:r w:rsidRPr="000F1A35">
              <w:rPr>
                <w:rFonts w:ascii="Calibri" w:eastAsia="Times New Roman" w:hAnsi="Calibri" w:cs="Times New Roman"/>
                <w:color w:val="000000"/>
              </w:rPr>
              <w:t>capable of receiving electronic cancer ca</w:t>
            </w:r>
            <w:r>
              <w:rPr>
                <w:rFonts w:ascii="Calibri" w:eastAsia="Times New Roman" w:hAnsi="Calibri" w:cs="Times New Roman"/>
                <w:color w:val="000000"/>
              </w:rPr>
              <w:t xml:space="preserve">se information in the specific </w:t>
            </w:r>
            <w:r w:rsidRPr="000F1A35">
              <w:rPr>
                <w:rFonts w:ascii="Calibri" w:eastAsia="Times New Roman" w:hAnsi="Calibri" w:cs="Times New Roman"/>
                <w:color w:val="000000"/>
              </w:rPr>
              <w:t>standards required for CEHRT at the beginning</w:t>
            </w:r>
            <w:r>
              <w:rPr>
                <w:rFonts w:ascii="Calibri" w:eastAsia="Times New Roman" w:hAnsi="Calibri" w:cs="Times New Roman"/>
                <w:color w:val="000000"/>
              </w:rPr>
              <w:t xml:space="preserve"> of their EHR reporting period </w:t>
            </w:r>
            <w:r w:rsidRPr="000F1A35">
              <w:rPr>
                <w:rFonts w:ascii="Calibri" w:eastAsia="Times New Roman" w:hAnsi="Calibri" w:cs="Times New Roman"/>
                <w:color w:val="000000"/>
              </w:rPr>
              <w:t>can enroll additional EPs.</w:t>
            </w:r>
          </w:p>
        </w:tc>
      </w:tr>
      <w:tr w:rsidR="000F1A35" w:rsidRPr="000F1A35" w:rsidTr="000F1A35">
        <w:trPr>
          <w:trHeight w:val="300"/>
        </w:trPr>
        <w:tc>
          <w:tcPr>
            <w:tcW w:w="1340" w:type="dxa"/>
            <w:vMerge/>
            <w:tcBorders>
              <w:top w:val="nil"/>
              <w:left w:val="single" w:sz="4" w:space="0" w:color="auto"/>
              <w:bottom w:val="nil"/>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r w:rsidR="000F1A35" w:rsidRPr="000F1A35" w:rsidTr="000F1A35">
        <w:trPr>
          <w:trHeight w:val="300"/>
        </w:trPr>
        <w:tc>
          <w:tcPr>
            <w:tcW w:w="1340" w:type="dxa"/>
            <w:vMerge/>
            <w:tcBorders>
              <w:top w:val="nil"/>
              <w:left w:val="single" w:sz="4" w:space="0" w:color="auto"/>
              <w:bottom w:val="nil"/>
              <w:right w:val="nil"/>
            </w:tcBorders>
            <w:vAlign w:val="center"/>
            <w:hideMark/>
          </w:tcPr>
          <w:p w:rsidR="000F1A35" w:rsidRPr="000F1A35" w:rsidRDefault="000F1A35" w:rsidP="000F1A35">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0F1A35" w:rsidRPr="000F1A35" w:rsidRDefault="000F1A35" w:rsidP="000F1A35">
            <w:pPr>
              <w:rPr>
                <w:rFonts w:ascii="Calibri" w:eastAsia="Times New Roman" w:hAnsi="Calibri" w:cs="Times New Roman"/>
                <w:color w:val="000000"/>
              </w:rPr>
            </w:pPr>
          </w:p>
        </w:tc>
      </w:tr>
    </w:tbl>
    <w:p w:rsidR="00350184" w:rsidRDefault="00350184" w:rsidP="00F56E7A"/>
    <w:p w:rsidR="00350184" w:rsidRDefault="00350184" w:rsidP="00F56E7A"/>
    <w:tbl>
      <w:tblPr>
        <w:tblW w:w="10815" w:type="dxa"/>
        <w:tblInd w:w="93" w:type="dxa"/>
        <w:tblLook w:val="04A0" w:firstRow="1" w:lastRow="0" w:firstColumn="1" w:lastColumn="0" w:noHBand="0" w:noVBand="1"/>
      </w:tblPr>
      <w:tblGrid>
        <w:gridCol w:w="1435"/>
        <w:gridCol w:w="9380"/>
      </w:tblGrid>
      <w:tr w:rsidR="004A12B5" w:rsidRPr="00244863" w:rsidTr="00980B0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4A12B5" w:rsidRPr="00244863" w:rsidRDefault="004A12B5" w:rsidP="00980B03">
            <w:pPr>
              <w:rPr>
                <w:rFonts w:ascii="Calibri" w:eastAsia="Times New Roman" w:hAnsi="Calibri" w:cs="Times New Roman"/>
                <w:b/>
                <w:bCs/>
                <w:color w:val="FFFFFF"/>
                <w:sz w:val="28"/>
                <w:szCs w:val="28"/>
              </w:rPr>
            </w:pPr>
            <w:r w:rsidRPr="00AC6D57">
              <w:rPr>
                <w:rFonts w:ascii="Calibri" w:eastAsia="Times New Roman" w:hAnsi="Calibri" w:cs="Times New Roman"/>
                <w:b/>
                <w:bCs/>
                <w:color w:val="FFFFFF"/>
                <w:sz w:val="28"/>
                <w:szCs w:val="28"/>
              </w:rPr>
              <w:t>Report Specific Cases</w:t>
            </w:r>
            <w:r>
              <w:rPr>
                <w:rFonts w:ascii="Calibri" w:eastAsia="Times New Roman" w:hAnsi="Calibri" w:cs="Times New Roman"/>
                <w:b/>
                <w:bCs/>
                <w:color w:val="FFFFFF"/>
                <w:sz w:val="28"/>
                <w:szCs w:val="28"/>
              </w:rPr>
              <w:t>: Attestation Requirements</w:t>
            </w:r>
          </w:p>
        </w:tc>
      </w:tr>
      <w:tr w:rsidR="004A12B5" w:rsidRPr="00244863" w:rsidTr="00980B0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4A12B5" w:rsidRPr="00244863" w:rsidRDefault="004A12B5" w:rsidP="00980B03">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4A12B5" w:rsidRPr="004A12B5" w:rsidRDefault="004A12B5" w:rsidP="004A12B5">
            <w:pPr>
              <w:rPr>
                <w:rFonts w:ascii="Calibri" w:eastAsia="Times New Roman" w:hAnsi="Calibri" w:cs="Times New Roman"/>
                <w:color w:val="000000"/>
              </w:rPr>
            </w:pPr>
            <w:r w:rsidRPr="004A12B5">
              <w:rPr>
                <w:rFonts w:ascii="Calibri" w:eastAsia="Times New Roman" w:hAnsi="Calibri" w:cs="Times New Roman"/>
                <w:color w:val="000000"/>
              </w:rPr>
              <w:t>EPs must attest YES to successful ongoing submission of cancer c</w:t>
            </w:r>
            <w:r>
              <w:rPr>
                <w:rFonts w:ascii="Calibri" w:eastAsia="Times New Roman" w:hAnsi="Calibri" w:cs="Times New Roman"/>
                <w:color w:val="000000"/>
              </w:rPr>
              <w:t xml:space="preserve">ase information from certified </w:t>
            </w:r>
            <w:r w:rsidRPr="004A12B5">
              <w:rPr>
                <w:rFonts w:ascii="Calibri" w:eastAsia="Times New Roman" w:hAnsi="Calibri" w:cs="Times New Roman"/>
                <w:color w:val="000000"/>
              </w:rPr>
              <w:t>electronic health record technology (CEHRT) to a public health central canc</w:t>
            </w:r>
            <w:r>
              <w:rPr>
                <w:rFonts w:ascii="Calibri" w:eastAsia="Times New Roman" w:hAnsi="Calibri" w:cs="Times New Roman"/>
                <w:color w:val="000000"/>
              </w:rPr>
              <w:t xml:space="preserve">er registry for the entire EHR </w:t>
            </w:r>
            <w:r w:rsidRPr="004A12B5">
              <w:rPr>
                <w:rFonts w:ascii="Calibri" w:eastAsia="Times New Roman" w:hAnsi="Calibri" w:cs="Times New Roman"/>
                <w:color w:val="000000"/>
              </w:rPr>
              <w:t>reporting period.</w:t>
            </w:r>
          </w:p>
          <w:p w:rsidR="004A12B5" w:rsidRPr="004A12B5" w:rsidRDefault="004A12B5" w:rsidP="004A12B5">
            <w:pPr>
              <w:pStyle w:val="ListParagraph"/>
              <w:numPr>
                <w:ilvl w:val="0"/>
                <w:numId w:val="20"/>
              </w:numPr>
              <w:rPr>
                <w:rFonts w:ascii="Calibri" w:eastAsia="Times New Roman" w:hAnsi="Calibri" w:cs="Times New Roman"/>
                <w:color w:val="000000"/>
              </w:rPr>
            </w:pPr>
            <w:r w:rsidRPr="004A12B5">
              <w:rPr>
                <w:rFonts w:ascii="Calibri" w:eastAsia="Times New Roman" w:hAnsi="Calibri" w:cs="Times New Roman"/>
                <w:color w:val="000000"/>
              </w:rPr>
              <w:t xml:space="preserve">Ongoing submission was already achieved for an EHR reporting period in a prior year and continues throughout the current EHR reporting period. </w:t>
            </w:r>
          </w:p>
          <w:p w:rsidR="004A12B5" w:rsidRPr="004A12B5" w:rsidRDefault="004A12B5" w:rsidP="004A12B5">
            <w:pPr>
              <w:pStyle w:val="ListParagraph"/>
              <w:numPr>
                <w:ilvl w:val="0"/>
                <w:numId w:val="20"/>
              </w:numPr>
              <w:rPr>
                <w:rFonts w:ascii="Calibri" w:eastAsia="Times New Roman" w:hAnsi="Calibri" w:cs="Times New Roman"/>
                <w:color w:val="000000"/>
              </w:rPr>
            </w:pPr>
            <w:r w:rsidRPr="004A12B5">
              <w:rPr>
                <w:rFonts w:ascii="Calibri" w:eastAsia="Times New Roman" w:hAnsi="Calibri" w:cs="Times New Roman"/>
                <w:color w:val="000000"/>
              </w:rPr>
              <w:t>Registration with the PHA or other body to whom the information is being submitted of intent to initiate ongoing submission was made by the deadline (within 60 days of the start of the EHR reporting period) and ongoing submission was achieved.</w:t>
            </w:r>
          </w:p>
          <w:p w:rsidR="004A12B5" w:rsidRPr="004A12B5" w:rsidRDefault="004A12B5" w:rsidP="004A12B5">
            <w:pPr>
              <w:pStyle w:val="ListParagraph"/>
              <w:numPr>
                <w:ilvl w:val="0"/>
                <w:numId w:val="20"/>
              </w:numPr>
              <w:rPr>
                <w:rFonts w:ascii="Calibri" w:eastAsia="Times New Roman" w:hAnsi="Calibri" w:cs="Times New Roman"/>
                <w:color w:val="000000"/>
              </w:rPr>
            </w:pPr>
            <w:r w:rsidRPr="004A12B5">
              <w:rPr>
                <w:rFonts w:ascii="Calibri" w:eastAsia="Times New Roman" w:hAnsi="Calibri" w:cs="Times New Roman"/>
                <w:color w:val="000000"/>
              </w:rPr>
              <w:t>Registration of intent to initiate ongoing submission was made by the deadline and the EP or hospital is still engaged in testing and validation of ongoing electronic submission.</w:t>
            </w:r>
          </w:p>
          <w:p w:rsidR="004A12B5" w:rsidRPr="004A12B5" w:rsidRDefault="004A12B5" w:rsidP="004A12B5">
            <w:pPr>
              <w:pStyle w:val="ListParagraph"/>
              <w:numPr>
                <w:ilvl w:val="0"/>
                <w:numId w:val="20"/>
              </w:numPr>
              <w:rPr>
                <w:rFonts w:ascii="Calibri" w:eastAsia="Times New Roman" w:hAnsi="Calibri" w:cs="Times New Roman"/>
                <w:color w:val="000000"/>
              </w:rPr>
            </w:pPr>
            <w:r w:rsidRPr="004A12B5">
              <w:rPr>
                <w:rFonts w:ascii="Calibri" w:eastAsia="Times New Roman" w:hAnsi="Calibri" w:cs="Times New Roman"/>
                <w:color w:val="000000"/>
              </w:rPr>
              <w:t>Registration of intent to initiate ongoing submission was made by the deadline and the EP or hospital is awaiting invitation to begin testing and validation.</w:t>
            </w:r>
          </w:p>
        </w:tc>
      </w:tr>
      <w:tr w:rsidR="004A12B5" w:rsidRPr="00244863" w:rsidTr="00980B03">
        <w:trPr>
          <w:trHeight w:val="300"/>
        </w:trPr>
        <w:tc>
          <w:tcPr>
            <w:tcW w:w="1435" w:type="dxa"/>
            <w:vMerge/>
            <w:tcBorders>
              <w:top w:val="nil"/>
              <w:left w:val="single" w:sz="4" w:space="0" w:color="auto"/>
              <w:bottom w:val="single" w:sz="4" w:space="0" w:color="000000"/>
              <w:right w:val="nil"/>
            </w:tcBorders>
            <w:vAlign w:val="center"/>
            <w:hideMark/>
          </w:tcPr>
          <w:p w:rsidR="004A12B5" w:rsidRPr="00244863" w:rsidRDefault="004A12B5"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4A12B5" w:rsidRPr="00244863" w:rsidRDefault="004A12B5" w:rsidP="00980B03">
            <w:pPr>
              <w:rPr>
                <w:rFonts w:ascii="Calibri" w:eastAsia="Times New Roman" w:hAnsi="Calibri" w:cs="Times New Roman"/>
                <w:color w:val="000000"/>
              </w:rPr>
            </w:pPr>
          </w:p>
        </w:tc>
      </w:tr>
      <w:tr w:rsidR="004A12B5" w:rsidRPr="00244863" w:rsidTr="00980B03">
        <w:trPr>
          <w:trHeight w:val="300"/>
        </w:trPr>
        <w:tc>
          <w:tcPr>
            <w:tcW w:w="1435" w:type="dxa"/>
            <w:vMerge/>
            <w:tcBorders>
              <w:top w:val="nil"/>
              <w:left w:val="single" w:sz="4" w:space="0" w:color="auto"/>
              <w:bottom w:val="single" w:sz="4" w:space="0" w:color="000000"/>
              <w:right w:val="nil"/>
            </w:tcBorders>
            <w:vAlign w:val="center"/>
            <w:hideMark/>
          </w:tcPr>
          <w:p w:rsidR="004A12B5" w:rsidRPr="00244863" w:rsidRDefault="004A12B5"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4A12B5" w:rsidRPr="00244863" w:rsidRDefault="004A12B5" w:rsidP="00980B03">
            <w:pPr>
              <w:rPr>
                <w:rFonts w:ascii="Calibri" w:eastAsia="Times New Roman" w:hAnsi="Calibri" w:cs="Times New Roman"/>
                <w:color w:val="000000"/>
              </w:rPr>
            </w:pPr>
          </w:p>
        </w:tc>
      </w:tr>
    </w:tbl>
    <w:p w:rsidR="004A12B5" w:rsidRDefault="004A12B5" w:rsidP="00F56E7A"/>
    <w:p w:rsidR="004A12B5" w:rsidRDefault="004A12B5" w:rsidP="00F56E7A"/>
    <w:p w:rsidR="004A12B5" w:rsidRDefault="004A12B5">
      <w:pPr>
        <w:rPr>
          <w:rFonts w:eastAsia="Times New Roman" w:cstheme="majorBidi"/>
          <w:b/>
          <w:bCs/>
          <w:sz w:val="28"/>
        </w:rPr>
      </w:pPr>
      <w:r>
        <w:rPr>
          <w:rFonts w:eastAsia="Times New Roman"/>
        </w:rPr>
        <w:br w:type="page"/>
      </w:r>
    </w:p>
    <w:p w:rsidR="000F1A35" w:rsidRPr="009F3C18" w:rsidRDefault="000F1A35" w:rsidP="000F1A35">
      <w:pPr>
        <w:pStyle w:val="Heading3"/>
      </w:pPr>
      <w:bookmarkStart w:id="115" w:name="_Toc390171223"/>
      <w:r>
        <w:rPr>
          <w:rFonts w:eastAsia="Times New Roman"/>
        </w:rPr>
        <w:t>Report Cancer Cases</w:t>
      </w:r>
      <w:r w:rsidRPr="009F3C18">
        <w:t>: Explanation of Measure</w:t>
      </w:r>
      <w:bookmarkEnd w:id="115"/>
    </w:p>
    <w:p w:rsidR="000F1A35" w:rsidRDefault="000F1A35" w:rsidP="000F1A35">
      <w:pPr>
        <w:rPr>
          <w:b/>
        </w:rPr>
      </w:pPr>
    </w:p>
    <w:p w:rsidR="000F1A35" w:rsidRDefault="000F1A35" w:rsidP="000F1A35">
      <w:r>
        <w:t>This measure does not have a numerator, denominator or reporting threshold. Instead, it is a Yes/No attestation by the EP. This means that there is nothing to track within the CEHRT as far as reporting specific numbers. Instead, the EP is supposed to have performed the work outside of the CEHRT and attest that the work had been done.</w:t>
      </w:r>
    </w:p>
    <w:p w:rsidR="000F1A35" w:rsidRDefault="000F1A35" w:rsidP="000F1A35"/>
    <w:p w:rsidR="000F1A35" w:rsidRDefault="000F1A35" w:rsidP="000F1A35">
      <w:r>
        <w:t xml:space="preserve">In the case of this measure, the EP is required to </w:t>
      </w:r>
      <w:r w:rsidR="00F62E66" w:rsidRPr="000F1A35">
        <w:rPr>
          <w:rFonts w:ascii="Calibri" w:eastAsia="Times New Roman" w:hAnsi="Calibri" w:cs="Times New Roman"/>
          <w:color w:val="000000"/>
        </w:rPr>
        <w:t>report cancer cases to a public health central cancer registry</w:t>
      </w:r>
      <w:r>
        <w:t xml:space="preserve">. Due to the fact that Behavioral Health EP’s </w:t>
      </w:r>
      <w:r w:rsidR="00F62E66">
        <w:t xml:space="preserve">do not </w:t>
      </w:r>
      <w:r w:rsidR="00F62E66" w:rsidRPr="000F1A35">
        <w:rPr>
          <w:rFonts w:ascii="Calibri" w:eastAsia="Times New Roman" w:hAnsi="Calibri" w:cs="Times New Roman"/>
          <w:color w:val="000000"/>
        </w:rPr>
        <w:t>diagnose</w:t>
      </w:r>
      <w:r w:rsidR="00F62E66">
        <w:rPr>
          <w:rFonts w:ascii="Calibri" w:eastAsia="Times New Roman" w:hAnsi="Calibri" w:cs="Times New Roman"/>
          <w:color w:val="000000"/>
        </w:rPr>
        <w:t xml:space="preserve"> or directly treat cancer</w:t>
      </w:r>
      <w:r>
        <w:t>, this measure is one that we expect all EP’s of the Valant Premium Psychiatrist Suite exclude out during their reporting.</w:t>
      </w:r>
    </w:p>
    <w:p w:rsidR="000F1A35" w:rsidRDefault="000F1A35" w:rsidP="000F1A35"/>
    <w:p w:rsidR="00C25947" w:rsidRDefault="000F1A35" w:rsidP="000F1A35">
      <w:r>
        <w:t xml:space="preserve">Since the </w:t>
      </w:r>
      <w:r w:rsidR="00F62E66">
        <w:rPr>
          <w:rFonts w:ascii="Calibri" w:eastAsia="Times New Roman" w:hAnsi="Calibri" w:cs="Times New Roman"/>
          <w:color w:val="000000"/>
        </w:rPr>
        <w:t>diagnosing or treatment of cancer</w:t>
      </w:r>
      <w:r w:rsidRPr="00561D11">
        <w:rPr>
          <w:rFonts w:ascii="Calibri" w:eastAsia="Times New Roman" w:hAnsi="Calibri" w:cs="Times New Roman"/>
          <w:color w:val="000000"/>
        </w:rPr>
        <w:t xml:space="preserve"> </w:t>
      </w:r>
      <w:r>
        <w:t>is outside the scope of Behavioral Health, this measure was deemed outside of the scope of the Valant Premium Psychiatrist Suite. As a result, this measure is excluded from the certification of the Valant Premium Psychiatrist Suite for the 2014 CEHRT.</w:t>
      </w:r>
    </w:p>
    <w:p w:rsidR="00C25947" w:rsidRDefault="00C25947">
      <w:r>
        <w:br w:type="page"/>
      </w:r>
    </w:p>
    <w:p w:rsidR="00107CAC" w:rsidRDefault="00C25947" w:rsidP="00C25947">
      <w:pPr>
        <w:pStyle w:val="Heading2"/>
      </w:pPr>
      <w:bookmarkStart w:id="116" w:name="_Toc390171224"/>
      <w:r w:rsidRPr="00107CAC">
        <w:rPr>
          <w:rFonts w:eastAsia="Times New Roman"/>
        </w:rPr>
        <w:t>Stage 2 - Menu #6: Report Specific Cases</w:t>
      </w:r>
      <w:bookmarkEnd w:id="116"/>
      <w:r>
        <w:t xml:space="preserve"> </w:t>
      </w:r>
    </w:p>
    <w:p w:rsidR="00C25947" w:rsidRDefault="00C25947" w:rsidP="000F1A35"/>
    <w:tbl>
      <w:tblPr>
        <w:tblW w:w="10905" w:type="dxa"/>
        <w:tblInd w:w="93" w:type="dxa"/>
        <w:tblLook w:val="04A0" w:firstRow="1" w:lastRow="0" w:firstColumn="1" w:lastColumn="0" w:noHBand="0" w:noVBand="1"/>
      </w:tblPr>
      <w:tblGrid>
        <w:gridCol w:w="1340"/>
        <w:gridCol w:w="9565"/>
      </w:tblGrid>
      <w:tr w:rsidR="00107CAC" w:rsidRPr="00107CAC" w:rsidTr="00107CAC">
        <w:trPr>
          <w:trHeight w:val="375"/>
        </w:trPr>
        <w:tc>
          <w:tcPr>
            <w:tcW w:w="10905"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107CAC" w:rsidRPr="00C25947" w:rsidRDefault="00107CAC" w:rsidP="00C25947">
            <w:pPr>
              <w:rPr>
                <w:b/>
              </w:rPr>
            </w:pPr>
            <w:r w:rsidRPr="00C25947">
              <w:rPr>
                <w:b/>
                <w:color w:val="FFFFFF" w:themeColor="background1"/>
                <w:sz w:val="32"/>
              </w:rPr>
              <w:t>Report Specific Cases</w:t>
            </w:r>
          </w:p>
        </w:tc>
      </w:tr>
      <w:tr w:rsidR="00107CAC" w:rsidRPr="00107CAC" w:rsidTr="00107CAC">
        <w:trPr>
          <w:trHeight w:val="300"/>
        </w:trPr>
        <w:tc>
          <w:tcPr>
            <w:tcW w:w="1340" w:type="dxa"/>
            <w:vMerge w:val="restart"/>
            <w:tcBorders>
              <w:top w:val="nil"/>
              <w:left w:val="single" w:sz="4" w:space="0" w:color="auto"/>
              <w:bottom w:val="nil"/>
              <w:right w:val="nil"/>
            </w:tcBorders>
            <w:shd w:val="clear" w:color="000000" w:fill="1F497D"/>
            <w:noWrap/>
            <w:vAlign w:val="center"/>
            <w:hideMark/>
          </w:tcPr>
          <w:p w:rsidR="00107CAC" w:rsidRPr="00107CAC" w:rsidRDefault="00107CAC" w:rsidP="00107CAC">
            <w:pPr>
              <w:jc w:val="right"/>
              <w:rPr>
                <w:rFonts w:ascii="Calibri" w:eastAsia="Times New Roman" w:hAnsi="Calibri" w:cs="Times New Roman"/>
                <w:b/>
                <w:bCs/>
                <w:color w:val="FFFFFF"/>
              </w:rPr>
            </w:pPr>
            <w:r w:rsidRPr="00107CAC">
              <w:rPr>
                <w:rFonts w:ascii="Calibri" w:eastAsia="Times New Roman" w:hAnsi="Calibri" w:cs="Times New Roman"/>
                <w:b/>
                <w:bCs/>
                <w:color w:val="FFFFFF"/>
              </w:rPr>
              <w:t xml:space="preserve">Objective </w:t>
            </w:r>
          </w:p>
        </w:tc>
        <w:tc>
          <w:tcPr>
            <w:tcW w:w="9565" w:type="dxa"/>
            <w:vMerge w:val="restart"/>
            <w:tcBorders>
              <w:top w:val="nil"/>
              <w:left w:val="nil"/>
              <w:bottom w:val="nil"/>
              <w:right w:val="single" w:sz="4" w:space="0" w:color="000000"/>
            </w:tcBorders>
            <w:shd w:val="clear" w:color="auto" w:fill="auto"/>
            <w:vAlign w:val="center"/>
            <w:hideMark/>
          </w:tcPr>
          <w:p w:rsidR="00107CAC" w:rsidRPr="00107CAC" w:rsidRDefault="00107CAC" w:rsidP="00107CAC">
            <w:pPr>
              <w:rPr>
                <w:rFonts w:ascii="Calibri" w:eastAsia="Times New Roman" w:hAnsi="Calibri" w:cs="Times New Roman"/>
                <w:color w:val="000000"/>
              </w:rPr>
            </w:pPr>
            <w:r w:rsidRPr="00107CAC">
              <w:rPr>
                <w:rFonts w:ascii="Calibri" w:eastAsia="Times New Roman" w:hAnsi="Calibri" w:cs="Times New Roman"/>
                <w:color w:val="000000"/>
              </w:rPr>
              <w:t>Capability to identify and report specific cases to a specialized registry (other than a cancer registry), except where prohibited, and in accordance with applicable law and practice</w:t>
            </w:r>
          </w:p>
        </w:tc>
      </w:tr>
      <w:tr w:rsidR="00107CAC" w:rsidRPr="00107CAC" w:rsidTr="00107CAC">
        <w:trPr>
          <w:trHeight w:val="300"/>
        </w:trPr>
        <w:tc>
          <w:tcPr>
            <w:tcW w:w="1340" w:type="dxa"/>
            <w:vMerge/>
            <w:tcBorders>
              <w:top w:val="nil"/>
              <w:left w:val="single" w:sz="4" w:space="0" w:color="auto"/>
              <w:bottom w:val="nil"/>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r w:rsidR="00107CAC" w:rsidRPr="00107CAC" w:rsidTr="00107CAC">
        <w:trPr>
          <w:trHeight w:val="300"/>
        </w:trPr>
        <w:tc>
          <w:tcPr>
            <w:tcW w:w="1340" w:type="dxa"/>
            <w:vMerge/>
            <w:tcBorders>
              <w:top w:val="nil"/>
              <w:left w:val="single" w:sz="4" w:space="0" w:color="auto"/>
              <w:bottom w:val="nil"/>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nil"/>
              <w:left w:val="nil"/>
              <w:bottom w:val="nil"/>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r w:rsidR="00107CAC" w:rsidRPr="00107CAC" w:rsidTr="00107CAC">
        <w:trPr>
          <w:trHeight w:val="300"/>
        </w:trPr>
        <w:tc>
          <w:tcPr>
            <w:tcW w:w="1340" w:type="dxa"/>
            <w:vMerge w:val="restart"/>
            <w:tcBorders>
              <w:top w:val="single" w:sz="4" w:space="0" w:color="auto"/>
              <w:left w:val="single" w:sz="4" w:space="0" w:color="auto"/>
              <w:bottom w:val="single" w:sz="4" w:space="0" w:color="000000"/>
              <w:right w:val="nil"/>
            </w:tcBorders>
            <w:shd w:val="clear" w:color="000000" w:fill="1F497D"/>
            <w:noWrap/>
            <w:vAlign w:val="center"/>
            <w:hideMark/>
          </w:tcPr>
          <w:p w:rsidR="00107CAC" w:rsidRPr="00107CAC" w:rsidRDefault="00107CAC" w:rsidP="00107CAC">
            <w:pPr>
              <w:jc w:val="right"/>
              <w:rPr>
                <w:rFonts w:ascii="Calibri" w:eastAsia="Times New Roman" w:hAnsi="Calibri" w:cs="Times New Roman"/>
                <w:b/>
                <w:bCs/>
                <w:color w:val="FFFFFF"/>
              </w:rPr>
            </w:pPr>
            <w:r w:rsidRPr="00107CAC">
              <w:rPr>
                <w:rFonts w:ascii="Calibri" w:eastAsia="Times New Roman" w:hAnsi="Calibri" w:cs="Times New Roman"/>
                <w:b/>
                <w:bCs/>
                <w:color w:val="FFFFFF"/>
              </w:rPr>
              <w:t xml:space="preserve">Measure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107CAC" w:rsidRPr="00107CAC" w:rsidRDefault="00107CAC" w:rsidP="00107CAC">
            <w:pPr>
              <w:rPr>
                <w:rFonts w:ascii="Calibri" w:eastAsia="Times New Roman" w:hAnsi="Calibri" w:cs="Times New Roman"/>
                <w:color w:val="000000"/>
              </w:rPr>
            </w:pPr>
            <w:r w:rsidRPr="00107CAC">
              <w:rPr>
                <w:rFonts w:ascii="Calibri" w:eastAsia="Times New Roman" w:hAnsi="Calibri" w:cs="Times New Roman"/>
                <w:color w:val="000000"/>
              </w:rPr>
              <w:t>Successful ongoing submission of specific case information from CEHRT to a specialized registry for the entire EHR reporting period</w:t>
            </w:r>
          </w:p>
        </w:tc>
      </w:tr>
      <w:tr w:rsidR="00107CAC" w:rsidRPr="00107CAC" w:rsidTr="00107CAC">
        <w:trPr>
          <w:trHeight w:val="300"/>
        </w:trPr>
        <w:tc>
          <w:tcPr>
            <w:tcW w:w="1340" w:type="dxa"/>
            <w:vMerge/>
            <w:tcBorders>
              <w:top w:val="single" w:sz="4" w:space="0" w:color="auto"/>
              <w:left w:val="single" w:sz="4" w:space="0" w:color="auto"/>
              <w:bottom w:val="single" w:sz="4" w:space="0" w:color="000000"/>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r w:rsidR="00107CAC" w:rsidRPr="00107CAC" w:rsidTr="00107CAC">
        <w:trPr>
          <w:trHeight w:val="300"/>
        </w:trPr>
        <w:tc>
          <w:tcPr>
            <w:tcW w:w="1340" w:type="dxa"/>
            <w:vMerge/>
            <w:tcBorders>
              <w:top w:val="single" w:sz="4" w:space="0" w:color="auto"/>
              <w:left w:val="single" w:sz="4" w:space="0" w:color="auto"/>
              <w:bottom w:val="single" w:sz="4" w:space="0" w:color="000000"/>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r w:rsidR="00107CAC" w:rsidRPr="00107CAC" w:rsidTr="00107CAC">
        <w:trPr>
          <w:trHeight w:val="300"/>
        </w:trPr>
        <w:tc>
          <w:tcPr>
            <w:tcW w:w="1340" w:type="dxa"/>
            <w:vMerge w:val="restart"/>
            <w:tcBorders>
              <w:top w:val="nil"/>
              <w:left w:val="single" w:sz="4" w:space="0" w:color="auto"/>
              <w:bottom w:val="nil"/>
              <w:right w:val="nil"/>
            </w:tcBorders>
            <w:shd w:val="clear" w:color="000000" w:fill="1F497D"/>
            <w:vAlign w:val="center"/>
            <w:hideMark/>
          </w:tcPr>
          <w:p w:rsidR="00107CAC" w:rsidRPr="00107CAC" w:rsidRDefault="00107CAC" w:rsidP="00107CAC">
            <w:pPr>
              <w:jc w:val="right"/>
              <w:rPr>
                <w:rFonts w:ascii="Calibri" w:eastAsia="Times New Roman" w:hAnsi="Calibri" w:cs="Times New Roman"/>
                <w:b/>
                <w:bCs/>
                <w:color w:val="FFFFFF"/>
              </w:rPr>
            </w:pPr>
            <w:r w:rsidRPr="00107CAC">
              <w:rPr>
                <w:rFonts w:ascii="Calibri" w:eastAsia="Times New Roman" w:hAnsi="Calibri" w:cs="Times New Roman"/>
                <w:b/>
                <w:bCs/>
                <w:color w:val="FFFFFF"/>
              </w:rPr>
              <w:t xml:space="preserve">Exclusion </w:t>
            </w:r>
          </w:p>
        </w:tc>
        <w:tc>
          <w:tcPr>
            <w:tcW w:w="9565" w:type="dxa"/>
            <w:vMerge w:val="restart"/>
            <w:tcBorders>
              <w:top w:val="single" w:sz="4" w:space="0" w:color="auto"/>
              <w:left w:val="nil"/>
              <w:bottom w:val="single" w:sz="4" w:space="0" w:color="000000"/>
              <w:right w:val="single" w:sz="4" w:space="0" w:color="000000"/>
            </w:tcBorders>
            <w:shd w:val="clear" w:color="auto" w:fill="auto"/>
            <w:vAlign w:val="center"/>
            <w:hideMark/>
          </w:tcPr>
          <w:p w:rsidR="00107CAC" w:rsidRDefault="00107CAC" w:rsidP="00107CAC">
            <w:pPr>
              <w:rPr>
                <w:rFonts w:ascii="Calibri" w:eastAsia="Times New Roman" w:hAnsi="Calibri" w:cs="Times New Roman"/>
                <w:color w:val="000000"/>
              </w:rPr>
            </w:pPr>
            <w:r w:rsidRPr="00107CAC">
              <w:rPr>
                <w:rFonts w:ascii="Calibri" w:eastAsia="Times New Roman" w:hAnsi="Calibri" w:cs="Times New Roman"/>
                <w:color w:val="000000"/>
              </w:rPr>
              <w:t xml:space="preserve">Any EP that meets at least 1 of the following criteria may be </w:t>
            </w:r>
            <w:r>
              <w:rPr>
                <w:rFonts w:ascii="Calibri" w:eastAsia="Times New Roman" w:hAnsi="Calibri" w:cs="Times New Roman"/>
                <w:color w:val="000000"/>
              </w:rPr>
              <w:t xml:space="preserve">excluded from this </w:t>
            </w:r>
            <w:r>
              <w:rPr>
                <w:rFonts w:ascii="Calibri" w:eastAsia="Times New Roman" w:hAnsi="Calibri" w:cs="Times New Roman"/>
                <w:color w:val="000000"/>
              </w:rPr>
              <w:br/>
              <w:t xml:space="preserve">objective: </w:t>
            </w:r>
          </w:p>
          <w:p w:rsidR="00107CAC" w:rsidRDefault="00107CAC" w:rsidP="00107CAC">
            <w:pPr>
              <w:pStyle w:val="ListParagraph"/>
              <w:numPr>
                <w:ilvl w:val="0"/>
                <w:numId w:val="18"/>
              </w:numPr>
              <w:rPr>
                <w:rFonts w:ascii="Calibri" w:eastAsia="Times New Roman" w:hAnsi="Calibri" w:cs="Times New Roman"/>
                <w:color w:val="000000"/>
              </w:rPr>
            </w:pPr>
            <w:r w:rsidRPr="00107CAC">
              <w:rPr>
                <w:rFonts w:ascii="Calibri" w:eastAsia="Times New Roman" w:hAnsi="Calibri" w:cs="Times New Roman"/>
                <w:color w:val="000000"/>
              </w:rPr>
              <w:t>The EP does not diagnose or directly treat</w:t>
            </w:r>
            <w:r>
              <w:rPr>
                <w:rFonts w:ascii="Calibri" w:eastAsia="Times New Roman" w:hAnsi="Calibri" w:cs="Times New Roman"/>
                <w:color w:val="000000"/>
              </w:rPr>
              <w:t xml:space="preserve"> any disease associated with a </w:t>
            </w:r>
            <w:r w:rsidRPr="00107CAC">
              <w:rPr>
                <w:rFonts w:ascii="Calibri" w:eastAsia="Times New Roman" w:hAnsi="Calibri" w:cs="Times New Roman"/>
                <w:color w:val="000000"/>
              </w:rPr>
              <w:t>specialized registry sponsored by a national spec</w:t>
            </w:r>
            <w:r>
              <w:rPr>
                <w:rFonts w:ascii="Calibri" w:eastAsia="Times New Roman" w:hAnsi="Calibri" w:cs="Times New Roman"/>
                <w:color w:val="000000"/>
              </w:rPr>
              <w:t xml:space="preserve">ialty society for which the EP </w:t>
            </w:r>
            <w:r w:rsidRPr="00107CAC">
              <w:rPr>
                <w:rFonts w:ascii="Calibri" w:eastAsia="Times New Roman" w:hAnsi="Calibri" w:cs="Times New Roman"/>
                <w:color w:val="000000"/>
              </w:rPr>
              <w:t>is eligible, or the public health agenc</w:t>
            </w:r>
            <w:r>
              <w:rPr>
                <w:rFonts w:ascii="Calibri" w:eastAsia="Times New Roman" w:hAnsi="Calibri" w:cs="Times New Roman"/>
                <w:color w:val="000000"/>
              </w:rPr>
              <w:t xml:space="preserve">ies in their jurisdiction; </w:t>
            </w:r>
          </w:p>
          <w:p w:rsidR="00107CAC" w:rsidRDefault="00107CAC" w:rsidP="00107CAC">
            <w:pPr>
              <w:pStyle w:val="ListParagraph"/>
              <w:numPr>
                <w:ilvl w:val="0"/>
                <w:numId w:val="18"/>
              </w:numPr>
              <w:rPr>
                <w:rFonts w:ascii="Calibri" w:eastAsia="Times New Roman" w:hAnsi="Calibri" w:cs="Times New Roman"/>
                <w:color w:val="000000"/>
              </w:rPr>
            </w:pPr>
            <w:r w:rsidRPr="00107CAC">
              <w:rPr>
                <w:rFonts w:ascii="Calibri" w:eastAsia="Times New Roman" w:hAnsi="Calibri" w:cs="Times New Roman"/>
                <w:color w:val="000000"/>
              </w:rPr>
              <w:t xml:space="preserve">The EP operates in a jurisdiction for which no </w:t>
            </w:r>
            <w:r>
              <w:rPr>
                <w:rFonts w:ascii="Calibri" w:eastAsia="Times New Roman" w:hAnsi="Calibri" w:cs="Times New Roman"/>
                <w:color w:val="000000"/>
              </w:rPr>
              <w:t xml:space="preserve">specialized registry sponsored </w:t>
            </w:r>
            <w:r w:rsidRPr="00107CAC">
              <w:rPr>
                <w:rFonts w:ascii="Calibri" w:eastAsia="Times New Roman" w:hAnsi="Calibri" w:cs="Times New Roman"/>
                <w:color w:val="000000"/>
              </w:rPr>
              <w:t>by a public health agency or by a national special</w:t>
            </w:r>
            <w:r>
              <w:rPr>
                <w:rFonts w:ascii="Calibri" w:eastAsia="Times New Roman" w:hAnsi="Calibri" w:cs="Times New Roman"/>
                <w:color w:val="000000"/>
              </w:rPr>
              <w:t xml:space="preserve">ty society for which the EP is </w:t>
            </w:r>
            <w:r w:rsidRPr="00107CAC">
              <w:rPr>
                <w:rFonts w:ascii="Calibri" w:eastAsia="Times New Roman" w:hAnsi="Calibri" w:cs="Times New Roman"/>
                <w:color w:val="000000"/>
              </w:rPr>
              <w:t>eligible is capable of receiving electronic sp</w:t>
            </w:r>
            <w:r>
              <w:rPr>
                <w:rFonts w:ascii="Calibri" w:eastAsia="Times New Roman" w:hAnsi="Calibri" w:cs="Times New Roman"/>
                <w:color w:val="000000"/>
              </w:rPr>
              <w:t xml:space="preserve">ecific case information in the </w:t>
            </w:r>
            <w:r w:rsidRPr="00107CAC">
              <w:rPr>
                <w:rFonts w:ascii="Calibri" w:eastAsia="Times New Roman" w:hAnsi="Calibri" w:cs="Times New Roman"/>
                <w:color w:val="000000"/>
              </w:rPr>
              <w:t>specific standards required by CEHRT at the beginning of th</w:t>
            </w:r>
            <w:r>
              <w:rPr>
                <w:rFonts w:ascii="Calibri" w:eastAsia="Times New Roman" w:hAnsi="Calibri" w:cs="Times New Roman"/>
                <w:color w:val="000000"/>
              </w:rPr>
              <w:t xml:space="preserve">eir EHR reporting period; </w:t>
            </w:r>
          </w:p>
          <w:p w:rsidR="00107CAC" w:rsidRDefault="00107CAC" w:rsidP="00107CAC">
            <w:pPr>
              <w:pStyle w:val="ListParagraph"/>
              <w:numPr>
                <w:ilvl w:val="0"/>
                <w:numId w:val="18"/>
              </w:numPr>
              <w:rPr>
                <w:rFonts w:ascii="Calibri" w:eastAsia="Times New Roman" w:hAnsi="Calibri" w:cs="Times New Roman"/>
                <w:color w:val="000000"/>
              </w:rPr>
            </w:pPr>
            <w:r w:rsidRPr="00107CAC">
              <w:rPr>
                <w:rFonts w:ascii="Calibri" w:eastAsia="Times New Roman" w:hAnsi="Calibri" w:cs="Times New Roman"/>
                <w:color w:val="000000"/>
              </w:rPr>
              <w:t>The EP operates in a jurisdiction where no pu</w:t>
            </w:r>
            <w:r>
              <w:rPr>
                <w:rFonts w:ascii="Calibri" w:eastAsia="Times New Roman" w:hAnsi="Calibri" w:cs="Times New Roman"/>
                <w:color w:val="000000"/>
              </w:rPr>
              <w:t xml:space="preserve">blic health agency or national </w:t>
            </w:r>
            <w:r w:rsidRPr="00107CAC">
              <w:rPr>
                <w:rFonts w:ascii="Calibri" w:eastAsia="Times New Roman" w:hAnsi="Calibri" w:cs="Times New Roman"/>
                <w:color w:val="000000"/>
              </w:rPr>
              <w:t xml:space="preserve">specialty society for which the EP is eligible </w:t>
            </w:r>
            <w:r>
              <w:rPr>
                <w:rFonts w:ascii="Calibri" w:eastAsia="Times New Roman" w:hAnsi="Calibri" w:cs="Times New Roman"/>
                <w:color w:val="000000"/>
              </w:rPr>
              <w:t xml:space="preserve">provides information timely on </w:t>
            </w:r>
            <w:r w:rsidRPr="00107CAC">
              <w:rPr>
                <w:rFonts w:ascii="Calibri" w:eastAsia="Times New Roman" w:hAnsi="Calibri" w:cs="Times New Roman"/>
                <w:color w:val="000000"/>
              </w:rPr>
              <w:t>capability to receive information into their</w:t>
            </w:r>
            <w:r>
              <w:rPr>
                <w:rFonts w:ascii="Calibri" w:eastAsia="Times New Roman" w:hAnsi="Calibri" w:cs="Times New Roman"/>
                <w:color w:val="000000"/>
              </w:rPr>
              <w:t xml:space="preserve"> specialized registries; or</w:t>
            </w:r>
          </w:p>
          <w:p w:rsidR="00107CAC" w:rsidRPr="00107CAC" w:rsidRDefault="00107CAC" w:rsidP="00107CAC">
            <w:pPr>
              <w:pStyle w:val="ListParagraph"/>
              <w:numPr>
                <w:ilvl w:val="0"/>
                <w:numId w:val="18"/>
              </w:numPr>
              <w:rPr>
                <w:rFonts w:ascii="Calibri" w:eastAsia="Times New Roman" w:hAnsi="Calibri" w:cs="Times New Roman"/>
                <w:color w:val="000000"/>
              </w:rPr>
            </w:pPr>
            <w:r w:rsidRPr="00107CAC">
              <w:rPr>
                <w:rFonts w:ascii="Calibri" w:eastAsia="Times New Roman" w:hAnsi="Calibri" w:cs="Times New Roman"/>
                <w:color w:val="000000"/>
              </w:rPr>
              <w:t>The EP operates in a jurisdiction for which no special</w:t>
            </w:r>
            <w:r>
              <w:rPr>
                <w:rFonts w:ascii="Calibri" w:eastAsia="Times New Roman" w:hAnsi="Calibri" w:cs="Times New Roman"/>
                <w:color w:val="000000"/>
              </w:rPr>
              <w:t xml:space="preserve">ized registry sponsored </w:t>
            </w:r>
            <w:r w:rsidRPr="00107CAC">
              <w:rPr>
                <w:rFonts w:ascii="Calibri" w:eastAsia="Times New Roman" w:hAnsi="Calibri" w:cs="Times New Roman"/>
                <w:color w:val="000000"/>
              </w:rPr>
              <w:t>by a public health agency or by a national special</w:t>
            </w:r>
            <w:r>
              <w:rPr>
                <w:rFonts w:ascii="Calibri" w:eastAsia="Times New Roman" w:hAnsi="Calibri" w:cs="Times New Roman"/>
                <w:color w:val="000000"/>
              </w:rPr>
              <w:t xml:space="preserve">ty society for which the EP is </w:t>
            </w:r>
            <w:r w:rsidRPr="00107CAC">
              <w:rPr>
                <w:rFonts w:ascii="Calibri" w:eastAsia="Times New Roman" w:hAnsi="Calibri" w:cs="Times New Roman"/>
                <w:color w:val="000000"/>
              </w:rPr>
              <w:t>eligible that is capable of receiving electronic sp</w:t>
            </w:r>
            <w:r>
              <w:rPr>
                <w:rFonts w:ascii="Calibri" w:eastAsia="Times New Roman" w:hAnsi="Calibri" w:cs="Times New Roman"/>
                <w:color w:val="000000"/>
              </w:rPr>
              <w:t xml:space="preserve">ecific case information in the </w:t>
            </w:r>
            <w:r w:rsidRPr="00107CAC">
              <w:rPr>
                <w:rFonts w:ascii="Calibri" w:eastAsia="Times New Roman" w:hAnsi="Calibri" w:cs="Times New Roman"/>
                <w:color w:val="000000"/>
              </w:rPr>
              <w:t>specific standards required by CEHRT at the beginning of their EHR</w:t>
            </w:r>
            <w:r>
              <w:rPr>
                <w:rFonts w:ascii="Calibri" w:eastAsia="Times New Roman" w:hAnsi="Calibri" w:cs="Times New Roman"/>
                <w:color w:val="000000"/>
              </w:rPr>
              <w:t xml:space="preserve"> reporting </w:t>
            </w:r>
            <w:r w:rsidRPr="00107CAC">
              <w:rPr>
                <w:rFonts w:ascii="Calibri" w:eastAsia="Times New Roman" w:hAnsi="Calibri" w:cs="Times New Roman"/>
                <w:color w:val="000000"/>
              </w:rPr>
              <w:t xml:space="preserve">period can enroll additional EPs. </w:t>
            </w:r>
          </w:p>
        </w:tc>
      </w:tr>
      <w:tr w:rsidR="00107CAC" w:rsidRPr="00107CAC" w:rsidTr="00107CAC">
        <w:trPr>
          <w:trHeight w:val="300"/>
        </w:trPr>
        <w:tc>
          <w:tcPr>
            <w:tcW w:w="1340" w:type="dxa"/>
            <w:vMerge/>
            <w:tcBorders>
              <w:top w:val="nil"/>
              <w:left w:val="single" w:sz="4" w:space="0" w:color="auto"/>
              <w:bottom w:val="nil"/>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r w:rsidR="00107CAC" w:rsidRPr="00107CAC" w:rsidTr="00107CAC">
        <w:trPr>
          <w:trHeight w:val="300"/>
        </w:trPr>
        <w:tc>
          <w:tcPr>
            <w:tcW w:w="1340" w:type="dxa"/>
            <w:vMerge/>
            <w:tcBorders>
              <w:top w:val="nil"/>
              <w:left w:val="single" w:sz="4" w:space="0" w:color="auto"/>
              <w:bottom w:val="nil"/>
              <w:right w:val="nil"/>
            </w:tcBorders>
            <w:vAlign w:val="center"/>
            <w:hideMark/>
          </w:tcPr>
          <w:p w:rsidR="00107CAC" w:rsidRPr="00107CAC" w:rsidRDefault="00107CAC" w:rsidP="00107CAC">
            <w:pPr>
              <w:rPr>
                <w:rFonts w:ascii="Calibri" w:eastAsia="Times New Roman" w:hAnsi="Calibri" w:cs="Times New Roman"/>
                <w:b/>
                <w:bCs/>
                <w:color w:val="FFFFFF"/>
              </w:rPr>
            </w:pPr>
          </w:p>
        </w:tc>
        <w:tc>
          <w:tcPr>
            <w:tcW w:w="9565" w:type="dxa"/>
            <w:vMerge/>
            <w:tcBorders>
              <w:top w:val="single" w:sz="4" w:space="0" w:color="auto"/>
              <w:left w:val="nil"/>
              <w:bottom w:val="single" w:sz="4" w:space="0" w:color="000000"/>
              <w:right w:val="single" w:sz="4" w:space="0" w:color="000000"/>
            </w:tcBorders>
            <w:vAlign w:val="center"/>
            <w:hideMark/>
          </w:tcPr>
          <w:p w:rsidR="00107CAC" w:rsidRPr="00107CAC" w:rsidRDefault="00107CAC" w:rsidP="00107CAC">
            <w:pPr>
              <w:rPr>
                <w:rFonts w:ascii="Calibri" w:eastAsia="Times New Roman" w:hAnsi="Calibri" w:cs="Times New Roman"/>
                <w:color w:val="000000"/>
              </w:rPr>
            </w:pPr>
          </w:p>
        </w:tc>
      </w:tr>
    </w:tbl>
    <w:p w:rsidR="00BC448E" w:rsidRDefault="00BC448E" w:rsidP="000F1A35"/>
    <w:p w:rsidR="00AC6D57" w:rsidRDefault="00AC6D57" w:rsidP="000F1A35"/>
    <w:tbl>
      <w:tblPr>
        <w:tblW w:w="10815" w:type="dxa"/>
        <w:tblInd w:w="93" w:type="dxa"/>
        <w:tblLook w:val="04A0" w:firstRow="1" w:lastRow="0" w:firstColumn="1" w:lastColumn="0" w:noHBand="0" w:noVBand="1"/>
      </w:tblPr>
      <w:tblGrid>
        <w:gridCol w:w="1435"/>
        <w:gridCol w:w="9380"/>
      </w:tblGrid>
      <w:tr w:rsidR="00AC6D57" w:rsidRPr="00244863" w:rsidTr="00980B03">
        <w:trPr>
          <w:trHeight w:val="375"/>
        </w:trPr>
        <w:tc>
          <w:tcPr>
            <w:tcW w:w="10815"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rsidR="00AC6D57" w:rsidRPr="00244863" w:rsidRDefault="00AC6D57" w:rsidP="00980B03">
            <w:pPr>
              <w:rPr>
                <w:rFonts w:ascii="Calibri" w:eastAsia="Times New Roman" w:hAnsi="Calibri" w:cs="Times New Roman"/>
                <w:b/>
                <w:bCs/>
                <w:color w:val="FFFFFF"/>
                <w:sz w:val="28"/>
                <w:szCs w:val="28"/>
              </w:rPr>
            </w:pPr>
            <w:r w:rsidRPr="00AC6D57">
              <w:rPr>
                <w:rFonts w:ascii="Calibri" w:eastAsia="Times New Roman" w:hAnsi="Calibri" w:cs="Times New Roman"/>
                <w:b/>
                <w:bCs/>
                <w:color w:val="FFFFFF"/>
                <w:sz w:val="28"/>
                <w:szCs w:val="28"/>
              </w:rPr>
              <w:t>Report Specific Cases</w:t>
            </w:r>
            <w:r>
              <w:rPr>
                <w:rFonts w:ascii="Calibri" w:eastAsia="Times New Roman" w:hAnsi="Calibri" w:cs="Times New Roman"/>
                <w:b/>
                <w:bCs/>
                <w:color w:val="FFFFFF"/>
                <w:sz w:val="28"/>
                <w:szCs w:val="28"/>
              </w:rPr>
              <w:t>: Attestation Requirements</w:t>
            </w:r>
          </w:p>
        </w:tc>
      </w:tr>
      <w:tr w:rsidR="00AC6D57" w:rsidRPr="00244863" w:rsidTr="00980B03">
        <w:trPr>
          <w:trHeight w:val="300"/>
        </w:trPr>
        <w:tc>
          <w:tcPr>
            <w:tcW w:w="1435" w:type="dxa"/>
            <w:vMerge w:val="restart"/>
            <w:tcBorders>
              <w:top w:val="nil"/>
              <w:left w:val="single" w:sz="4" w:space="0" w:color="auto"/>
              <w:bottom w:val="single" w:sz="4" w:space="0" w:color="000000"/>
              <w:right w:val="nil"/>
            </w:tcBorders>
            <w:shd w:val="clear" w:color="000000" w:fill="60497A"/>
            <w:noWrap/>
            <w:vAlign w:val="center"/>
            <w:hideMark/>
          </w:tcPr>
          <w:p w:rsidR="00AC6D57" w:rsidRPr="00244863" w:rsidRDefault="00AC6D57" w:rsidP="00980B03">
            <w:pPr>
              <w:jc w:val="right"/>
              <w:rPr>
                <w:rFonts w:ascii="Calibri" w:eastAsia="Times New Roman" w:hAnsi="Calibri" w:cs="Times New Roman"/>
                <w:b/>
                <w:bCs/>
                <w:color w:val="FFFFFF"/>
              </w:rPr>
            </w:pPr>
            <w:r>
              <w:rPr>
                <w:rFonts w:ascii="Calibri" w:eastAsia="Times New Roman" w:hAnsi="Calibri" w:cs="Times New Roman"/>
                <w:b/>
                <w:bCs/>
                <w:color w:val="FFFFFF"/>
              </w:rPr>
              <w:t>YES / NO</w:t>
            </w:r>
          </w:p>
        </w:tc>
        <w:tc>
          <w:tcPr>
            <w:tcW w:w="9380" w:type="dxa"/>
            <w:vMerge w:val="restart"/>
            <w:tcBorders>
              <w:top w:val="single" w:sz="4" w:space="0" w:color="auto"/>
              <w:left w:val="nil"/>
              <w:bottom w:val="single" w:sz="4" w:space="0" w:color="000000"/>
              <w:right w:val="single" w:sz="4" w:space="0" w:color="000000"/>
            </w:tcBorders>
            <w:shd w:val="clear" w:color="auto" w:fill="auto"/>
            <w:vAlign w:val="center"/>
            <w:hideMark/>
          </w:tcPr>
          <w:p w:rsidR="00AC6D57" w:rsidRPr="00AC6D57" w:rsidRDefault="00AC6D57" w:rsidP="00AC6D57">
            <w:pPr>
              <w:rPr>
                <w:rFonts w:ascii="Calibri" w:eastAsia="Times New Roman" w:hAnsi="Calibri" w:cs="Times New Roman"/>
                <w:color w:val="000000"/>
              </w:rPr>
            </w:pPr>
            <w:r w:rsidRPr="00AC6D57">
              <w:rPr>
                <w:rFonts w:ascii="Calibri" w:eastAsia="Times New Roman" w:hAnsi="Calibri" w:cs="Times New Roman"/>
                <w:color w:val="000000"/>
              </w:rPr>
              <w:t>EPs must attest YES to successfully submitting specific case informati</w:t>
            </w:r>
            <w:r>
              <w:rPr>
                <w:rFonts w:ascii="Calibri" w:eastAsia="Times New Roman" w:hAnsi="Calibri" w:cs="Times New Roman"/>
                <w:color w:val="000000"/>
              </w:rPr>
              <w:t xml:space="preserve">on from CEHRT to a specialized </w:t>
            </w:r>
            <w:r w:rsidRPr="00AC6D57">
              <w:rPr>
                <w:rFonts w:ascii="Calibri" w:eastAsia="Times New Roman" w:hAnsi="Calibri" w:cs="Times New Roman"/>
                <w:color w:val="000000"/>
              </w:rPr>
              <w:t>registry for the entire reporting period to meet this measure.</w:t>
            </w:r>
          </w:p>
          <w:p w:rsidR="00AC6D57" w:rsidRPr="00AC6D57" w:rsidRDefault="00AC6D57" w:rsidP="00AC6D57">
            <w:pPr>
              <w:pStyle w:val="ListParagraph"/>
              <w:numPr>
                <w:ilvl w:val="0"/>
                <w:numId w:val="19"/>
              </w:numPr>
              <w:rPr>
                <w:rFonts w:ascii="Calibri" w:eastAsia="Times New Roman" w:hAnsi="Calibri" w:cs="Times New Roman"/>
                <w:color w:val="000000"/>
              </w:rPr>
            </w:pPr>
            <w:r w:rsidRPr="00AC6D57">
              <w:rPr>
                <w:rFonts w:ascii="Calibri" w:eastAsia="Times New Roman" w:hAnsi="Calibri" w:cs="Times New Roman"/>
                <w:color w:val="000000"/>
              </w:rPr>
              <w:t xml:space="preserve">Ongoing submission was already achieved for an EHR reporting period in a prior year and continues throughout the current EHR reporting period. </w:t>
            </w:r>
          </w:p>
          <w:p w:rsidR="00AC6D57" w:rsidRPr="00AC6D57" w:rsidRDefault="00AC6D57" w:rsidP="00AC6D57">
            <w:pPr>
              <w:pStyle w:val="ListParagraph"/>
              <w:numPr>
                <w:ilvl w:val="0"/>
                <w:numId w:val="19"/>
              </w:numPr>
              <w:rPr>
                <w:rFonts w:ascii="Calibri" w:eastAsia="Times New Roman" w:hAnsi="Calibri" w:cs="Times New Roman"/>
                <w:color w:val="000000"/>
              </w:rPr>
            </w:pPr>
            <w:r w:rsidRPr="00AC6D57">
              <w:rPr>
                <w:rFonts w:ascii="Calibri" w:eastAsia="Times New Roman" w:hAnsi="Calibri" w:cs="Times New Roman"/>
                <w:color w:val="000000"/>
              </w:rPr>
              <w:t xml:space="preserve">Registration with the PHA or other body to whom the information is being submitted of intent to initiate ongoing submission was made by the deadline (within 60 days of the start of the EHR reporting period) and ongoing submission was achieved. </w:t>
            </w:r>
          </w:p>
          <w:p w:rsidR="00AC6D57" w:rsidRPr="00AC6D57" w:rsidRDefault="00AC6D57" w:rsidP="00AC6D57">
            <w:pPr>
              <w:pStyle w:val="ListParagraph"/>
              <w:numPr>
                <w:ilvl w:val="0"/>
                <w:numId w:val="19"/>
              </w:numPr>
              <w:rPr>
                <w:rFonts w:ascii="Calibri" w:eastAsia="Times New Roman" w:hAnsi="Calibri" w:cs="Times New Roman"/>
                <w:color w:val="000000"/>
              </w:rPr>
            </w:pPr>
            <w:r w:rsidRPr="00AC6D57">
              <w:rPr>
                <w:rFonts w:ascii="Calibri" w:eastAsia="Times New Roman" w:hAnsi="Calibri" w:cs="Times New Roman"/>
                <w:color w:val="000000"/>
              </w:rPr>
              <w:t>Registration of intent to initiate ongoing submission was made by the deadline and the EP or hospital is still engaged in testing and validation of ongoing electronic submission.</w:t>
            </w:r>
          </w:p>
          <w:p w:rsidR="00AC6D57" w:rsidRPr="00AC6D57" w:rsidRDefault="00AC6D57" w:rsidP="00AC6D57">
            <w:pPr>
              <w:pStyle w:val="ListParagraph"/>
              <w:numPr>
                <w:ilvl w:val="0"/>
                <w:numId w:val="19"/>
              </w:numPr>
              <w:rPr>
                <w:rFonts w:ascii="Calibri" w:eastAsia="Times New Roman" w:hAnsi="Calibri" w:cs="Times New Roman"/>
                <w:color w:val="000000"/>
              </w:rPr>
            </w:pPr>
            <w:r w:rsidRPr="00AC6D57">
              <w:rPr>
                <w:rFonts w:ascii="Calibri" w:eastAsia="Times New Roman" w:hAnsi="Calibri" w:cs="Times New Roman"/>
                <w:color w:val="000000"/>
              </w:rPr>
              <w:t>Registration of intent to initiate ongoing submission was made by the deadline and the EP or hospital is awaiting invitation to begin testing and validation.</w:t>
            </w:r>
          </w:p>
        </w:tc>
      </w:tr>
      <w:tr w:rsidR="00AC6D57" w:rsidRPr="00244863" w:rsidTr="00980B03">
        <w:trPr>
          <w:trHeight w:val="300"/>
        </w:trPr>
        <w:tc>
          <w:tcPr>
            <w:tcW w:w="1435" w:type="dxa"/>
            <w:vMerge/>
            <w:tcBorders>
              <w:top w:val="nil"/>
              <w:left w:val="single" w:sz="4" w:space="0" w:color="auto"/>
              <w:bottom w:val="single" w:sz="4" w:space="0" w:color="000000"/>
              <w:right w:val="nil"/>
            </w:tcBorders>
            <w:vAlign w:val="center"/>
            <w:hideMark/>
          </w:tcPr>
          <w:p w:rsidR="00AC6D57" w:rsidRPr="00244863" w:rsidRDefault="00AC6D57"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AC6D57" w:rsidRPr="00244863" w:rsidRDefault="00AC6D57" w:rsidP="00980B03">
            <w:pPr>
              <w:rPr>
                <w:rFonts w:ascii="Calibri" w:eastAsia="Times New Roman" w:hAnsi="Calibri" w:cs="Times New Roman"/>
                <w:color w:val="000000"/>
              </w:rPr>
            </w:pPr>
          </w:p>
        </w:tc>
      </w:tr>
      <w:tr w:rsidR="00AC6D57" w:rsidRPr="00244863" w:rsidTr="00980B03">
        <w:trPr>
          <w:trHeight w:val="300"/>
        </w:trPr>
        <w:tc>
          <w:tcPr>
            <w:tcW w:w="1435" w:type="dxa"/>
            <w:vMerge/>
            <w:tcBorders>
              <w:top w:val="nil"/>
              <w:left w:val="single" w:sz="4" w:space="0" w:color="auto"/>
              <w:bottom w:val="single" w:sz="4" w:space="0" w:color="000000"/>
              <w:right w:val="nil"/>
            </w:tcBorders>
            <w:vAlign w:val="center"/>
            <w:hideMark/>
          </w:tcPr>
          <w:p w:rsidR="00AC6D57" w:rsidRPr="00244863" w:rsidRDefault="00AC6D57" w:rsidP="00980B03">
            <w:pPr>
              <w:rPr>
                <w:rFonts w:ascii="Calibri" w:eastAsia="Times New Roman" w:hAnsi="Calibri" w:cs="Times New Roman"/>
                <w:b/>
                <w:bCs/>
                <w:color w:val="FFFFFF"/>
              </w:rPr>
            </w:pPr>
          </w:p>
        </w:tc>
        <w:tc>
          <w:tcPr>
            <w:tcW w:w="9380" w:type="dxa"/>
            <w:vMerge/>
            <w:tcBorders>
              <w:top w:val="single" w:sz="4" w:space="0" w:color="auto"/>
              <w:left w:val="nil"/>
              <w:bottom w:val="single" w:sz="4" w:space="0" w:color="000000"/>
              <w:right w:val="single" w:sz="4" w:space="0" w:color="000000"/>
            </w:tcBorders>
            <w:vAlign w:val="center"/>
            <w:hideMark/>
          </w:tcPr>
          <w:p w:rsidR="00AC6D57" w:rsidRPr="00244863" w:rsidRDefault="00AC6D57" w:rsidP="00980B03">
            <w:pPr>
              <w:rPr>
                <w:rFonts w:ascii="Calibri" w:eastAsia="Times New Roman" w:hAnsi="Calibri" w:cs="Times New Roman"/>
                <w:color w:val="000000"/>
              </w:rPr>
            </w:pPr>
          </w:p>
        </w:tc>
      </w:tr>
    </w:tbl>
    <w:p w:rsidR="00BC448E" w:rsidRDefault="00BC448E" w:rsidP="00F56E7A"/>
    <w:p w:rsidR="00AC6D57" w:rsidRDefault="00AC6D57">
      <w:pPr>
        <w:rPr>
          <w:rFonts w:eastAsia="Times New Roman" w:cstheme="majorBidi"/>
          <w:b/>
          <w:bCs/>
          <w:sz w:val="28"/>
        </w:rPr>
      </w:pPr>
      <w:r>
        <w:rPr>
          <w:rFonts w:eastAsia="Times New Roman"/>
        </w:rPr>
        <w:br w:type="page"/>
      </w:r>
    </w:p>
    <w:p w:rsidR="00107CAC" w:rsidRPr="009F3C18" w:rsidRDefault="00107CAC" w:rsidP="00107CAC">
      <w:pPr>
        <w:pStyle w:val="Heading3"/>
      </w:pPr>
      <w:bookmarkStart w:id="117" w:name="_Toc390171225"/>
      <w:r>
        <w:rPr>
          <w:rFonts w:eastAsia="Times New Roman"/>
        </w:rPr>
        <w:t>Report Specific Cases</w:t>
      </w:r>
      <w:r w:rsidRPr="009F3C18">
        <w:t>: Explanation of Measure</w:t>
      </w:r>
      <w:bookmarkEnd w:id="117"/>
    </w:p>
    <w:p w:rsidR="00107CAC" w:rsidRDefault="00107CAC" w:rsidP="00107CAC">
      <w:pPr>
        <w:rPr>
          <w:b/>
        </w:rPr>
      </w:pPr>
    </w:p>
    <w:p w:rsidR="00107CAC" w:rsidRDefault="00107CAC" w:rsidP="00107CAC">
      <w:r>
        <w:t>This measure does not have a numerator, denominator or reporting threshold. Instead, it is a Yes/No attestation by the EP. This means that there is nothing to track within the CEHRT as far as reporting specific numbers. Instead, the EP is supposed to have performed the work outside of the CEHRT and attest that the work had been done.</w:t>
      </w:r>
    </w:p>
    <w:p w:rsidR="00107CAC" w:rsidRDefault="00107CAC" w:rsidP="00107CAC"/>
    <w:p w:rsidR="00107CAC" w:rsidRDefault="00107CAC" w:rsidP="00107CAC">
      <w:r>
        <w:t xml:space="preserve">In the case of this measure, the EP is required to </w:t>
      </w:r>
      <w:r w:rsidRPr="000F1A35">
        <w:rPr>
          <w:rFonts w:ascii="Calibri" w:eastAsia="Times New Roman" w:hAnsi="Calibri" w:cs="Times New Roman"/>
          <w:color w:val="000000"/>
        </w:rPr>
        <w:t xml:space="preserve">report </w:t>
      </w:r>
      <w:r w:rsidRPr="00107CAC">
        <w:rPr>
          <w:rFonts w:ascii="Calibri" w:eastAsia="Times New Roman" w:hAnsi="Calibri" w:cs="Times New Roman"/>
          <w:color w:val="000000"/>
        </w:rPr>
        <w:t>specific cases to a specialized registry</w:t>
      </w:r>
      <w:r>
        <w:t xml:space="preserve">. Due to the fact that Behavioral Health EP’s do not </w:t>
      </w:r>
      <w:r w:rsidRPr="00107CAC">
        <w:rPr>
          <w:rFonts w:ascii="Calibri" w:eastAsia="Times New Roman" w:hAnsi="Calibri" w:cs="Times New Roman"/>
          <w:color w:val="000000"/>
        </w:rPr>
        <w:t>diagnose or directly treat</w:t>
      </w:r>
      <w:r>
        <w:rPr>
          <w:rFonts w:ascii="Calibri" w:eastAsia="Times New Roman" w:hAnsi="Calibri" w:cs="Times New Roman"/>
          <w:color w:val="000000"/>
        </w:rPr>
        <w:t xml:space="preserve"> any disease associated with a </w:t>
      </w:r>
      <w:r w:rsidRPr="00107CAC">
        <w:rPr>
          <w:rFonts w:ascii="Calibri" w:eastAsia="Times New Roman" w:hAnsi="Calibri" w:cs="Times New Roman"/>
          <w:color w:val="000000"/>
        </w:rPr>
        <w:t>specialized registry sponsored by a national spec</w:t>
      </w:r>
      <w:r>
        <w:rPr>
          <w:rFonts w:ascii="Calibri" w:eastAsia="Times New Roman" w:hAnsi="Calibri" w:cs="Times New Roman"/>
          <w:color w:val="000000"/>
        </w:rPr>
        <w:t>ialty society</w:t>
      </w:r>
      <w:r>
        <w:t>, this measure is one that we expect all EP’s of the Valant Premium Psychiatrist Suite exclude out during their reporting.</w:t>
      </w:r>
    </w:p>
    <w:p w:rsidR="00107CAC" w:rsidRDefault="00107CAC" w:rsidP="00107CAC"/>
    <w:p w:rsidR="00BA245D" w:rsidRDefault="00107CAC">
      <w:r>
        <w:t xml:space="preserve">Since the </w:t>
      </w:r>
      <w:r>
        <w:rPr>
          <w:rFonts w:ascii="Calibri" w:eastAsia="Times New Roman" w:hAnsi="Calibri" w:cs="Times New Roman"/>
          <w:color w:val="000000"/>
        </w:rPr>
        <w:t>diagnosing or treatment of diseases</w:t>
      </w:r>
      <w:r w:rsidRPr="00107CAC">
        <w:rPr>
          <w:rFonts w:ascii="Calibri" w:eastAsia="Times New Roman" w:hAnsi="Calibri" w:cs="Times New Roman"/>
          <w:color w:val="000000"/>
        </w:rPr>
        <w:t xml:space="preserve"> </w:t>
      </w:r>
      <w:r>
        <w:rPr>
          <w:rFonts w:ascii="Calibri" w:eastAsia="Times New Roman" w:hAnsi="Calibri" w:cs="Times New Roman"/>
          <w:color w:val="000000"/>
        </w:rPr>
        <w:t xml:space="preserve">associated with a </w:t>
      </w:r>
      <w:r w:rsidRPr="00107CAC">
        <w:rPr>
          <w:rFonts w:ascii="Calibri" w:eastAsia="Times New Roman" w:hAnsi="Calibri" w:cs="Times New Roman"/>
          <w:color w:val="000000"/>
        </w:rPr>
        <w:t>specialized registry sponsored by a national spec</w:t>
      </w:r>
      <w:r>
        <w:rPr>
          <w:rFonts w:ascii="Calibri" w:eastAsia="Times New Roman" w:hAnsi="Calibri" w:cs="Times New Roman"/>
          <w:color w:val="000000"/>
        </w:rPr>
        <w:t>ialty society</w:t>
      </w:r>
      <w:r w:rsidRPr="00561D11">
        <w:rPr>
          <w:rFonts w:ascii="Calibri" w:eastAsia="Times New Roman" w:hAnsi="Calibri" w:cs="Times New Roman"/>
          <w:color w:val="000000"/>
        </w:rPr>
        <w:t xml:space="preserve"> </w:t>
      </w:r>
      <w:r>
        <w:t>is outside the scope of Behavioral Health, this measure was deemed outside of the scope of the Valant Premium Psychiatrist Suite. As a result, this measure is excluded from the certification of the Valant Premium Psychiatrist Suite for the 2014 CEHRT.</w:t>
      </w:r>
    </w:p>
    <w:sectPr w:rsidR="00BA245D" w:rsidSect="00CA1AD3">
      <w:footerReference w:type="default" r:id="rId115"/>
      <w:pgSz w:w="12240" w:h="15840"/>
      <w:pgMar w:top="720" w:right="720" w:bottom="720" w:left="720" w:header="720" w:footer="720" w:gutter="0"/>
      <w:pgNumType w:chapStyle="2" w:chapSep="colo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313" w:rsidRDefault="00410313" w:rsidP="00CA1AD3">
      <w:r>
        <w:separator/>
      </w:r>
    </w:p>
  </w:endnote>
  <w:endnote w:type="continuationSeparator" w:id="0">
    <w:p w:rsidR="00410313" w:rsidRDefault="00410313" w:rsidP="00CA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61" w:rsidRDefault="007C4B61" w:rsidP="00CA1AD3">
    <w:pPr>
      <w:pStyle w:val="Footer"/>
    </w:pPr>
  </w:p>
  <w:p w:rsidR="007C4B61" w:rsidRPr="00CA1AD3" w:rsidRDefault="007C4B61" w:rsidP="00A235DA">
    <w:pPr>
      <w:pStyle w:val="Footer"/>
      <w:jc w:val="right"/>
    </w:pPr>
    <w:r>
      <w:t xml:space="preserve">Page </w:t>
    </w:r>
    <w:r>
      <w:fldChar w:fldCharType="begin"/>
    </w:r>
    <w:r>
      <w:instrText xml:space="preserve"> PAGE   \* MERGEFORMAT </w:instrText>
    </w:r>
    <w:r>
      <w:fldChar w:fldCharType="separate"/>
    </w:r>
    <w:r w:rsidR="00935652">
      <w:rPr>
        <w:noProof/>
      </w:rPr>
      <w:t>1</w:t>
    </w:r>
    <w:r>
      <w:fldChar w:fldCharType="end"/>
    </w:r>
    <w:r>
      <w:t xml:space="preserve"> of </w:t>
    </w:r>
    <w:fldSimple w:instr=" NUMPAGES   \* MERGEFORMAT ">
      <w:r w:rsidR="00935652">
        <w:rPr>
          <w:noProof/>
        </w:rPr>
        <w:t>12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313" w:rsidRDefault="00410313" w:rsidP="00CA1AD3">
      <w:r>
        <w:separator/>
      </w:r>
    </w:p>
  </w:footnote>
  <w:footnote w:type="continuationSeparator" w:id="0">
    <w:p w:rsidR="00410313" w:rsidRDefault="00410313" w:rsidP="00CA1A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7D2"/>
    <w:multiLevelType w:val="hybridMultilevel"/>
    <w:tmpl w:val="1818B5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71A50"/>
    <w:multiLevelType w:val="hybridMultilevel"/>
    <w:tmpl w:val="3C48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E5DCA"/>
    <w:multiLevelType w:val="hybridMultilevel"/>
    <w:tmpl w:val="A148B6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70E66"/>
    <w:multiLevelType w:val="hybridMultilevel"/>
    <w:tmpl w:val="98CC4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B044B"/>
    <w:multiLevelType w:val="hybridMultilevel"/>
    <w:tmpl w:val="C0DC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E3FB0"/>
    <w:multiLevelType w:val="hybridMultilevel"/>
    <w:tmpl w:val="FC1C77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B56B0"/>
    <w:multiLevelType w:val="hybridMultilevel"/>
    <w:tmpl w:val="EF1A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70212"/>
    <w:multiLevelType w:val="hybridMultilevel"/>
    <w:tmpl w:val="990A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DB59F7"/>
    <w:multiLevelType w:val="hybridMultilevel"/>
    <w:tmpl w:val="708C2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DE1034"/>
    <w:multiLevelType w:val="hybridMultilevel"/>
    <w:tmpl w:val="D0EA5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C628E"/>
    <w:multiLevelType w:val="hybridMultilevel"/>
    <w:tmpl w:val="2D7E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29370B"/>
    <w:multiLevelType w:val="hybridMultilevel"/>
    <w:tmpl w:val="CBCCD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2220B"/>
    <w:multiLevelType w:val="hybridMultilevel"/>
    <w:tmpl w:val="1206A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FA3042"/>
    <w:multiLevelType w:val="hybridMultilevel"/>
    <w:tmpl w:val="2438F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143845"/>
    <w:multiLevelType w:val="hybridMultilevel"/>
    <w:tmpl w:val="CBB8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914842"/>
    <w:multiLevelType w:val="hybridMultilevel"/>
    <w:tmpl w:val="83DAD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876196"/>
    <w:multiLevelType w:val="hybridMultilevel"/>
    <w:tmpl w:val="F4A4E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9AA107E"/>
    <w:multiLevelType w:val="hybridMultilevel"/>
    <w:tmpl w:val="E3AA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DA46D3"/>
    <w:multiLevelType w:val="hybridMultilevel"/>
    <w:tmpl w:val="5F8CF0BE"/>
    <w:lvl w:ilvl="0" w:tplc="02444F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E4777E"/>
    <w:multiLevelType w:val="hybridMultilevel"/>
    <w:tmpl w:val="BFBC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842AF1"/>
    <w:multiLevelType w:val="hybridMultilevel"/>
    <w:tmpl w:val="29CC0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512647"/>
    <w:multiLevelType w:val="hybridMultilevel"/>
    <w:tmpl w:val="708631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D42330"/>
    <w:multiLevelType w:val="hybridMultilevel"/>
    <w:tmpl w:val="2B248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5E5F71"/>
    <w:multiLevelType w:val="hybridMultilevel"/>
    <w:tmpl w:val="88FA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8854DE"/>
    <w:multiLevelType w:val="hybridMultilevel"/>
    <w:tmpl w:val="2C2E6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4"/>
  </w:num>
  <w:num w:numId="4">
    <w:abstractNumId w:val="16"/>
  </w:num>
  <w:num w:numId="5">
    <w:abstractNumId w:val="22"/>
  </w:num>
  <w:num w:numId="6">
    <w:abstractNumId w:val="8"/>
  </w:num>
  <w:num w:numId="7">
    <w:abstractNumId w:val="1"/>
  </w:num>
  <w:num w:numId="8">
    <w:abstractNumId w:val="2"/>
  </w:num>
  <w:num w:numId="9">
    <w:abstractNumId w:val="18"/>
  </w:num>
  <w:num w:numId="10">
    <w:abstractNumId w:val="5"/>
  </w:num>
  <w:num w:numId="11">
    <w:abstractNumId w:val="12"/>
  </w:num>
  <w:num w:numId="12">
    <w:abstractNumId w:val="10"/>
  </w:num>
  <w:num w:numId="13">
    <w:abstractNumId w:val="11"/>
  </w:num>
  <w:num w:numId="14">
    <w:abstractNumId w:val="20"/>
  </w:num>
  <w:num w:numId="15">
    <w:abstractNumId w:val="21"/>
  </w:num>
  <w:num w:numId="16">
    <w:abstractNumId w:val="24"/>
  </w:num>
  <w:num w:numId="17">
    <w:abstractNumId w:val="13"/>
  </w:num>
  <w:num w:numId="18">
    <w:abstractNumId w:val="0"/>
  </w:num>
  <w:num w:numId="19">
    <w:abstractNumId w:val="19"/>
  </w:num>
  <w:num w:numId="20">
    <w:abstractNumId w:val="14"/>
  </w:num>
  <w:num w:numId="21">
    <w:abstractNumId w:val="6"/>
  </w:num>
  <w:num w:numId="22">
    <w:abstractNumId w:val="9"/>
  </w:num>
  <w:num w:numId="23">
    <w:abstractNumId w:val="3"/>
  </w:num>
  <w:num w:numId="24">
    <w:abstractNumId w:val="1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5D"/>
    <w:rsid w:val="00000572"/>
    <w:rsid w:val="0000453B"/>
    <w:rsid w:val="00005767"/>
    <w:rsid w:val="00017B20"/>
    <w:rsid w:val="000254A9"/>
    <w:rsid w:val="00034A20"/>
    <w:rsid w:val="00036856"/>
    <w:rsid w:val="000378C8"/>
    <w:rsid w:val="00042406"/>
    <w:rsid w:val="00043618"/>
    <w:rsid w:val="00044173"/>
    <w:rsid w:val="00057CAD"/>
    <w:rsid w:val="00060B70"/>
    <w:rsid w:val="00064E87"/>
    <w:rsid w:val="000737D6"/>
    <w:rsid w:val="00075D9B"/>
    <w:rsid w:val="0008024B"/>
    <w:rsid w:val="00082F72"/>
    <w:rsid w:val="000836DB"/>
    <w:rsid w:val="000917C8"/>
    <w:rsid w:val="00095B6C"/>
    <w:rsid w:val="00096EA8"/>
    <w:rsid w:val="000A24D2"/>
    <w:rsid w:val="000B7113"/>
    <w:rsid w:val="000C0704"/>
    <w:rsid w:val="000C1149"/>
    <w:rsid w:val="000C142C"/>
    <w:rsid w:val="000C22FF"/>
    <w:rsid w:val="000D7BCF"/>
    <w:rsid w:val="000D7DFB"/>
    <w:rsid w:val="000E086C"/>
    <w:rsid w:val="000E1BCC"/>
    <w:rsid w:val="000F1A35"/>
    <w:rsid w:val="00107CAC"/>
    <w:rsid w:val="00136D9D"/>
    <w:rsid w:val="00140848"/>
    <w:rsid w:val="00140E2C"/>
    <w:rsid w:val="00144823"/>
    <w:rsid w:val="00145F69"/>
    <w:rsid w:val="00154059"/>
    <w:rsid w:val="0016069A"/>
    <w:rsid w:val="00160764"/>
    <w:rsid w:val="001607F4"/>
    <w:rsid w:val="00162DD0"/>
    <w:rsid w:val="001640DF"/>
    <w:rsid w:val="001673FC"/>
    <w:rsid w:val="0016769F"/>
    <w:rsid w:val="00171BDF"/>
    <w:rsid w:val="001804C9"/>
    <w:rsid w:val="001A41B4"/>
    <w:rsid w:val="001A51EC"/>
    <w:rsid w:val="001A5948"/>
    <w:rsid w:val="001A5EBD"/>
    <w:rsid w:val="001A73BF"/>
    <w:rsid w:val="001B7500"/>
    <w:rsid w:val="001D7875"/>
    <w:rsid w:val="001D78E1"/>
    <w:rsid w:val="001E03C8"/>
    <w:rsid w:val="001E2720"/>
    <w:rsid w:val="001E28D0"/>
    <w:rsid w:val="001E33B1"/>
    <w:rsid w:val="001E7DAF"/>
    <w:rsid w:val="002077B1"/>
    <w:rsid w:val="002132A9"/>
    <w:rsid w:val="00213647"/>
    <w:rsid w:val="0023327A"/>
    <w:rsid w:val="00235859"/>
    <w:rsid w:val="00244863"/>
    <w:rsid w:val="00253079"/>
    <w:rsid w:val="002658B0"/>
    <w:rsid w:val="00270D8A"/>
    <w:rsid w:val="002849A6"/>
    <w:rsid w:val="002938D1"/>
    <w:rsid w:val="002A1C65"/>
    <w:rsid w:val="002A65FE"/>
    <w:rsid w:val="002B10D7"/>
    <w:rsid w:val="002C0E5F"/>
    <w:rsid w:val="002C1700"/>
    <w:rsid w:val="002C401D"/>
    <w:rsid w:val="002C49CB"/>
    <w:rsid w:val="002C66F1"/>
    <w:rsid w:val="002E1A49"/>
    <w:rsid w:val="002E4AAB"/>
    <w:rsid w:val="002E50CC"/>
    <w:rsid w:val="002F15CA"/>
    <w:rsid w:val="002F4B59"/>
    <w:rsid w:val="002F7575"/>
    <w:rsid w:val="00300A9B"/>
    <w:rsid w:val="003046FA"/>
    <w:rsid w:val="00310773"/>
    <w:rsid w:val="00315927"/>
    <w:rsid w:val="003246E3"/>
    <w:rsid w:val="00334107"/>
    <w:rsid w:val="00350184"/>
    <w:rsid w:val="00353792"/>
    <w:rsid w:val="00354FAC"/>
    <w:rsid w:val="0036592F"/>
    <w:rsid w:val="00367C5C"/>
    <w:rsid w:val="00373FAD"/>
    <w:rsid w:val="00376EA1"/>
    <w:rsid w:val="00381149"/>
    <w:rsid w:val="003922AE"/>
    <w:rsid w:val="00393EDE"/>
    <w:rsid w:val="003A1EC0"/>
    <w:rsid w:val="003A44ED"/>
    <w:rsid w:val="003A4879"/>
    <w:rsid w:val="003B6554"/>
    <w:rsid w:val="003C5D76"/>
    <w:rsid w:val="003C6532"/>
    <w:rsid w:val="003D076F"/>
    <w:rsid w:val="003D5CE0"/>
    <w:rsid w:val="003D6688"/>
    <w:rsid w:val="003E7C95"/>
    <w:rsid w:val="003F10D3"/>
    <w:rsid w:val="003F2255"/>
    <w:rsid w:val="003F6B26"/>
    <w:rsid w:val="00402570"/>
    <w:rsid w:val="00410313"/>
    <w:rsid w:val="00412666"/>
    <w:rsid w:val="004143B8"/>
    <w:rsid w:val="00416D92"/>
    <w:rsid w:val="00424522"/>
    <w:rsid w:val="00436E9E"/>
    <w:rsid w:val="0044045C"/>
    <w:rsid w:val="00450833"/>
    <w:rsid w:val="0045419F"/>
    <w:rsid w:val="00454C06"/>
    <w:rsid w:val="004736F7"/>
    <w:rsid w:val="00473E01"/>
    <w:rsid w:val="004867B8"/>
    <w:rsid w:val="00487787"/>
    <w:rsid w:val="00490AF2"/>
    <w:rsid w:val="004A12B5"/>
    <w:rsid w:val="004A19E9"/>
    <w:rsid w:val="004A2506"/>
    <w:rsid w:val="004A3CDF"/>
    <w:rsid w:val="004A41A2"/>
    <w:rsid w:val="004A5D3E"/>
    <w:rsid w:val="004B07BE"/>
    <w:rsid w:val="004B0832"/>
    <w:rsid w:val="004D0776"/>
    <w:rsid w:val="004E1F84"/>
    <w:rsid w:val="004E3CB3"/>
    <w:rsid w:val="004F3ECC"/>
    <w:rsid w:val="004F555D"/>
    <w:rsid w:val="004F56ED"/>
    <w:rsid w:val="004F7433"/>
    <w:rsid w:val="00505B1C"/>
    <w:rsid w:val="005142D7"/>
    <w:rsid w:val="00547EF0"/>
    <w:rsid w:val="00556A0A"/>
    <w:rsid w:val="00561D11"/>
    <w:rsid w:val="00566003"/>
    <w:rsid w:val="00566BC1"/>
    <w:rsid w:val="0058081F"/>
    <w:rsid w:val="005834B8"/>
    <w:rsid w:val="0058367B"/>
    <w:rsid w:val="00587BEB"/>
    <w:rsid w:val="00594106"/>
    <w:rsid w:val="0059707F"/>
    <w:rsid w:val="005A4D30"/>
    <w:rsid w:val="005C38F8"/>
    <w:rsid w:val="005D094E"/>
    <w:rsid w:val="005D511B"/>
    <w:rsid w:val="005E28A0"/>
    <w:rsid w:val="005E6F86"/>
    <w:rsid w:val="00605E0A"/>
    <w:rsid w:val="00607BE8"/>
    <w:rsid w:val="006112D5"/>
    <w:rsid w:val="00620D28"/>
    <w:rsid w:val="006249C0"/>
    <w:rsid w:val="0062653A"/>
    <w:rsid w:val="0063104E"/>
    <w:rsid w:val="00631387"/>
    <w:rsid w:val="00633D91"/>
    <w:rsid w:val="00635AD4"/>
    <w:rsid w:val="006361D8"/>
    <w:rsid w:val="00641B4A"/>
    <w:rsid w:val="00651B15"/>
    <w:rsid w:val="00651D4F"/>
    <w:rsid w:val="00653D4A"/>
    <w:rsid w:val="00656CD6"/>
    <w:rsid w:val="0066139F"/>
    <w:rsid w:val="00663D5A"/>
    <w:rsid w:val="00670BC2"/>
    <w:rsid w:val="00672E67"/>
    <w:rsid w:val="006752B4"/>
    <w:rsid w:val="00675D7F"/>
    <w:rsid w:val="00680A2A"/>
    <w:rsid w:val="0069767E"/>
    <w:rsid w:val="006A0E88"/>
    <w:rsid w:val="006A5AA9"/>
    <w:rsid w:val="006A734A"/>
    <w:rsid w:val="006B28CE"/>
    <w:rsid w:val="006C1349"/>
    <w:rsid w:val="006C1A6D"/>
    <w:rsid w:val="006C32E0"/>
    <w:rsid w:val="006C6EC0"/>
    <w:rsid w:val="006D2F18"/>
    <w:rsid w:val="006D54FF"/>
    <w:rsid w:val="006D5B03"/>
    <w:rsid w:val="006E1B33"/>
    <w:rsid w:val="006E4792"/>
    <w:rsid w:val="006F3743"/>
    <w:rsid w:val="00702C24"/>
    <w:rsid w:val="0070401F"/>
    <w:rsid w:val="00707350"/>
    <w:rsid w:val="00713548"/>
    <w:rsid w:val="00720809"/>
    <w:rsid w:val="0072637E"/>
    <w:rsid w:val="00726852"/>
    <w:rsid w:val="0073581F"/>
    <w:rsid w:val="00745C44"/>
    <w:rsid w:val="00751A14"/>
    <w:rsid w:val="0075291C"/>
    <w:rsid w:val="0075430E"/>
    <w:rsid w:val="00770164"/>
    <w:rsid w:val="00775672"/>
    <w:rsid w:val="007761AC"/>
    <w:rsid w:val="007761B7"/>
    <w:rsid w:val="00777F7A"/>
    <w:rsid w:val="00783907"/>
    <w:rsid w:val="007877F4"/>
    <w:rsid w:val="007878EE"/>
    <w:rsid w:val="00790B1B"/>
    <w:rsid w:val="007930AB"/>
    <w:rsid w:val="007A12AD"/>
    <w:rsid w:val="007A2A57"/>
    <w:rsid w:val="007A7363"/>
    <w:rsid w:val="007A775E"/>
    <w:rsid w:val="007A779A"/>
    <w:rsid w:val="007C3873"/>
    <w:rsid w:val="007C4B61"/>
    <w:rsid w:val="007C61BD"/>
    <w:rsid w:val="007D035B"/>
    <w:rsid w:val="007D3E4F"/>
    <w:rsid w:val="007D4942"/>
    <w:rsid w:val="007E0B6B"/>
    <w:rsid w:val="007E59CC"/>
    <w:rsid w:val="007E7AC3"/>
    <w:rsid w:val="00802BEA"/>
    <w:rsid w:val="00813CD9"/>
    <w:rsid w:val="00817B7B"/>
    <w:rsid w:val="00820A70"/>
    <w:rsid w:val="00820E81"/>
    <w:rsid w:val="008215A5"/>
    <w:rsid w:val="00821F41"/>
    <w:rsid w:val="00831012"/>
    <w:rsid w:val="00832253"/>
    <w:rsid w:val="00833CE7"/>
    <w:rsid w:val="00835F92"/>
    <w:rsid w:val="00837EAE"/>
    <w:rsid w:val="008538C5"/>
    <w:rsid w:val="00857FA5"/>
    <w:rsid w:val="0086561C"/>
    <w:rsid w:val="008672B8"/>
    <w:rsid w:val="00867DDA"/>
    <w:rsid w:val="008829E7"/>
    <w:rsid w:val="008971C8"/>
    <w:rsid w:val="008A01E7"/>
    <w:rsid w:val="008A1652"/>
    <w:rsid w:val="008A393A"/>
    <w:rsid w:val="008A5207"/>
    <w:rsid w:val="008B51F5"/>
    <w:rsid w:val="008B6BCC"/>
    <w:rsid w:val="008D3D1A"/>
    <w:rsid w:val="008E397D"/>
    <w:rsid w:val="008F1583"/>
    <w:rsid w:val="008F5E26"/>
    <w:rsid w:val="00905933"/>
    <w:rsid w:val="00905FD4"/>
    <w:rsid w:val="00906272"/>
    <w:rsid w:val="0090691A"/>
    <w:rsid w:val="009160C9"/>
    <w:rsid w:val="00921C0E"/>
    <w:rsid w:val="00935652"/>
    <w:rsid w:val="0094303E"/>
    <w:rsid w:val="0094450A"/>
    <w:rsid w:val="00944E79"/>
    <w:rsid w:val="00951F30"/>
    <w:rsid w:val="00953556"/>
    <w:rsid w:val="009768D7"/>
    <w:rsid w:val="00980B03"/>
    <w:rsid w:val="00984586"/>
    <w:rsid w:val="009B08DF"/>
    <w:rsid w:val="009B3475"/>
    <w:rsid w:val="009B430B"/>
    <w:rsid w:val="009C005F"/>
    <w:rsid w:val="009C62D9"/>
    <w:rsid w:val="009C6DE5"/>
    <w:rsid w:val="009C7A25"/>
    <w:rsid w:val="009D2905"/>
    <w:rsid w:val="009D61E1"/>
    <w:rsid w:val="009D794C"/>
    <w:rsid w:val="009E2661"/>
    <w:rsid w:val="009E5746"/>
    <w:rsid w:val="009F3C18"/>
    <w:rsid w:val="009F59F9"/>
    <w:rsid w:val="009F6D31"/>
    <w:rsid w:val="00A028F7"/>
    <w:rsid w:val="00A15D47"/>
    <w:rsid w:val="00A20683"/>
    <w:rsid w:val="00A2168F"/>
    <w:rsid w:val="00A235DA"/>
    <w:rsid w:val="00A32795"/>
    <w:rsid w:val="00A3398E"/>
    <w:rsid w:val="00A34217"/>
    <w:rsid w:val="00A4007D"/>
    <w:rsid w:val="00A4459C"/>
    <w:rsid w:val="00A45120"/>
    <w:rsid w:val="00A46DF3"/>
    <w:rsid w:val="00A5230E"/>
    <w:rsid w:val="00A6090A"/>
    <w:rsid w:val="00A61B9A"/>
    <w:rsid w:val="00A66473"/>
    <w:rsid w:val="00A7006A"/>
    <w:rsid w:val="00A739F1"/>
    <w:rsid w:val="00A73C83"/>
    <w:rsid w:val="00A7593F"/>
    <w:rsid w:val="00A92B91"/>
    <w:rsid w:val="00AA3148"/>
    <w:rsid w:val="00AA5EBD"/>
    <w:rsid w:val="00AB1945"/>
    <w:rsid w:val="00AB505C"/>
    <w:rsid w:val="00AC04DE"/>
    <w:rsid w:val="00AC1850"/>
    <w:rsid w:val="00AC1866"/>
    <w:rsid w:val="00AC371B"/>
    <w:rsid w:val="00AC59CF"/>
    <w:rsid w:val="00AC6D57"/>
    <w:rsid w:val="00AD0C12"/>
    <w:rsid w:val="00AD6497"/>
    <w:rsid w:val="00AE3611"/>
    <w:rsid w:val="00AE7EFC"/>
    <w:rsid w:val="00AF2402"/>
    <w:rsid w:val="00AF4230"/>
    <w:rsid w:val="00AF64E5"/>
    <w:rsid w:val="00B0025D"/>
    <w:rsid w:val="00B00A3C"/>
    <w:rsid w:val="00B02F39"/>
    <w:rsid w:val="00B06190"/>
    <w:rsid w:val="00B11597"/>
    <w:rsid w:val="00B16040"/>
    <w:rsid w:val="00B31582"/>
    <w:rsid w:val="00B31733"/>
    <w:rsid w:val="00B342CA"/>
    <w:rsid w:val="00B36163"/>
    <w:rsid w:val="00B408D3"/>
    <w:rsid w:val="00B440FB"/>
    <w:rsid w:val="00B44754"/>
    <w:rsid w:val="00B45B75"/>
    <w:rsid w:val="00B46675"/>
    <w:rsid w:val="00B513C0"/>
    <w:rsid w:val="00B51CDC"/>
    <w:rsid w:val="00B53884"/>
    <w:rsid w:val="00B5533D"/>
    <w:rsid w:val="00B62595"/>
    <w:rsid w:val="00B6260A"/>
    <w:rsid w:val="00B823DD"/>
    <w:rsid w:val="00B84D53"/>
    <w:rsid w:val="00B85C07"/>
    <w:rsid w:val="00B85E28"/>
    <w:rsid w:val="00B93A9B"/>
    <w:rsid w:val="00BA12F1"/>
    <w:rsid w:val="00BA1601"/>
    <w:rsid w:val="00BA245D"/>
    <w:rsid w:val="00BA4426"/>
    <w:rsid w:val="00BA55C9"/>
    <w:rsid w:val="00BC448E"/>
    <w:rsid w:val="00BF26E0"/>
    <w:rsid w:val="00BF61F3"/>
    <w:rsid w:val="00C00BCD"/>
    <w:rsid w:val="00C100EC"/>
    <w:rsid w:val="00C233C4"/>
    <w:rsid w:val="00C25947"/>
    <w:rsid w:val="00C25CBB"/>
    <w:rsid w:val="00C263C3"/>
    <w:rsid w:val="00C26B76"/>
    <w:rsid w:val="00C32C25"/>
    <w:rsid w:val="00C339D6"/>
    <w:rsid w:val="00C376DA"/>
    <w:rsid w:val="00C41F5B"/>
    <w:rsid w:val="00C46D58"/>
    <w:rsid w:val="00C520B4"/>
    <w:rsid w:val="00C64B6D"/>
    <w:rsid w:val="00C64C61"/>
    <w:rsid w:val="00C67D13"/>
    <w:rsid w:val="00C70691"/>
    <w:rsid w:val="00C706E6"/>
    <w:rsid w:val="00C82B10"/>
    <w:rsid w:val="00C92062"/>
    <w:rsid w:val="00C93B5A"/>
    <w:rsid w:val="00CA1AD3"/>
    <w:rsid w:val="00CB0591"/>
    <w:rsid w:val="00CB1D59"/>
    <w:rsid w:val="00CB6279"/>
    <w:rsid w:val="00CC1967"/>
    <w:rsid w:val="00CC7D58"/>
    <w:rsid w:val="00CD3385"/>
    <w:rsid w:val="00CE4463"/>
    <w:rsid w:val="00CF0D11"/>
    <w:rsid w:val="00D04C45"/>
    <w:rsid w:val="00D2091A"/>
    <w:rsid w:val="00D20A53"/>
    <w:rsid w:val="00D268A7"/>
    <w:rsid w:val="00D2752D"/>
    <w:rsid w:val="00D33DAA"/>
    <w:rsid w:val="00D35C1C"/>
    <w:rsid w:val="00D36BD1"/>
    <w:rsid w:val="00D377DD"/>
    <w:rsid w:val="00D37923"/>
    <w:rsid w:val="00D450C7"/>
    <w:rsid w:val="00D467E3"/>
    <w:rsid w:val="00D5724A"/>
    <w:rsid w:val="00D74077"/>
    <w:rsid w:val="00D74C28"/>
    <w:rsid w:val="00D85E2F"/>
    <w:rsid w:val="00D93A57"/>
    <w:rsid w:val="00D9607B"/>
    <w:rsid w:val="00DA0921"/>
    <w:rsid w:val="00DA40A3"/>
    <w:rsid w:val="00DB1297"/>
    <w:rsid w:val="00DB3C28"/>
    <w:rsid w:val="00DB4A66"/>
    <w:rsid w:val="00DD5D08"/>
    <w:rsid w:val="00DD648E"/>
    <w:rsid w:val="00DE39B7"/>
    <w:rsid w:val="00DE4BC7"/>
    <w:rsid w:val="00DE5EF5"/>
    <w:rsid w:val="00DE7D49"/>
    <w:rsid w:val="00E21165"/>
    <w:rsid w:val="00E21D30"/>
    <w:rsid w:val="00E24F2B"/>
    <w:rsid w:val="00E30EE7"/>
    <w:rsid w:val="00E47F9F"/>
    <w:rsid w:val="00E73859"/>
    <w:rsid w:val="00E7403A"/>
    <w:rsid w:val="00E760E5"/>
    <w:rsid w:val="00E7657C"/>
    <w:rsid w:val="00E76D9E"/>
    <w:rsid w:val="00E81B41"/>
    <w:rsid w:val="00E8706D"/>
    <w:rsid w:val="00E87EFA"/>
    <w:rsid w:val="00E90F3E"/>
    <w:rsid w:val="00E95196"/>
    <w:rsid w:val="00E9565B"/>
    <w:rsid w:val="00E960BE"/>
    <w:rsid w:val="00EA6F58"/>
    <w:rsid w:val="00EB347F"/>
    <w:rsid w:val="00EB6172"/>
    <w:rsid w:val="00EC2FB3"/>
    <w:rsid w:val="00ED1776"/>
    <w:rsid w:val="00EE4CEB"/>
    <w:rsid w:val="00EE667F"/>
    <w:rsid w:val="00EE770C"/>
    <w:rsid w:val="00F11B40"/>
    <w:rsid w:val="00F16CCC"/>
    <w:rsid w:val="00F2557D"/>
    <w:rsid w:val="00F30C29"/>
    <w:rsid w:val="00F30DC7"/>
    <w:rsid w:val="00F31D9D"/>
    <w:rsid w:val="00F34573"/>
    <w:rsid w:val="00F43900"/>
    <w:rsid w:val="00F44F57"/>
    <w:rsid w:val="00F54C5A"/>
    <w:rsid w:val="00F56E7A"/>
    <w:rsid w:val="00F60CF0"/>
    <w:rsid w:val="00F62E66"/>
    <w:rsid w:val="00F634C7"/>
    <w:rsid w:val="00F64E05"/>
    <w:rsid w:val="00F81776"/>
    <w:rsid w:val="00F863BD"/>
    <w:rsid w:val="00F939A7"/>
    <w:rsid w:val="00F97709"/>
    <w:rsid w:val="00FA052C"/>
    <w:rsid w:val="00FA1670"/>
    <w:rsid w:val="00FC5F9D"/>
    <w:rsid w:val="00FE7309"/>
    <w:rsid w:val="00FF0761"/>
    <w:rsid w:val="00FF1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45D"/>
  </w:style>
  <w:style w:type="paragraph" w:styleId="Heading1">
    <w:name w:val="heading 1"/>
    <w:basedOn w:val="Normal"/>
    <w:next w:val="Normal"/>
    <w:link w:val="Heading1Char"/>
    <w:uiPriority w:val="9"/>
    <w:qFormat/>
    <w:rsid w:val="00FF1A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FF0761"/>
    <w:pPr>
      <w:keepNext/>
      <w:keepLines/>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B1945"/>
    <w:pPr>
      <w:keepNext/>
      <w:keepLines/>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B85C07"/>
    <w:pPr>
      <w:keepNext/>
      <w:keepLines/>
      <w:outlineLvl w:val="3"/>
    </w:pPr>
    <w:rPr>
      <w:rFonts w:eastAsiaTheme="majorEastAsia" w:cstheme="majorBidi"/>
      <w:b/>
      <w:bCs/>
      <w:iCs/>
      <w:u w:val="single"/>
    </w:rPr>
  </w:style>
  <w:style w:type="paragraph" w:styleId="Heading5">
    <w:name w:val="heading 5"/>
    <w:basedOn w:val="Normal"/>
    <w:next w:val="Normal"/>
    <w:link w:val="Heading5Char"/>
    <w:uiPriority w:val="9"/>
    <w:unhideWhenUsed/>
    <w:qFormat/>
    <w:rsid w:val="00B466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A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0761"/>
    <w:rPr>
      <w:rFonts w:eastAsiaTheme="majorEastAsia" w:cstheme="majorBidi"/>
      <w:b/>
      <w:bCs/>
      <w:sz w:val="32"/>
      <w:szCs w:val="26"/>
    </w:rPr>
  </w:style>
  <w:style w:type="character" w:customStyle="1" w:styleId="Heading3Char">
    <w:name w:val="Heading 3 Char"/>
    <w:basedOn w:val="DefaultParagraphFont"/>
    <w:link w:val="Heading3"/>
    <w:uiPriority w:val="9"/>
    <w:rsid w:val="00AB1945"/>
    <w:rPr>
      <w:rFonts w:eastAsiaTheme="majorEastAsia" w:cstheme="majorBidi"/>
      <w:b/>
      <w:bCs/>
      <w:sz w:val="28"/>
    </w:rPr>
  </w:style>
  <w:style w:type="character" w:customStyle="1" w:styleId="Heading4Char">
    <w:name w:val="Heading 4 Char"/>
    <w:basedOn w:val="DefaultParagraphFont"/>
    <w:link w:val="Heading4"/>
    <w:uiPriority w:val="9"/>
    <w:rsid w:val="00B85C07"/>
    <w:rPr>
      <w:rFonts w:eastAsiaTheme="majorEastAsia" w:cstheme="majorBidi"/>
      <w:b/>
      <w:bCs/>
      <w:iCs/>
      <w:u w:val="single"/>
    </w:rPr>
  </w:style>
  <w:style w:type="paragraph" w:styleId="BalloonText">
    <w:name w:val="Balloon Text"/>
    <w:basedOn w:val="Normal"/>
    <w:link w:val="BalloonTextChar"/>
    <w:uiPriority w:val="99"/>
    <w:semiHidden/>
    <w:unhideWhenUsed/>
    <w:rsid w:val="00D33DAA"/>
    <w:rPr>
      <w:rFonts w:ascii="Tahoma" w:hAnsi="Tahoma" w:cs="Tahoma"/>
      <w:sz w:val="16"/>
      <w:szCs w:val="16"/>
    </w:rPr>
  </w:style>
  <w:style w:type="character" w:customStyle="1" w:styleId="BalloonTextChar">
    <w:name w:val="Balloon Text Char"/>
    <w:basedOn w:val="DefaultParagraphFont"/>
    <w:link w:val="BalloonText"/>
    <w:uiPriority w:val="99"/>
    <w:semiHidden/>
    <w:rsid w:val="00D33DAA"/>
    <w:rPr>
      <w:rFonts w:ascii="Tahoma" w:hAnsi="Tahoma" w:cs="Tahoma"/>
      <w:sz w:val="16"/>
      <w:szCs w:val="16"/>
    </w:rPr>
  </w:style>
  <w:style w:type="paragraph" w:styleId="ListParagraph">
    <w:name w:val="List Paragraph"/>
    <w:basedOn w:val="Normal"/>
    <w:uiPriority w:val="34"/>
    <w:qFormat/>
    <w:rsid w:val="009C6DE5"/>
    <w:pPr>
      <w:ind w:left="720"/>
      <w:contextualSpacing/>
    </w:pPr>
  </w:style>
  <w:style w:type="character" w:styleId="Emphasis">
    <w:name w:val="Emphasis"/>
    <w:basedOn w:val="DefaultParagraphFont"/>
    <w:uiPriority w:val="20"/>
    <w:qFormat/>
    <w:rsid w:val="000E086C"/>
    <w:rPr>
      <w:i/>
      <w:iCs/>
    </w:rPr>
  </w:style>
  <w:style w:type="paragraph" w:styleId="TOCHeading">
    <w:name w:val="TOC Heading"/>
    <w:basedOn w:val="Heading1"/>
    <w:next w:val="Normal"/>
    <w:uiPriority w:val="39"/>
    <w:semiHidden/>
    <w:unhideWhenUsed/>
    <w:qFormat/>
    <w:rsid w:val="00FF1A33"/>
    <w:pPr>
      <w:spacing w:line="276" w:lineRule="auto"/>
      <w:outlineLvl w:val="9"/>
    </w:pPr>
    <w:rPr>
      <w:lang w:eastAsia="ja-JP"/>
    </w:rPr>
  </w:style>
  <w:style w:type="paragraph" w:styleId="TOC2">
    <w:name w:val="toc 2"/>
    <w:basedOn w:val="Normal"/>
    <w:next w:val="Normal"/>
    <w:autoRedefine/>
    <w:uiPriority w:val="39"/>
    <w:unhideWhenUsed/>
    <w:qFormat/>
    <w:rsid w:val="00633D91"/>
    <w:pPr>
      <w:tabs>
        <w:tab w:val="right" w:leader="dot" w:pos="10790"/>
      </w:tabs>
      <w:spacing w:after="100" w:line="276" w:lineRule="auto"/>
      <w:ind w:left="220"/>
    </w:pPr>
    <w:rPr>
      <w:rFonts w:eastAsia="Times New Roman"/>
      <w:b/>
      <w:noProof/>
      <w:lang w:eastAsia="ja-JP"/>
    </w:rPr>
  </w:style>
  <w:style w:type="paragraph" w:styleId="TOC1">
    <w:name w:val="toc 1"/>
    <w:basedOn w:val="Normal"/>
    <w:next w:val="Normal"/>
    <w:autoRedefine/>
    <w:uiPriority w:val="39"/>
    <w:unhideWhenUsed/>
    <w:qFormat/>
    <w:rsid w:val="00FF1A33"/>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FF1A33"/>
    <w:pPr>
      <w:spacing w:after="100" w:line="276" w:lineRule="auto"/>
      <w:ind w:left="440"/>
    </w:pPr>
    <w:rPr>
      <w:rFonts w:eastAsiaTheme="minorEastAsia"/>
      <w:lang w:eastAsia="ja-JP"/>
    </w:rPr>
  </w:style>
  <w:style w:type="character" w:styleId="Hyperlink">
    <w:name w:val="Hyperlink"/>
    <w:basedOn w:val="DefaultParagraphFont"/>
    <w:uiPriority w:val="99"/>
    <w:unhideWhenUsed/>
    <w:rsid w:val="007878EE"/>
    <w:rPr>
      <w:color w:val="0000FF" w:themeColor="hyperlink"/>
      <w:u w:val="single"/>
    </w:rPr>
  </w:style>
  <w:style w:type="paragraph" w:styleId="TOC4">
    <w:name w:val="toc 4"/>
    <w:basedOn w:val="Normal"/>
    <w:next w:val="Normal"/>
    <w:autoRedefine/>
    <w:uiPriority w:val="39"/>
    <w:unhideWhenUsed/>
    <w:rsid w:val="00B85C07"/>
    <w:pPr>
      <w:spacing w:after="100"/>
      <w:ind w:left="660"/>
    </w:pPr>
  </w:style>
  <w:style w:type="paragraph" w:styleId="Header">
    <w:name w:val="header"/>
    <w:basedOn w:val="Normal"/>
    <w:link w:val="HeaderChar"/>
    <w:uiPriority w:val="99"/>
    <w:unhideWhenUsed/>
    <w:rsid w:val="00CA1AD3"/>
    <w:pPr>
      <w:tabs>
        <w:tab w:val="center" w:pos="4680"/>
        <w:tab w:val="right" w:pos="9360"/>
      </w:tabs>
    </w:pPr>
  </w:style>
  <w:style w:type="character" w:customStyle="1" w:styleId="HeaderChar">
    <w:name w:val="Header Char"/>
    <w:basedOn w:val="DefaultParagraphFont"/>
    <w:link w:val="Header"/>
    <w:uiPriority w:val="99"/>
    <w:rsid w:val="00CA1AD3"/>
  </w:style>
  <w:style w:type="paragraph" w:styleId="Footer">
    <w:name w:val="footer"/>
    <w:basedOn w:val="Normal"/>
    <w:link w:val="FooterChar"/>
    <w:uiPriority w:val="99"/>
    <w:unhideWhenUsed/>
    <w:rsid w:val="00CA1AD3"/>
    <w:pPr>
      <w:tabs>
        <w:tab w:val="center" w:pos="4680"/>
        <w:tab w:val="right" w:pos="9360"/>
      </w:tabs>
    </w:pPr>
  </w:style>
  <w:style w:type="character" w:customStyle="1" w:styleId="FooterChar">
    <w:name w:val="Footer Char"/>
    <w:basedOn w:val="DefaultParagraphFont"/>
    <w:link w:val="Footer"/>
    <w:uiPriority w:val="99"/>
    <w:rsid w:val="00CA1AD3"/>
  </w:style>
  <w:style w:type="paragraph" w:styleId="TOC5">
    <w:name w:val="toc 5"/>
    <w:basedOn w:val="Normal"/>
    <w:next w:val="Normal"/>
    <w:autoRedefine/>
    <w:uiPriority w:val="39"/>
    <w:unhideWhenUsed/>
    <w:rsid w:val="009D2905"/>
    <w:pPr>
      <w:spacing w:after="100" w:line="276" w:lineRule="auto"/>
      <w:ind w:left="880"/>
    </w:pPr>
    <w:rPr>
      <w:rFonts w:eastAsiaTheme="minorEastAsia"/>
    </w:rPr>
  </w:style>
  <w:style w:type="paragraph" w:styleId="TOC6">
    <w:name w:val="toc 6"/>
    <w:basedOn w:val="Normal"/>
    <w:next w:val="Normal"/>
    <w:autoRedefine/>
    <w:uiPriority w:val="39"/>
    <w:unhideWhenUsed/>
    <w:rsid w:val="009D2905"/>
    <w:pPr>
      <w:spacing w:after="100" w:line="276" w:lineRule="auto"/>
      <w:ind w:left="1100"/>
    </w:pPr>
    <w:rPr>
      <w:rFonts w:eastAsiaTheme="minorEastAsia"/>
    </w:rPr>
  </w:style>
  <w:style w:type="paragraph" w:styleId="TOC7">
    <w:name w:val="toc 7"/>
    <w:basedOn w:val="Normal"/>
    <w:next w:val="Normal"/>
    <w:autoRedefine/>
    <w:uiPriority w:val="39"/>
    <w:unhideWhenUsed/>
    <w:rsid w:val="009D2905"/>
    <w:pPr>
      <w:spacing w:after="100" w:line="276" w:lineRule="auto"/>
      <w:ind w:left="1320"/>
    </w:pPr>
    <w:rPr>
      <w:rFonts w:eastAsiaTheme="minorEastAsia"/>
    </w:rPr>
  </w:style>
  <w:style w:type="paragraph" w:styleId="TOC8">
    <w:name w:val="toc 8"/>
    <w:basedOn w:val="Normal"/>
    <w:next w:val="Normal"/>
    <w:autoRedefine/>
    <w:uiPriority w:val="39"/>
    <w:unhideWhenUsed/>
    <w:rsid w:val="009D2905"/>
    <w:pPr>
      <w:spacing w:after="100" w:line="276" w:lineRule="auto"/>
      <w:ind w:left="1540"/>
    </w:pPr>
    <w:rPr>
      <w:rFonts w:eastAsiaTheme="minorEastAsia"/>
    </w:rPr>
  </w:style>
  <w:style w:type="paragraph" w:styleId="TOC9">
    <w:name w:val="toc 9"/>
    <w:basedOn w:val="Normal"/>
    <w:next w:val="Normal"/>
    <w:autoRedefine/>
    <w:uiPriority w:val="39"/>
    <w:unhideWhenUsed/>
    <w:rsid w:val="009D2905"/>
    <w:pPr>
      <w:spacing w:after="100" w:line="276" w:lineRule="auto"/>
      <w:ind w:left="1760"/>
    </w:pPr>
    <w:rPr>
      <w:rFonts w:eastAsiaTheme="minorEastAsia"/>
    </w:rPr>
  </w:style>
  <w:style w:type="character" w:customStyle="1" w:styleId="Heading5Char">
    <w:name w:val="Heading 5 Char"/>
    <w:basedOn w:val="DefaultParagraphFont"/>
    <w:link w:val="Heading5"/>
    <w:uiPriority w:val="9"/>
    <w:rsid w:val="00B4667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45D"/>
  </w:style>
  <w:style w:type="paragraph" w:styleId="Heading1">
    <w:name w:val="heading 1"/>
    <w:basedOn w:val="Normal"/>
    <w:next w:val="Normal"/>
    <w:link w:val="Heading1Char"/>
    <w:uiPriority w:val="9"/>
    <w:qFormat/>
    <w:rsid w:val="00FF1A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FF0761"/>
    <w:pPr>
      <w:keepNext/>
      <w:keepLines/>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B1945"/>
    <w:pPr>
      <w:keepNext/>
      <w:keepLines/>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B85C07"/>
    <w:pPr>
      <w:keepNext/>
      <w:keepLines/>
      <w:outlineLvl w:val="3"/>
    </w:pPr>
    <w:rPr>
      <w:rFonts w:eastAsiaTheme="majorEastAsia" w:cstheme="majorBidi"/>
      <w:b/>
      <w:bCs/>
      <w:iCs/>
      <w:u w:val="single"/>
    </w:rPr>
  </w:style>
  <w:style w:type="paragraph" w:styleId="Heading5">
    <w:name w:val="heading 5"/>
    <w:basedOn w:val="Normal"/>
    <w:next w:val="Normal"/>
    <w:link w:val="Heading5Char"/>
    <w:uiPriority w:val="9"/>
    <w:unhideWhenUsed/>
    <w:qFormat/>
    <w:rsid w:val="00B466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A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0761"/>
    <w:rPr>
      <w:rFonts w:eastAsiaTheme="majorEastAsia" w:cstheme="majorBidi"/>
      <w:b/>
      <w:bCs/>
      <w:sz w:val="32"/>
      <w:szCs w:val="26"/>
    </w:rPr>
  </w:style>
  <w:style w:type="character" w:customStyle="1" w:styleId="Heading3Char">
    <w:name w:val="Heading 3 Char"/>
    <w:basedOn w:val="DefaultParagraphFont"/>
    <w:link w:val="Heading3"/>
    <w:uiPriority w:val="9"/>
    <w:rsid w:val="00AB1945"/>
    <w:rPr>
      <w:rFonts w:eastAsiaTheme="majorEastAsia" w:cstheme="majorBidi"/>
      <w:b/>
      <w:bCs/>
      <w:sz w:val="28"/>
    </w:rPr>
  </w:style>
  <w:style w:type="character" w:customStyle="1" w:styleId="Heading4Char">
    <w:name w:val="Heading 4 Char"/>
    <w:basedOn w:val="DefaultParagraphFont"/>
    <w:link w:val="Heading4"/>
    <w:uiPriority w:val="9"/>
    <w:rsid w:val="00B85C07"/>
    <w:rPr>
      <w:rFonts w:eastAsiaTheme="majorEastAsia" w:cstheme="majorBidi"/>
      <w:b/>
      <w:bCs/>
      <w:iCs/>
      <w:u w:val="single"/>
    </w:rPr>
  </w:style>
  <w:style w:type="paragraph" w:styleId="BalloonText">
    <w:name w:val="Balloon Text"/>
    <w:basedOn w:val="Normal"/>
    <w:link w:val="BalloonTextChar"/>
    <w:uiPriority w:val="99"/>
    <w:semiHidden/>
    <w:unhideWhenUsed/>
    <w:rsid w:val="00D33DAA"/>
    <w:rPr>
      <w:rFonts w:ascii="Tahoma" w:hAnsi="Tahoma" w:cs="Tahoma"/>
      <w:sz w:val="16"/>
      <w:szCs w:val="16"/>
    </w:rPr>
  </w:style>
  <w:style w:type="character" w:customStyle="1" w:styleId="BalloonTextChar">
    <w:name w:val="Balloon Text Char"/>
    <w:basedOn w:val="DefaultParagraphFont"/>
    <w:link w:val="BalloonText"/>
    <w:uiPriority w:val="99"/>
    <w:semiHidden/>
    <w:rsid w:val="00D33DAA"/>
    <w:rPr>
      <w:rFonts w:ascii="Tahoma" w:hAnsi="Tahoma" w:cs="Tahoma"/>
      <w:sz w:val="16"/>
      <w:szCs w:val="16"/>
    </w:rPr>
  </w:style>
  <w:style w:type="paragraph" w:styleId="ListParagraph">
    <w:name w:val="List Paragraph"/>
    <w:basedOn w:val="Normal"/>
    <w:uiPriority w:val="34"/>
    <w:qFormat/>
    <w:rsid w:val="009C6DE5"/>
    <w:pPr>
      <w:ind w:left="720"/>
      <w:contextualSpacing/>
    </w:pPr>
  </w:style>
  <w:style w:type="character" w:styleId="Emphasis">
    <w:name w:val="Emphasis"/>
    <w:basedOn w:val="DefaultParagraphFont"/>
    <w:uiPriority w:val="20"/>
    <w:qFormat/>
    <w:rsid w:val="000E086C"/>
    <w:rPr>
      <w:i/>
      <w:iCs/>
    </w:rPr>
  </w:style>
  <w:style w:type="paragraph" w:styleId="TOCHeading">
    <w:name w:val="TOC Heading"/>
    <w:basedOn w:val="Heading1"/>
    <w:next w:val="Normal"/>
    <w:uiPriority w:val="39"/>
    <w:semiHidden/>
    <w:unhideWhenUsed/>
    <w:qFormat/>
    <w:rsid w:val="00FF1A33"/>
    <w:pPr>
      <w:spacing w:line="276" w:lineRule="auto"/>
      <w:outlineLvl w:val="9"/>
    </w:pPr>
    <w:rPr>
      <w:lang w:eastAsia="ja-JP"/>
    </w:rPr>
  </w:style>
  <w:style w:type="paragraph" w:styleId="TOC2">
    <w:name w:val="toc 2"/>
    <w:basedOn w:val="Normal"/>
    <w:next w:val="Normal"/>
    <w:autoRedefine/>
    <w:uiPriority w:val="39"/>
    <w:unhideWhenUsed/>
    <w:qFormat/>
    <w:rsid w:val="00633D91"/>
    <w:pPr>
      <w:tabs>
        <w:tab w:val="right" w:leader="dot" w:pos="10790"/>
      </w:tabs>
      <w:spacing w:after="100" w:line="276" w:lineRule="auto"/>
      <w:ind w:left="220"/>
    </w:pPr>
    <w:rPr>
      <w:rFonts w:eastAsia="Times New Roman"/>
      <w:b/>
      <w:noProof/>
      <w:lang w:eastAsia="ja-JP"/>
    </w:rPr>
  </w:style>
  <w:style w:type="paragraph" w:styleId="TOC1">
    <w:name w:val="toc 1"/>
    <w:basedOn w:val="Normal"/>
    <w:next w:val="Normal"/>
    <w:autoRedefine/>
    <w:uiPriority w:val="39"/>
    <w:unhideWhenUsed/>
    <w:qFormat/>
    <w:rsid w:val="00FF1A33"/>
    <w:pPr>
      <w:spacing w:after="100" w:line="276" w:lineRule="auto"/>
    </w:pPr>
    <w:rPr>
      <w:rFonts w:eastAsiaTheme="minorEastAsia"/>
      <w:lang w:eastAsia="ja-JP"/>
    </w:rPr>
  </w:style>
  <w:style w:type="paragraph" w:styleId="TOC3">
    <w:name w:val="toc 3"/>
    <w:basedOn w:val="Normal"/>
    <w:next w:val="Normal"/>
    <w:autoRedefine/>
    <w:uiPriority w:val="39"/>
    <w:unhideWhenUsed/>
    <w:qFormat/>
    <w:rsid w:val="00FF1A33"/>
    <w:pPr>
      <w:spacing w:after="100" w:line="276" w:lineRule="auto"/>
      <w:ind w:left="440"/>
    </w:pPr>
    <w:rPr>
      <w:rFonts w:eastAsiaTheme="minorEastAsia"/>
      <w:lang w:eastAsia="ja-JP"/>
    </w:rPr>
  </w:style>
  <w:style w:type="character" w:styleId="Hyperlink">
    <w:name w:val="Hyperlink"/>
    <w:basedOn w:val="DefaultParagraphFont"/>
    <w:uiPriority w:val="99"/>
    <w:unhideWhenUsed/>
    <w:rsid w:val="007878EE"/>
    <w:rPr>
      <w:color w:val="0000FF" w:themeColor="hyperlink"/>
      <w:u w:val="single"/>
    </w:rPr>
  </w:style>
  <w:style w:type="paragraph" w:styleId="TOC4">
    <w:name w:val="toc 4"/>
    <w:basedOn w:val="Normal"/>
    <w:next w:val="Normal"/>
    <w:autoRedefine/>
    <w:uiPriority w:val="39"/>
    <w:unhideWhenUsed/>
    <w:rsid w:val="00B85C07"/>
    <w:pPr>
      <w:spacing w:after="100"/>
      <w:ind w:left="660"/>
    </w:pPr>
  </w:style>
  <w:style w:type="paragraph" w:styleId="Header">
    <w:name w:val="header"/>
    <w:basedOn w:val="Normal"/>
    <w:link w:val="HeaderChar"/>
    <w:uiPriority w:val="99"/>
    <w:unhideWhenUsed/>
    <w:rsid w:val="00CA1AD3"/>
    <w:pPr>
      <w:tabs>
        <w:tab w:val="center" w:pos="4680"/>
        <w:tab w:val="right" w:pos="9360"/>
      </w:tabs>
    </w:pPr>
  </w:style>
  <w:style w:type="character" w:customStyle="1" w:styleId="HeaderChar">
    <w:name w:val="Header Char"/>
    <w:basedOn w:val="DefaultParagraphFont"/>
    <w:link w:val="Header"/>
    <w:uiPriority w:val="99"/>
    <w:rsid w:val="00CA1AD3"/>
  </w:style>
  <w:style w:type="paragraph" w:styleId="Footer">
    <w:name w:val="footer"/>
    <w:basedOn w:val="Normal"/>
    <w:link w:val="FooterChar"/>
    <w:uiPriority w:val="99"/>
    <w:unhideWhenUsed/>
    <w:rsid w:val="00CA1AD3"/>
    <w:pPr>
      <w:tabs>
        <w:tab w:val="center" w:pos="4680"/>
        <w:tab w:val="right" w:pos="9360"/>
      </w:tabs>
    </w:pPr>
  </w:style>
  <w:style w:type="character" w:customStyle="1" w:styleId="FooterChar">
    <w:name w:val="Footer Char"/>
    <w:basedOn w:val="DefaultParagraphFont"/>
    <w:link w:val="Footer"/>
    <w:uiPriority w:val="99"/>
    <w:rsid w:val="00CA1AD3"/>
  </w:style>
  <w:style w:type="paragraph" w:styleId="TOC5">
    <w:name w:val="toc 5"/>
    <w:basedOn w:val="Normal"/>
    <w:next w:val="Normal"/>
    <w:autoRedefine/>
    <w:uiPriority w:val="39"/>
    <w:unhideWhenUsed/>
    <w:rsid w:val="009D2905"/>
    <w:pPr>
      <w:spacing w:after="100" w:line="276" w:lineRule="auto"/>
      <w:ind w:left="880"/>
    </w:pPr>
    <w:rPr>
      <w:rFonts w:eastAsiaTheme="minorEastAsia"/>
    </w:rPr>
  </w:style>
  <w:style w:type="paragraph" w:styleId="TOC6">
    <w:name w:val="toc 6"/>
    <w:basedOn w:val="Normal"/>
    <w:next w:val="Normal"/>
    <w:autoRedefine/>
    <w:uiPriority w:val="39"/>
    <w:unhideWhenUsed/>
    <w:rsid w:val="009D2905"/>
    <w:pPr>
      <w:spacing w:after="100" w:line="276" w:lineRule="auto"/>
      <w:ind w:left="1100"/>
    </w:pPr>
    <w:rPr>
      <w:rFonts w:eastAsiaTheme="minorEastAsia"/>
    </w:rPr>
  </w:style>
  <w:style w:type="paragraph" w:styleId="TOC7">
    <w:name w:val="toc 7"/>
    <w:basedOn w:val="Normal"/>
    <w:next w:val="Normal"/>
    <w:autoRedefine/>
    <w:uiPriority w:val="39"/>
    <w:unhideWhenUsed/>
    <w:rsid w:val="009D2905"/>
    <w:pPr>
      <w:spacing w:after="100" w:line="276" w:lineRule="auto"/>
      <w:ind w:left="1320"/>
    </w:pPr>
    <w:rPr>
      <w:rFonts w:eastAsiaTheme="minorEastAsia"/>
    </w:rPr>
  </w:style>
  <w:style w:type="paragraph" w:styleId="TOC8">
    <w:name w:val="toc 8"/>
    <w:basedOn w:val="Normal"/>
    <w:next w:val="Normal"/>
    <w:autoRedefine/>
    <w:uiPriority w:val="39"/>
    <w:unhideWhenUsed/>
    <w:rsid w:val="009D2905"/>
    <w:pPr>
      <w:spacing w:after="100" w:line="276" w:lineRule="auto"/>
      <w:ind w:left="1540"/>
    </w:pPr>
    <w:rPr>
      <w:rFonts w:eastAsiaTheme="minorEastAsia"/>
    </w:rPr>
  </w:style>
  <w:style w:type="paragraph" w:styleId="TOC9">
    <w:name w:val="toc 9"/>
    <w:basedOn w:val="Normal"/>
    <w:next w:val="Normal"/>
    <w:autoRedefine/>
    <w:uiPriority w:val="39"/>
    <w:unhideWhenUsed/>
    <w:rsid w:val="009D2905"/>
    <w:pPr>
      <w:spacing w:after="100" w:line="276" w:lineRule="auto"/>
      <w:ind w:left="1760"/>
    </w:pPr>
    <w:rPr>
      <w:rFonts w:eastAsiaTheme="minorEastAsia"/>
    </w:rPr>
  </w:style>
  <w:style w:type="character" w:customStyle="1" w:styleId="Heading5Char">
    <w:name w:val="Heading 5 Char"/>
    <w:basedOn w:val="DefaultParagraphFont"/>
    <w:link w:val="Heading5"/>
    <w:uiPriority w:val="9"/>
    <w:rsid w:val="00B4667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854">
      <w:bodyDiv w:val="1"/>
      <w:marLeft w:val="0"/>
      <w:marRight w:val="0"/>
      <w:marTop w:val="0"/>
      <w:marBottom w:val="0"/>
      <w:divBdr>
        <w:top w:val="none" w:sz="0" w:space="0" w:color="auto"/>
        <w:left w:val="none" w:sz="0" w:space="0" w:color="auto"/>
        <w:bottom w:val="none" w:sz="0" w:space="0" w:color="auto"/>
        <w:right w:val="none" w:sz="0" w:space="0" w:color="auto"/>
      </w:divBdr>
    </w:div>
    <w:div w:id="17318636">
      <w:bodyDiv w:val="1"/>
      <w:marLeft w:val="0"/>
      <w:marRight w:val="0"/>
      <w:marTop w:val="0"/>
      <w:marBottom w:val="0"/>
      <w:divBdr>
        <w:top w:val="none" w:sz="0" w:space="0" w:color="auto"/>
        <w:left w:val="none" w:sz="0" w:space="0" w:color="auto"/>
        <w:bottom w:val="none" w:sz="0" w:space="0" w:color="auto"/>
        <w:right w:val="none" w:sz="0" w:space="0" w:color="auto"/>
      </w:divBdr>
    </w:div>
    <w:div w:id="21134324">
      <w:bodyDiv w:val="1"/>
      <w:marLeft w:val="0"/>
      <w:marRight w:val="0"/>
      <w:marTop w:val="0"/>
      <w:marBottom w:val="0"/>
      <w:divBdr>
        <w:top w:val="none" w:sz="0" w:space="0" w:color="auto"/>
        <w:left w:val="none" w:sz="0" w:space="0" w:color="auto"/>
        <w:bottom w:val="none" w:sz="0" w:space="0" w:color="auto"/>
        <w:right w:val="none" w:sz="0" w:space="0" w:color="auto"/>
      </w:divBdr>
    </w:div>
    <w:div w:id="23530476">
      <w:bodyDiv w:val="1"/>
      <w:marLeft w:val="0"/>
      <w:marRight w:val="0"/>
      <w:marTop w:val="0"/>
      <w:marBottom w:val="0"/>
      <w:divBdr>
        <w:top w:val="none" w:sz="0" w:space="0" w:color="auto"/>
        <w:left w:val="none" w:sz="0" w:space="0" w:color="auto"/>
        <w:bottom w:val="none" w:sz="0" w:space="0" w:color="auto"/>
        <w:right w:val="none" w:sz="0" w:space="0" w:color="auto"/>
      </w:divBdr>
    </w:div>
    <w:div w:id="44716021">
      <w:bodyDiv w:val="1"/>
      <w:marLeft w:val="0"/>
      <w:marRight w:val="0"/>
      <w:marTop w:val="0"/>
      <w:marBottom w:val="0"/>
      <w:divBdr>
        <w:top w:val="none" w:sz="0" w:space="0" w:color="auto"/>
        <w:left w:val="none" w:sz="0" w:space="0" w:color="auto"/>
        <w:bottom w:val="none" w:sz="0" w:space="0" w:color="auto"/>
        <w:right w:val="none" w:sz="0" w:space="0" w:color="auto"/>
      </w:divBdr>
    </w:div>
    <w:div w:id="78602598">
      <w:bodyDiv w:val="1"/>
      <w:marLeft w:val="0"/>
      <w:marRight w:val="0"/>
      <w:marTop w:val="0"/>
      <w:marBottom w:val="0"/>
      <w:divBdr>
        <w:top w:val="none" w:sz="0" w:space="0" w:color="auto"/>
        <w:left w:val="none" w:sz="0" w:space="0" w:color="auto"/>
        <w:bottom w:val="none" w:sz="0" w:space="0" w:color="auto"/>
        <w:right w:val="none" w:sz="0" w:space="0" w:color="auto"/>
      </w:divBdr>
    </w:div>
    <w:div w:id="197281268">
      <w:bodyDiv w:val="1"/>
      <w:marLeft w:val="0"/>
      <w:marRight w:val="0"/>
      <w:marTop w:val="0"/>
      <w:marBottom w:val="0"/>
      <w:divBdr>
        <w:top w:val="none" w:sz="0" w:space="0" w:color="auto"/>
        <w:left w:val="none" w:sz="0" w:space="0" w:color="auto"/>
        <w:bottom w:val="none" w:sz="0" w:space="0" w:color="auto"/>
        <w:right w:val="none" w:sz="0" w:space="0" w:color="auto"/>
      </w:divBdr>
    </w:div>
    <w:div w:id="283578529">
      <w:bodyDiv w:val="1"/>
      <w:marLeft w:val="0"/>
      <w:marRight w:val="0"/>
      <w:marTop w:val="0"/>
      <w:marBottom w:val="0"/>
      <w:divBdr>
        <w:top w:val="none" w:sz="0" w:space="0" w:color="auto"/>
        <w:left w:val="none" w:sz="0" w:space="0" w:color="auto"/>
        <w:bottom w:val="none" w:sz="0" w:space="0" w:color="auto"/>
        <w:right w:val="none" w:sz="0" w:space="0" w:color="auto"/>
      </w:divBdr>
    </w:div>
    <w:div w:id="303699395">
      <w:bodyDiv w:val="1"/>
      <w:marLeft w:val="0"/>
      <w:marRight w:val="0"/>
      <w:marTop w:val="0"/>
      <w:marBottom w:val="0"/>
      <w:divBdr>
        <w:top w:val="none" w:sz="0" w:space="0" w:color="auto"/>
        <w:left w:val="none" w:sz="0" w:space="0" w:color="auto"/>
        <w:bottom w:val="none" w:sz="0" w:space="0" w:color="auto"/>
        <w:right w:val="none" w:sz="0" w:space="0" w:color="auto"/>
      </w:divBdr>
    </w:div>
    <w:div w:id="310136484">
      <w:bodyDiv w:val="1"/>
      <w:marLeft w:val="0"/>
      <w:marRight w:val="0"/>
      <w:marTop w:val="0"/>
      <w:marBottom w:val="0"/>
      <w:divBdr>
        <w:top w:val="none" w:sz="0" w:space="0" w:color="auto"/>
        <w:left w:val="none" w:sz="0" w:space="0" w:color="auto"/>
        <w:bottom w:val="none" w:sz="0" w:space="0" w:color="auto"/>
        <w:right w:val="none" w:sz="0" w:space="0" w:color="auto"/>
      </w:divBdr>
    </w:div>
    <w:div w:id="352656299">
      <w:bodyDiv w:val="1"/>
      <w:marLeft w:val="0"/>
      <w:marRight w:val="0"/>
      <w:marTop w:val="0"/>
      <w:marBottom w:val="0"/>
      <w:divBdr>
        <w:top w:val="none" w:sz="0" w:space="0" w:color="auto"/>
        <w:left w:val="none" w:sz="0" w:space="0" w:color="auto"/>
        <w:bottom w:val="none" w:sz="0" w:space="0" w:color="auto"/>
        <w:right w:val="none" w:sz="0" w:space="0" w:color="auto"/>
      </w:divBdr>
    </w:div>
    <w:div w:id="403989113">
      <w:bodyDiv w:val="1"/>
      <w:marLeft w:val="0"/>
      <w:marRight w:val="0"/>
      <w:marTop w:val="0"/>
      <w:marBottom w:val="0"/>
      <w:divBdr>
        <w:top w:val="none" w:sz="0" w:space="0" w:color="auto"/>
        <w:left w:val="none" w:sz="0" w:space="0" w:color="auto"/>
        <w:bottom w:val="none" w:sz="0" w:space="0" w:color="auto"/>
        <w:right w:val="none" w:sz="0" w:space="0" w:color="auto"/>
      </w:divBdr>
    </w:div>
    <w:div w:id="442309351">
      <w:bodyDiv w:val="1"/>
      <w:marLeft w:val="0"/>
      <w:marRight w:val="0"/>
      <w:marTop w:val="0"/>
      <w:marBottom w:val="0"/>
      <w:divBdr>
        <w:top w:val="none" w:sz="0" w:space="0" w:color="auto"/>
        <w:left w:val="none" w:sz="0" w:space="0" w:color="auto"/>
        <w:bottom w:val="none" w:sz="0" w:space="0" w:color="auto"/>
        <w:right w:val="none" w:sz="0" w:space="0" w:color="auto"/>
      </w:divBdr>
    </w:div>
    <w:div w:id="447162761">
      <w:bodyDiv w:val="1"/>
      <w:marLeft w:val="0"/>
      <w:marRight w:val="0"/>
      <w:marTop w:val="0"/>
      <w:marBottom w:val="0"/>
      <w:divBdr>
        <w:top w:val="none" w:sz="0" w:space="0" w:color="auto"/>
        <w:left w:val="none" w:sz="0" w:space="0" w:color="auto"/>
        <w:bottom w:val="none" w:sz="0" w:space="0" w:color="auto"/>
        <w:right w:val="none" w:sz="0" w:space="0" w:color="auto"/>
      </w:divBdr>
    </w:div>
    <w:div w:id="566307090">
      <w:bodyDiv w:val="1"/>
      <w:marLeft w:val="0"/>
      <w:marRight w:val="0"/>
      <w:marTop w:val="0"/>
      <w:marBottom w:val="0"/>
      <w:divBdr>
        <w:top w:val="none" w:sz="0" w:space="0" w:color="auto"/>
        <w:left w:val="none" w:sz="0" w:space="0" w:color="auto"/>
        <w:bottom w:val="none" w:sz="0" w:space="0" w:color="auto"/>
        <w:right w:val="none" w:sz="0" w:space="0" w:color="auto"/>
      </w:divBdr>
    </w:div>
    <w:div w:id="602614017">
      <w:bodyDiv w:val="1"/>
      <w:marLeft w:val="0"/>
      <w:marRight w:val="0"/>
      <w:marTop w:val="0"/>
      <w:marBottom w:val="0"/>
      <w:divBdr>
        <w:top w:val="none" w:sz="0" w:space="0" w:color="auto"/>
        <w:left w:val="none" w:sz="0" w:space="0" w:color="auto"/>
        <w:bottom w:val="none" w:sz="0" w:space="0" w:color="auto"/>
        <w:right w:val="none" w:sz="0" w:space="0" w:color="auto"/>
      </w:divBdr>
    </w:div>
    <w:div w:id="651101470">
      <w:bodyDiv w:val="1"/>
      <w:marLeft w:val="0"/>
      <w:marRight w:val="0"/>
      <w:marTop w:val="0"/>
      <w:marBottom w:val="0"/>
      <w:divBdr>
        <w:top w:val="none" w:sz="0" w:space="0" w:color="auto"/>
        <w:left w:val="none" w:sz="0" w:space="0" w:color="auto"/>
        <w:bottom w:val="none" w:sz="0" w:space="0" w:color="auto"/>
        <w:right w:val="none" w:sz="0" w:space="0" w:color="auto"/>
      </w:divBdr>
    </w:div>
    <w:div w:id="669452843">
      <w:bodyDiv w:val="1"/>
      <w:marLeft w:val="0"/>
      <w:marRight w:val="0"/>
      <w:marTop w:val="0"/>
      <w:marBottom w:val="0"/>
      <w:divBdr>
        <w:top w:val="none" w:sz="0" w:space="0" w:color="auto"/>
        <w:left w:val="none" w:sz="0" w:space="0" w:color="auto"/>
        <w:bottom w:val="none" w:sz="0" w:space="0" w:color="auto"/>
        <w:right w:val="none" w:sz="0" w:space="0" w:color="auto"/>
      </w:divBdr>
    </w:div>
    <w:div w:id="674501960">
      <w:bodyDiv w:val="1"/>
      <w:marLeft w:val="0"/>
      <w:marRight w:val="0"/>
      <w:marTop w:val="0"/>
      <w:marBottom w:val="0"/>
      <w:divBdr>
        <w:top w:val="none" w:sz="0" w:space="0" w:color="auto"/>
        <w:left w:val="none" w:sz="0" w:space="0" w:color="auto"/>
        <w:bottom w:val="none" w:sz="0" w:space="0" w:color="auto"/>
        <w:right w:val="none" w:sz="0" w:space="0" w:color="auto"/>
      </w:divBdr>
    </w:div>
    <w:div w:id="705182814">
      <w:bodyDiv w:val="1"/>
      <w:marLeft w:val="0"/>
      <w:marRight w:val="0"/>
      <w:marTop w:val="0"/>
      <w:marBottom w:val="0"/>
      <w:divBdr>
        <w:top w:val="none" w:sz="0" w:space="0" w:color="auto"/>
        <w:left w:val="none" w:sz="0" w:space="0" w:color="auto"/>
        <w:bottom w:val="none" w:sz="0" w:space="0" w:color="auto"/>
        <w:right w:val="none" w:sz="0" w:space="0" w:color="auto"/>
      </w:divBdr>
    </w:div>
    <w:div w:id="721951526">
      <w:bodyDiv w:val="1"/>
      <w:marLeft w:val="0"/>
      <w:marRight w:val="0"/>
      <w:marTop w:val="0"/>
      <w:marBottom w:val="0"/>
      <w:divBdr>
        <w:top w:val="none" w:sz="0" w:space="0" w:color="auto"/>
        <w:left w:val="none" w:sz="0" w:space="0" w:color="auto"/>
        <w:bottom w:val="none" w:sz="0" w:space="0" w:color="auto"/>
        <w:right w:val="none" w:sz="0" w:space="0" w:color="auto"/>
      </w:divBdr>
    </w:div>
    <w:div w:id="724447414">
      <w:bodyDiv w:val="1"/>
      <w:marLeft w:val="0"/>
      <w:marRight w:val="0"/>
      <w:marTop w:val="0"/>
      <w:marBottom w:val="0"/>
      <w:divBdr>
        <w:top w:val="none" w:sz="0" w:space="0" w:color="auto"/>
        <w:left w:val="none" w:sz="0" w:space="0" w:color="auto"/>
        <w:bottom w:val="none" w:sz="0" w:space="0" w:color="auto"/>
        <w:right w:val="none" w:sz="0" w:space="0" w:color="auto"/>
      </w:divBdr>
    </w:div>
    <w:div w:id="786193462">
      <w:bodyDiv w:val="1"/>
      <w:marLeft w:val="0"/>
      <w:marRight w:val="0"/>
      <w:marTop w:val="0"/>
      <w:marBottom w:val="0"/>
      <w:divBdr>
        <w:top w:val="none" w:sz="0" w:space="0" w:color="auto"/>
        <w:left w:val="none" w:sz="0" w:space="0" w:color="auto"/>
        <w:bottom w:val="none" w:sz="0" w:space="0" w:color="auto"/>
        <w:right w:val="none" w:sz="0" w:space="0" w:color="auto"/>
      </w:divBdr>
    </w:div>
    <w:div w:id="787702814">
      <w:bodyDiv w:val="1"/>
      <w:marLeft w:val="0"/>
      <w:marRight w:val="0"/>
      <w:marTop w:val="0"/>
      <w:marBottom w:val="0"/>
      <w:divBdr>
        <w:top w:val="none" w:sz="0" w:space="0" w:color="auto"/>
        <w:left w:val="none" w:sz="0" w:space="0" w:color="auto"/>
        <w:bottom w:val="none" w:sz="0" w:space="0" w:color="auto"/>
        <w:right w:val="none" w:sz="0" w:space="0" w:color="auto"/>
      </w:divBdr>
    </w:div>
    <w:div w:id="882640077">
      <w:bodyDiv w:val="1"/>
      <w:marLeft w:val="0"/>
      <w:marRight w:val="0"/>
      <w:marTop w:val="0"/>
      <w:marBottom w:val="0"/>
      <w:divBdr>
        <w:top w:val="none" w:sz="0" w:space="0" w:color="auto"/>
        <w:left w:val="none" w:sz="0" w:space="0" w:color="auto"/>
        <w:bottom w:val="none" w:sz="0" w:space="0" w:color="auto"/>
        <w:right w:val="none" w:sz="0" w:space="0" w:color="auto"/>
      </w:divBdr>
    </w:div>
    <w:div w:id="891766277">
      <w:bodyDiv w:val="1"/>
      <w:marLeft w:val="0"/>
      <w:marRight w:val="0"/>
      <w:marTop w:val="0"/>
      <w:marBottom w:val="0"/>
      <w:divBdr>
        <w:top w:val="none" w:sz="0" w:space="0" w:color="auto"/>
        <w:left w:val="none" w:sz="0" w:space="0" w:color="auto"/>
        <w:bottom w:val="none" w:sz="0" w:space="0" w:color="auto"/>
        <w:right w:val="none" w:sz="0" w:space="0" w:color="auto"/>
      </w:divBdr>
    </w:div>
    <w:div w:id="892695390">
      <w:bodyDiv w:val="1"/>
      <w:marLeft w:val="0"/>
      <w:marRight w:val="0"/>
      <w:marTop w:val="0"/>
      <w:marBottom w:val="0"/>
      <w:divBdr>
        <w:top w:val="none" w:sz="0" w:space="0" w:color="auto"/>
        <w:left w:val="none" w:sz="0" w:space="0" w:color="auto"/>
        <w:bottom w:val="none" w:sz="0" w:space="0" w:color="auto"/>
        <w:right w:val="none" w:sz="0" w:space="0" w:color="auto"/>
      </w:divBdr>
    </w:div>
    <w:div w:id="917134092">
      <w:bodyDiv w:val="1"/>
      <w:marLeft w:val="0"/>
      <w:marRight w:val="0"/>
      <w:marTop w:val="0"/>
      <w:marBottom w:val="0"/>
      <w:divBdr>
        <w:top w:val="none" w:sz="0" w:space="0" w:color="auto"/>
        <w:left w:val="none" w:sz="0" w:space="0" w:color="auto"/>
        <w:bottom w:val="none" w:sz="0" w:space="0" w:color="auto"/>
        <w:right w:val="none" w:sz="0" w:space="0" w:color="auto"/>
      </w:divBdr>
    </w:div>
    <w:div w:id="957297567">
      <w:bodyDiv w:val="1"/>
      <w:marLeft w:val="0"/>
      <w:marRight w:val="0"/>
      <w:marTop w:val="0"/>
      <w:marBottom w:val="0"/>
      <w:divBdr>
        <w:top w:val="none" w:sz="0" w:space="0" w:color="auto"/>
        <w:left w:val="none" w:sz="0" w:space="0" w:color="auto"/>
        <w:bottom w:val="none" w:sz="0" w:space="0" w:color="auto"/>
        <w:right w:val="none" w:sz="0" w:space="0" w:color="auto"/>
      </w:divBdr>
    </w:div>
    <w:div w:id="958292344">
      <w:bodyDiv w:val="1"/>
      <w:marLeft w:val="0"/>
      <w:marRight w:val="0"/>
      <w:marTop w:val="0"/>
      <w:marBottom w:val="0"/>
      <w:divBdr>
        <w:top w:val="none" w:sz="0" w:space="0" w:color="auto"/>
        <w:left w:val="none" w:sz="0" w:space="0" w:color="auto"/>
        <w:bottom w:val="none" w:sz="0" w:space="0" w:color="auto"/>
        <w:right w:val="none" w:sz="0" w:space="0" w:color="auto"/>
      </w:divBdr>
    </w:div>
    <w:div w:id="960696107">
      <w:bodyDiv w:val="1"/>
      <w:marLeft w:val="0"/>
      <w:marRight w:val="0"/>
      <w:marTop w:val="0"/>
      <w:marBottom w:val="0"/>
      <w:divBdr>
        <w:top w:val="none" w:sz="0" w:space="0" w:color="auto"/>
        <w:left w:val="none" w:sz="0" w:space="0" w:color="auto"/>
        <w:bottom w:val="none" w:sz="0" w:space="0" w:color="auto"/>
        <w:right w:val="none" w:sz="0" w:space="0" w:color="auto"/>
      </w:divBdr>
    </w:div>
    <w:div w:id="978152590">
      <w:bodyDiv w:val="1"/>
      <w:marLeft w:val="0"/>
      <w:marRight w:val="0"/>
      <w:marTop w:val="0"/>
      <w:marBottom w:val="0"/>
      <w:divBdr>
        <w:top w:val="none" w:sz="0" w:space="0" w:color="auto"/>
        <w:left w:val="none" w:sz="0" w:space="0" w:color="auto"/>
        <w:bottom w:val="none" w:sz="0" w:space="0" w:color="auto"/>
        <w:right w:val="none" w:sz="0" w:space="0" w:color="auto"/>
      </w:divBdr>
    </w:div>
    <w:div w:id="982739505">
      <w:bodyDiv w:val="1"/>
      <w:marLeft w:val="0"/>
      <w:marRight w:val="0"/>
      <w:marTop w:val="0"/>
      <w:marBottom w:val="0"/>
      <w:divBdr>
        <w:top w:val="none" w:sz="0" w:space="0" w:color="auto"/>
        <w:left w:val="none" w:sz="0" w:space="0" w:color="auto"/>
        <w:bottom w:val="none" w:sz="0" w:space="0" w:color="auto"/>
        <w:right w:val="none" w:sz="0" w:space="0" w:color="auto"/>
      </w:divBdr>
    </w:div>
    <w:div w:id="990792535">
      <w:bodyDiv w:val="1"/>
      <w:marLeft w:val="0"/>
      <w:marRight w:val="0"/>
      <w:marTop w:val="0"/>
      <w:marBottom w:val="0"/>
      <w:divBdr>
        <w:top w:val="none" w:sz="0" w:space="0" w:color="auto"/>
        <w:left w:val="none" w:sz="0" w:space="0" w:color="auto"/>
        <w:bottom w:val="none" w:sz="0" w:space="0" w:color="auto"/>
        <w:right w:val="none" w:sz="0" w:space="0" w:color="auto"/>
      </w:divBdr>
    </w:div>
    <w:div w:id="995719128">
      <w:bodyDiv w:val="1"/>
      <w:marLeft w:val="0"/>
      <w:marRight w:val="0"/>
      <w:marTop w:val="0"/>
      <w:marBottom w:val="0"/>
      <w:divBdr>
        <w:top w:val="none" w:sz="0" w:space="0" w:color="auto"/>
        <w:left w:val="none" w:sz="0" w:space="0" w:color="auto"/>
        <w:bottom w:val="none" w:sz="0" w:space="0" w:color="auto"/>
        <w:right w:val="none" w:sz="0" w:space="0" w:color="auto"/>
      </w:divBdr>
    </w:div>
    <w:div w:id="1016426168">
      <w:bodyDiv w:val="1"/>
      <w:marLeft w:val="0"/>
      <w:marRight w:val="0"/>
      <w:marTop w:val="0"/>
      <w:marBottom w:val="0"/>
      <w:divBdr>
        <w:top w:val="none" w:sz="0" w:space="0" w:color="auto"/>
        <w:left w:val="none" w:sz="0" w:space="0" w:color="auto"/>
        <w:bottom w:val="none" w:sz="0" w:space="0" w:color="auto"/>
        <w:right w:val="none" w:sz="0" w:space="0" w:color="auto"/>
      </w:divBdr>
    </w:div>
    <w:div w:id="1060708231">
      <w:bodyDiv w:val="1"/>
      <w:marLeft w:val="0"/>
      <w:marRight w:val="0"/>
      <w:marTop w:val="0"/>
      <w:marBottom w:val="0"/>
      <w:divBdr>
        <w:top w:val="none" w:sz="0" w:space="0" w:color="auto"/>
        <w:left w:val="none" w:sz="0" w:space="0" w:color="auto"/>
        <w:bottom w:val="none" w:sz="0" w:space="0" w:color="auto"/>
        <w:right w:val="none" w:sz="0" w:space="0" w:color="auto"/>
      </w:divBdr>
    </w:div>
    <w:div w:id="1120339881">
      <w:bodyDiv w:val="1"/>
      <w:marLeft w:val="0"/>
      <w:marRight w:val="0"/>
      <w:marTop w:val="0"/>
      <w:marBottom w:val="0"/>
      <w:divBdr>
        <w:top w:val="none" w:sz="0" w:space="0" w:color="auto"/>
        <w:left w:val="none" w:sz="0" w:space="0" w:color="auto"/>
        <w:bottom w:val="none" w:sz="0" w:space="0" w:color="auto"/>
        <w:right w:val="none" w:sz="0" w:space="0" w:color="auto"/>
      </w:divBdr>
    </w:div>
    <w:div w:id="1193806519">
      <w:bodyDiv w:val="1"/>
      <w:marLeft w:val="0"/>
      <w:marRight w:val="0"/>
      <w:marTop w:val="0"/>
      <w:marBottom w:val="0"/>
      <w:divBdr>
        <w:top w:val="none" w:sz="0" w:space="0" w:color="auto"/>
        <w:left w:val="none" w:sz="0" w:space="0" w:color="auto"/>
        <w:bottom w:val="none" w:sz="0" w:space="0" w:color="auto"/>
        <w:right w:val="none" w:sz="0" w:space="0" w:color="auto"/>
      </w:divBdr>
    </w:div>
    <w:div w:id="1206604662">
      <w:bodyDiv w:val="1"/>
      <w:marLeft w:val="0"/>
      <w:marRight w:val="0"/>
      <w:marTop w:val="0"/>
      <w:marBottom w:val="0"/>
      <w:divBdr>
        <w:top w:val="none" w:sz="0" w:space="0" w:color="auto"/>
        <w:left w:val="none" w:sz="0" w:space="0" w:color="auto"/>
        <w:bottom w:val="none" w:sz="0" w:space="0" w:color="auto"/>
        <w:right w:val="none" w:sz="0" w:space="0" w:color="auto"/>
      </w:divBdr>
    </w:div>
    <w:div w:id="1228759294">
      <w:bodyDiv w:val="1"/>
      <w:marLeft w:val="0"/>
      <w:marRight w:val="0"/>
      <w:marTop w:val="0"/>
      <w:marBottom w:val="0"/>
      <w:divBdr>
        <w:top w:val="none" w:sz="0" w:space="0" w:color="auto"/>
        <w:left w:val="none" w:sz="0" w:space="0" w:color="auto"/>
        <w:bottom w:val="none" w:sz="0" w:space="0" w:color="auto"/>
        <w:right w:val="none" w:sz="0" w:space="0" w:color="auto"/>
      </w:divBdr>
    </w:div>
    <w:div w:id="1261529184">
      <w:bodyDiv w:val="1"/>
      <w:marLeft w:val="0"/>
      <w:marRight w:val="0"/>
      <w:marTop w:val="0"/>
      <w:marBottom w:val="0"/>
      <w:divBdr>
        <w:top w:val="none" w:sz="0" w:space="0" w:color="auto"/>
        <w:left w:val="none" w:sz="0" w:space="0" w:color="auto"/>
        <w:bottom w:val="none" w:sz="0" w:space="0" w:color="auto"/>
        <w:right w:val="none" w:sz="0" w:space="0" w:color="auto"/>
      </w:divBdr>
    </w:div>
    <w:div w:id="1466048262">
      <w:bodyDiv w:val="1"/>
      <w:marLeft w:val="0"/>
      <w:marRight w:val="0"/>
      <w:marTop w:val="0"/>
      <w:marBottom w:val="0"/>
      <w:divBdr>
        <w:top w:val="none" w:sz="0" w:space="0" w:color="auto"/>
        <w:left w:val="none" w:sz="0" w:space="0" w:color="auto"/>
        <w:bottom w:val="none" w:sz="0" w:space="0" w:color="auto"/>
        <w:right w:val="none" w:sz="0" w:space="0" w:color="auto"/>
      </w:divBdr>
    </w:div>
    <w:div w:id="1486697871">
      <w:bodyDiv w:val="1"/>
      <w:marLeft w:val="0"/>
      <w:marRight w:val="0"/>
      <w:marTop w:val="0"/>
      <w:marBottom w:val="0"/>
      <w:divBdr>
        <w:top w:val="none" w:sz="0" w:space="0" w:color="auto"/>
        <w:left w:val="none" w:sz="0" w:space="0" w:color="auto"/>
        <w:bottom w:val="none" w:sz="0" w:space="0" w:color="auto"/>
        <w:right w:val="none" w:sz="0" w:space="0" w:color="auto"/>
      </w:divBdr>
    </w:div>
    <w:div w:id="1527256257">
      <w:bodyDiv w:val="1"/>
      <w:marLeft w:val="0"/>
      <w:marRight w:val="0"/>
      <w:marTop w:val="0"/>
      <w:marBottom w:val="0"/>
      <w:divBdr>
        <w:top w:val="none" w:sz="0" w:space="0" w:color="auto"/>
        <w:left w:val="none" w:sz="0" w:space="0" w:color="auto"/>
        <w:bottom w:val="none" w:sz="0" w:space="0" w:color="auto"/>
        <w:right w:val="none" w:sz="0" w:space="0" w:color="auto"/>
      </w:divBdr>
    </w:div>
    <w:div w:id="1573195359">
      <w:bodyDiv w:val="1"/>
      <w:marLeft w:val="0"/>
      <w:marRight w:val="0"/>
      <w:marTop w:val="0"/>
      <w:marBottom w:val="0"/>
      <w:divBdr>
        <w:top w:val="none" w:sz="0" w:space="0" w:color="auto"/>
        <w:left w:val="none" w:sz="0" w:space="0" w:color="auto"/>
        <w:bottom w:val="none" w:sz="0" w:space="0" w:color="auto"/>
        <w:right w:val="none" w:sz="0" w:space="0" w:color="auto"/>
      </w:divBdr>
    </w:div>
    <w:div w:id="1577743887">
      <w:bodyDiv w:val="1"/>
      <w:marLeft w:val="0"/>
      <w:marRight w:val="0"/>
      <w:marTop w:val="0"/>
      <w:marBottom w:val="0"/>
      <w:divBdr>
        <w:top w:val="none" w:sz="0" w:space="0" w:color="auto"/>
        <w:left w:val="none" w:sz="0" w:space="0" w:color="auto"/>
        <w:bottom w:val="none" w:sz="0" w:space="0" w:color="auto"/>
        <w:right w:val="none" w:sz="0" w:space="0" w:color="auto"/>
      </w:divBdr>
    </w:div>
    <w:div w:id="1611890585">
      <w:bodyDiv w:val="1"/>
      <w:marLeft w:val="0"/>
      <w:marRight w:val="0"/>
      <w:marTop w:val="0"/>
      <w:marBottom w:val="0"/>
      <w:divBdr>
        <w:top w:val="none" w:sz="0" w:space="0" w:color="auto"/>
        <w:left w:val="none" w:sz="0" w:space="0" w:color="auto"/>
        <w:bottom w:val="none" w:sz="0" w:space="0" w:color="auto"/>
        <w:right w:val="none" w:sz="0" w:space="0" w:color="auto"/>
      </w:divBdr>
    </w:div>
    <w:div w:id="1657294092">
      <w:bodyDiv w:val="1"/>
      <w:marLeft w:val="0"/>
      <w:marRight w:val="0"/>
      <w:marTop w:val="0"/>
      <w:marBottom w:val="0"/>
      <w:divBdr>
        <w:top w:val="none" w:sz="0" w:space="0" w:color="auto"/>
        <w:left w:val="none" w:sz="0" w:space="0" w:color="auto"/>
        <w:bottom w:val="none" w:sz="0" w:space="0" w:color="auto"/>
        <w:right w:val="none" w:sz="0" w:space="0" w:color="auto"/>
      </w:divBdr>
    </w:div>
    <w:div w:id="1677924170">
      <w:bodyDiv w:val="1"/>
      <w:marLeft w:val="0"/>
      <w:marRight w:val="0"/>
      <w:marTop w:val="0"/>
      <w:marBottom w:val="0"/>
      <w:divBdr>
        <w:top w:val="none" w:sz="0" w:space="0" w:color="auto"/>
        <w:left w:val="none" w:sz="0" w:space="0" w:color="auto"/>
        <w:bottom w:val="none" w:sz="0" w:space="0" w:color="auto"/>
        <w:right w:val="none" w:sz="0" w:space="0" w:color="auto"/>
      </w:divBdr>
    </w:div>
    <w:div w:id="1697194683">
      <w:bodyDiv w:val="1"/>
      <w:marLeft w:val="0"/>
      <w:marRight w:val="0"/>
      <w:marTop w:val="0"/>
      <w:marBottom w:val="0"/>
      <w:divBdr>
        <w:top w:val="none" w:sz="0" w:space="0" w:color="auto"/>
        <w:left w:val="none" w:sz="0" w:space="0" w:color="auto"/>
        <w:bottom w:val="none" w:sz="0" w:space="0" w:color="auto"/>
        <w:right w:val="none" w:sz="0" w:space="0" w:color="auto"/>
      </w:divBdr>
    </w:div>
    <w:div w:id="1740400504">
      <w:bodyDiv w:val="1"/>
      <w:marLeft w:val="0"/>
      <w:marRight w:val="0"/>
      <w:marTop w:val="0"/>
      <w:marBottom w:val="0"/>
      <w:divBdr>
        <w:top w:val="none" w:sz="0" w:space="0" w:color="auto"/>
        <w:left w:val="none" w:sz="0" w:space="0" w:color="auto"/>
        <w:bottom w:val="none" w:sz="0" w:space="0" w:color="auto"/>
        <w:right w:val="none" w:sz="0" w:space="0" w:color="auto"/>
      </w:divBdr>
    </w:div>
    <w:div w:id="1753039360">
      <w:bodyDiv w:val="1"/>
      <w:marLeft w:val="0"/>
      <w:marRight w:val="0"/>
      <w:marTop w:val="0"/>
      <w:marBottom w:val="0"/>
      <w:divBdr>
        <w:top w:val="none" w:sz="0" w:space="0" w:color="auto"/>
        <w:left w:val="none" w:sz="0" w:space="0" w:color="auto"/>
        <w:bottom w:val="none" w:sz="0" w:space="0" w:color="auto"/>
        <w:right w:val="none" w:sz="0" w:space="0" w:color="auto"/>
      </w:divBdr>
    </w:div>
    <w:div w:id="1813016850">
      <w:bodyDiv w:val="1"/>
      <w:marLeft w:val="0"/>
      <w:marRight w:val="0"/>
      <w:marTop w:val="0"/>
      <w:marBottom w:val="0"/>
      <w:divBdr>
        <w:top w:val="none" w:sz="0" w:space="0" w:color="auto"/>
        <w:left w:val="none" w:sz="0" w:space="0" w:color="auto"/>
        <w:bottom w:val="none" w:sz="0" w:space="0" w:color="auto"/>
        <w:right w:val="none" w:sz="0" w:space="0" w:color="auto"/>
      </w:divBdr>
    </w:div>
    <w:div w:id="1886258131">
      <w:bodyDiv w:val="1"/>
      <w:marLeft w:val="0"/>
      <w:marRight w:val="0"/>
      <w:marTop w:val="0"/>
      <w:marBottom w:val="0"/>
      <w:divBdr>
        <w:top w:val="none" w:sz="0" w:space="0" w:color="auto"/>
        <w:left w:val="none" w:sz="0" w:space="0" w:color="auto"/>
        <w:bottom w:val="none" w:sz="0" w:space="0" w:color="auto"/>
        <w:right w:val="none" w:sz="0" w:space="0" w:color="auto"/>
      </w:divBdr>
    </w:div>
    <w:div w:id="1906261242">
      <w:bodyDiv w:val="1"/>
      <w:marLeft w:val="0"/>
      <w:marRight w:val="0"/>
      <w:marTop w:val="0"/>
      <w:marBottom w:val="0"/>
      <w:divBdr>
        <w:top w:val="none" w:sz="0" w:space="0" w:color="auto"/>
        <w:left w:val="none" w:sz="0" w:space="0" w:color="auto"/>
        <w:bottom w:val="none" w:sz="0" w:space="0" w:color="auto"/>
        <w:right w:val="none" w:sz="0" w:space="0" w:color="auto"/>
      </w:divBdr>
    </w:div>
    <w:div w:id="1945961088">
      <w:bodyDiv w:val="1"/>
      <w:marLeft w:val="0"/>
      <w:marRight w:val="0"/>
      <w:marTop w:val="0"/>
      <w:marBottom w:val="0"/>
      <w:divBdr>
        <w:top w:val="none" w:sz="0" w:space="0" w:color="auto"/>
        <w:left w:val="none" w:sz="0" w:space="0" w:color="auto"/>
        <w:bottom w:val="none" w:sz="0" w:space="0" w:color="auto"/>
        <w:right w:val="none" w:sz="0" w:space="0" w:color="auto"/>
      </w:divBdr>
    </w:div>
    <w:div w:id="1946502387">
      <w:bodyDiv w:val="1"/>
      <w:marLeft w:val="0"/>
      <w:marRight w:val="0"/>
      <w:marTop w:val="0"/>
      <w:marBottom w:val="0"/>
      <w:divBdr>
        <w:top w:val="none" w:sz="0" w:space="0" w:color="auto"/>
        <w:left w:val="none" w:sz="0" w:space="0" w:color="auto"/>
        <w:bottom w:val="none" w:sz="0" w:space="0" w:color="auto"/>
        <w:right w:val="none" w:sz="0" w:space="0" w:color="auto"/>
      </w:divBdr>
    </w:div>
    <w:div w:id="1989556816">
      <w:bodyDiv w:val="1"/>
      <w:marLeft w:val="0"/>
      <w:marRight w:val="0"/>
      <w:marTop w:val="0"/>
      <w:marBottom w:val="0"/>
      <w:divBdr>
        <w:top w:val="none" w:sz="0" w:space="0" w:color="auto"/>
        <w:left w:val="none" w:sz="0" w:space="0" w:color="auto"/>
        <w:bottom w:val="none" w:sz="0" w:space="0" w:color="auto"/>
        <w:right w:val="none" w:sz="0" w:space="0" w:color="auto"/>
      </w:divBdr>
    </w:div>
    <w:div w:id="2032107032">
      <w:bodyDiv w:val="1"/>
      <w:marLeft w:val="0"/>
      <w:marRight w:val="0"/>
      <w:marTop w:val="0"/>
      <w:marBottom w:val="0"/>
      <w:divBdr>
        <w:top w:val="none" w:sz="0" w:space="0" w:color="auto"/>
        <w:left w:val="none" w:sz="0" w:space="0" w:color="auto"/>
        <w:bottom w:val="none" w:sz="0" w:space="0" w:color="auto"/>
        <w:right w:val="none" w:sz="0" w:space="0" w:color="auto"/>
      </w:divBdr>
    </w:div>
    <w:div w:id="2041276115">
      <w:bodyDiv w:val="1"/>
      <w:marLeft w:val="0"/>
      <w:marRight w:val="0"/>
      <w:marTop w:val="0"/>
      <w:marBottom w:val="0"/>
      <w:divBdr>
        <w:top w:val="none" w:sz="0" w:space="0" w:color="auto"/>
        <w:left w:val="none" w:sz="0" w:space="0" w:color="auto"/>
        <w:bottom w:val="none" w:sz="0" w:space="0" w:color="auto"/>
        <w:right w:val="none" w:sz="0" w:space="0" w:color="auto"/>
      </w:divBdr>
    </w:div>
    <w:div w:id="2049989666">
      <w:bodyDiv w:val="1"/>
      <w:marLeft w:val="0"/>
      <w:marRight w:val="0"/>
      <w:marTop w:val="0"/>
      <w:marBottom w:val="0"/>
      <w:divBdr>
        <w:top w:val="none" w:sz="0" w:space="0" w:color="auto"/>
        <w:left w:val="none" w:sz="0" w:space="0" w:color="auto"/>
        <w:bottom w:val="none" w:sz="0" w:space="0" w:color="auto"/>
        <w:right w:val="none" w:sz="0" w:space="0" w:color="auto"/>
      </w:divBdr>
    </w:div>
    <w:div w:id="2076119536">
      <w:bodyDiv w:val="1"/>
      <w:marLeft w:val="0"/>
      <w:marRight w:val="0"/>
      <w:marTop w:val="0"/>
      <w:marBottom w:val="0"/>
      <w:divBdr>
        <w:top w:val="none" w:sz="0" w:space="0" w:color="auto"/>
        <w:left w:val="none" w:sz="0" w:space="0" w:color="auto"/>
        <w:bottom w:val="none" w:sz="0" w:space="0" w:color="auto"/>
        <w:right w:val="none" w:sz="0" w:space="0" w:color="auto"/>
      </w:divBdr>
    </w:div>
    <w:div w:id="21417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3820-1C9C-49EB-819B-720A98B9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23159</Words>
  <Characters>132011</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Richey, James</dc:creator>
  <cp:lastModifiedBy>Armienta, Marco</cp:lastModifiedBy>
  <cp:revision>2</cp:revision>
  <cp:lastPrinted>2014-04-23T17:26:00Z</cp:lastPrinted>
  <dcterms:created xsi:type="dcterms:W3CDTF">2016-06-10T23:06:00Z</dcterms:created>
  <dcterms:modified xsi:type="dcterms:W3CDTF">2016-06-10T23:06:00Z</dcterms:modified>
</cp:coreProperties>
</file>