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7A" w:rsidRPr="00186348" w:rsidRDefault="00105D67">
      <w:pPr>
        <w:jc w:val="center"/>
        <w:rPr>
          <w:rFonts w:ascii="Cambria" w:hAnsi="Cambria"/>
          <w:b/>
          <w:color w:val="000000"/>
          <w:spacing w:val="-6"/>
          <w:w w:val="105"/>
          <w:sz w:val="28"/>
          <w:szCs w:val="28"/>
        </w:rPr>
      </w:pPr>
      <w:r w:rsidRPr="00186348">
        <w:rPr>
          <w:rFonts w:ascii="Cambria" w:hAnsi="Cambria"/>
          <w:b/>
          <w:color w:val="000000"/>
          <w:spacing w:val="-4"/>
          <w:w w:val="105"/>
          <w:sz w:val="28"/>
          <w:szCs w:val="28"/>
        </w:rPr>
        <w:t>Conflict of Interest Policy</w:t>
      </w:r>
    </w:p>
    <w:p w:rsidR="00B52F7A" w:rsidRPr="00CA5A24" w:rsidRDefault="00105D67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0" w:right="216" w:firstLine="72"/>
        <w:jc w:val="both"/>
        <w:rPr>
          <w:rFonts w:ascii="Cambria" w:hAnsi="Cambria"/>
          <w:color w:val="000000"/>
          <w:spacing w:val="-9"/>
          <w:w w:val="105"/>
          <w:sz w:val="24"/>
        </w:rPr>
      </w:pPr>
      <w:r w:rsidRPr="00CA5A24">
        <w:rPr>
          <w:rFonts w:ascii="Cambria" w:hAnsi="Cambria"/>
          <w:color w:val="000000"/>
          <w:spacing w:val="-9"/>
          <w:w w:val="105"/>
          <w:sz w:val="24"/>
        </w:rPr>
        <w:t xml:space="preserve">Because a director and employee must act in the best interest of the corporation, it is </w:t>
      </w:r>
      <w:r w:rsidRPr="00CA5A24">
        <w:rPr>
          <w:rFonts w:ascii="Cambria" w:hAnsi="Cambria"/>
          <w:color w:val="000000"/>
          <w:spacing w:val="-7"/>
          <w:w w:val="105"/>
          <w:sz w:val="24"/>
        </w:rPr>
        <w:t xml:space="preserve">necessary to disclose any facts that may cause the director or employee to be unable or </w:t>
      </w:r>
      <w:r w:rsidRPr="00CA5A24">
        <w:rPr>
          <w:rFonts w:ascii="Cambria" w:hAnsi="Cambria"/>
          <w:color w:val="000000"/>
          <w:spacing w:val="-4"/>
          <w:w w:val="105"/>
          <w:sz w:val="24"/>
        </w:rPr>
        <w:t>appear to be unable to fully fulfill his or her duty of loyalty to the corporation.</w:t>
      </w:r>
    </w:p>
    <w:p w:rsidR="00063C59" w:rsidRPr="007A194A" w:rsidRDefault="00105D67" w:rsidP="00C23D91">
      <w:pPr>
        <w:numPr>
          <w:ilvl w:val="0"/>
          <w:numId w:val="1"/>
        </w:numPr>
        <w:tabs>
          <w:tab w:val="decimal" w:pos="360"/>
        </w:tabs>
        <w:spacing w:before="288"/>
        <w:ind w:left="0" w:firstLine="72"/>
        <w:rPr>
          <w:rFonts w:ascii="Cambria" w:hAnsi="Cambria"/>
          <w:spacing w:val="-5"/>
          <w:w w:val="105"/>
          <w:sz w:val="24"/>
        </w:rPr>
      </w:pPr>
      <w:r w:rsidRPr="00CA5A24">
        <w:rPr>
          <w:rFonts w:ascii="Cambria" w:hAnsi="Cambria"/>
          <w:color w:val="000000"/>
          <w:spacing w:val="-5"/>
          <w:w w:val="105"/>
          <w:sz w:val="24"/>
        </w:rPr>
        <w:t xml:space="preserve">An actual or potential conflict of interest occurs when a director or employee is in a </w:t>
      </w:r>
      <w:r w:rsidRPr="00CA5A24">
        <w:rPr>
          <w:rFonts w:ascii="Cambria" w:hAnsi="Cambria"/>
          <w:color w:val="000000"/>
          <w:spacing w:val="-7"/>
          <w:w w:val="105"/>
          <w:sz w:val="24"/>
        </w:rPr>
        <w:t xml:space="preserve">position to influence a decision that may result in a direct or indirect personal gain for the </w:t>
      </w:r>
      <w:r w:rsidRPr="00CA5A24">
        <w:rPr>
          <w:rFonts w:ascii="Cambria" w:hAnsi="Cambria"/>
          <w:color w:val="000000"/>
          <w:spacing w:val="1"/>
          <w:w w:val="105"/>
          <w:sz w:val="24"/>
        </w:rPr>
        <w:t xml:space="preserve">director or employee or his/her immediate family. </w:t>
      </w:r>
      <w:r w:rsidR="00063C59" w:rsidRPr="007A194A">
        <w:rPr>
          <w:rFonts w:ascii="Cambria" w:hAnsi="Cambria"/>
          <w:spacing w:val="-3"/>
          <w:w w:val="105"/>
          <w:sz w:val="24"/>
        </w:rPr>
        <w:t>For purposes of this policy, “immediate family” is defined as a spouse, mother-or father-in-law, sister-or brother-in-law, child, grandchild, sibling, parent, step-parent, or any individual sharing the same home.</w:t>
      </w:r>
    </w:p>
    <w:p w:rsidR="00B52F7A" w:rsidRPr="00CA5A24" w:rsidRDefault="00105D67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0" w:right="360" w:firstLine="72"/>
        <w:rPr>
          <w:rFonts w:ascii="Cambria" w:hAnsi="Cambria"/>
          <w:color w:val="000000"/>
          <w:spacing w:val="-6"/>
          <w:w w:val="105"/>
          <w:sz w:val="24"/>
        </w:rPr>
      </w:pPr>
      <w:r w:rsidRPr="00CA5A24">
        <w:rPr>
          <w:rFonts w:ascii="Cambria" w:hAnsi="Cambria"/>
          <w:color w:val="000000"/>
          <w:spacing w:val="-6"/>
          <w:w w:val="105"/>
          <w:sz w:val="24"/>
        </w:rPr>
        <w:t xml:space="preserve">Any director or employee must disclose any actual or potential conflict of interest </w:t>
      </w:r>
      <w:r w:rsidRPr="00CA5A24">
        <w:rPr>
          <w:rFonts w:ascii="Cambria" w:hAnsi="Cambria"/>
          <w:color w:val="000000"/>
          <w:spacing w:val="-8"/>
          <w:w w:val="105"/>
          <w:sz w:val="24"/>
        </w:rPr>
        <w:t xml:space="preserve">when the corporation considers a transaction. Once identified, the affected director or </w:t>
      </w:r>
      <w:r w:rsidRPr="00CA5A24">
        <w:rPr>
          <w:rFonts w:ascii="Cambria" w:hAnsi="Cambria"/>
          <w:color w:val="000000"/>
          <w:spacing w:val="-4"/>
          <w:w w:val="105"/>
          <w:sz w:val="24"/>
        </w:rPr>
        <w:t>employee will recuse themselves from the issue at hand.</w:t>
      </w:r>
    </w:p>
    <w:p w:rsidR="00691D93" w:rsidRDefault="00105D67" w:rsidP="00691D93">
      <w:pPr>
        <w:numPr>
          <w:ilvl w:val="0"/>
          <w:numId w:val="1"/>
        </w:numPr>
        <w:tabs>
          <w:tab w:val="clear" w:pos="288"/>
          <w:tab w:val="decimal" w:pos="360"/>
        </w:tabs>
        <w:spacing w:before="252" w:after="828"/>
        <w:ind w:left="0" w:right="432" w:firstLine="72"/>
        <w:rPr>
          <w:rFonts w:ascii="Cambria" w:hAnsi="Cambria"/>
          <w:color w:val="000000"/>
          <w:spacing w:val="-9"/>
          <w:w w:val="105"/>
          <w:sz w:val="24"/>
        </w:rPr>
      </w:pPr>
      <w:r w:rsidRPr="00CA5A24">
        <w:rPr>
          <w:rFonts w:ascii="Cambria" w:hAnsi="Cambria"/>
          <w:color w:val="000000"/>
          <w:spacing w:val="-9"/>
          <w:w w:val="105"/>
          <w:sz w:val="24"/>
        </w:rPr>
        <w:t xml:space="preserve">Directors and employees will disclose annually at each annual board meeting any </w:t>
      </w:r>
      <w:r w:rsidRPr="00CA5A24">
        <w:rPr>
          <w:rFonts w:ascii="Cambria" w:hAnsi="Cambria"/>
          <w:color w:val="000000"/>
          <w:spacing w:val="-4"/>
          <w:w w:val="105"/>
          <w:sz w:val="24"/>
        </w:rPr>
        <w:t>potential conflicts of interest using the attached disclosure form.</w:t>
      </w:r>
    </w:p>
    <w:p w:rsidR="00691D93" w:rsidRDefault="00691D93">
      <w:pPr>
        <w:rPr>
          <w:rFonts w:ascii="Cambria" w:hAnsi="Cambria"/>
        </w:rPr>
      </w:pPr>
      <w:r>
        <w:rPr>
          <w:rFonts w:ascii="Cambria" w:hAnsi="Cambria"/>
        </w:rPr>
        <w:t>I have seen and confirm I do not have any conflict of interest other than listed below:</w:t>
      </w:r>
    </w:p>
    <w:p w:rsidR="00691D93" w:rsidRDefault="00691D93">
      <w:pPr>
        <w:rPr>
          <w:rFonts w:ascii="Cambria" w:hAnsi="Cambria"/>
        </w:rPr>
      </w:pPr>
    </w:p>
    <w:p w:rsidR="00691D93" w:rsidRDefault="00691D93">
      <w:pPr>
        <w:rPr>
          <w:rFonts w:ascii="Cambria" w:hAnsi="Cambria"/>
        </w:rPr>
      </w:pPr>
    </w:p>
    <w:p w:rsidR="00691D93" w:rsidRDefault="00691D93">
      <w:pPr>
        <w:rPr>
          <w:rFonts w:ascii="Cambria" w:hAnsi="Cambria"/>
        </w:rPr>
      </w:pPr>
    </w:p>
    <w:p w:rsidR="00691D93" w:rsidRDefault="00691D93">
      <w:pPr>
        <w:rPr>
          <w:rFonts w:ascii="Cambria" w:hAnsi="Cambria"/>
        </w:rPr>
      </w:pPr>
      <w:bookmarkStart w:id="0" w:name="_GoBack"/>
      <w:bookmarkEnd w:id="0"/>
    </w:p>
    <w:p w:rsidR="00691D93" w:rsidRDefault="00691D93">
      <w:pPr>
        <w:rPr>
          <w:rFonts w:ascii="Cambria" w:hAnsi="Cambria"/>
        </w:rPr>
      </w:pPr>
    </w:p>
    <w:p w:rsidR="00B52F7A" w:rsidRDefault="00691D93">
      <w:pPr>
        <w:rPr>
          <w:rFonts w:ascii="Cambria" w:hAnsi="Cambria"/>
        </w:rPr>
      </w:pPr>
      <w:r>
        <w:rPr>
          <w:rFonts w:ascii="Cambria" w:hAnsi="Cambria"/>
        </w:rPr>
        <w:t>Name</w:t>
      </w:r>
      <w:proofErr w:type="gramStart"/>
      <w:r>
        <w:rPr>
          <w:rFonts w:ascii="Cambria" w:hAnsi="Cambria"/>
        </w:rPr>
        <w:t>:_</w:t>
      </w:r>
      <w:proofErr w:type="gramEnd"/>
      <w:r>
        <w:rPr>
          <w:rFonts w:ascii="Cambria" w:hAnsi="Cambria"/>
        </w:rPr>
        <w:t>_________________________________                                  Signature: ______________________________________-</w:t>
      </w:r>
    </w:p>
    <w:p w:rsidR="00691D93" w:rsidRDefault="00691D93">
      <w:pPr>
        <w:rPr>
          <w:rFonts w:ascii="Cambria" w:hAnsi="Cambria"/>
          <w:b/>
          <w:sz w:val="24"/>
          <w:szCs w:val="24"/>
        </w:rPr>
      </w:pPr>
    </w:p>
    <w:p w:rsidR="00186348" w:rsidRPr="007A194A" w:rsidRDefault="00186348">
      <w:pPr>
        <w:rPr>
          <w:rFonts w:ascii="Cambria" w:hAnsi="Cambria"/>
          <w:sz w:val="24"/>
          <w:szCs w:val="24"/>
        </w:rPr>
        <w:sectPr w:rsidR="00186348" w:rsidRPr="007A194A" w:rsidSect="001863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186348" w:rsidRDefault="00186348">
      <w:pPr>
        <w:tabs>
          <w:tab w:val="right" w:pos="4593"/>
        </w:tabs>
        <w:spacing w:line="213" w:lineRule="auto"/>
        <w:rPr>
          <w:rFonts w:ascii="Cambria" w:hAnsi="Cambria"/>
          <w:color w:val="000000"/>
          <w:spacing w:val="-4"/>
          <w:w w:val="105"/>
          <w:sz w:val="24"/>
        </w:rPr>
      </w:pPr>
      <w:r>
        <w:rPr>
          <w:rFonts w:ascii="Cambria" w:hAnsi="Cambria"/>
          <w:color w:val="000000"/>
          <w:spacing w:val="-4"/>
          <w:w w:val="105"/>
          <w:sz w:val="24"/>
        </w:rPr>
        <w:t xml:space="preserve">    </w:t>
      </w:r>
    </w:p>
    <w:sectPr w:rsidR="00186348">
      <w:type w:val="continuous"/>
      <w:pgSz w:w="12240" w:h="15840"/>
      <w:pgMar w:top="1418" w:right="5764" w:bottom="6332" w:left="18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29" w:rsidRDefault="005C3629" w:rsidP="00186348">
      <w:r>
        <w:separator/>
      </w:r>
    </w:p>
  </w:endnote>
  <w:endnote w:type="continuationSeparator" w:id="0">
    <w:p w:rsidR="005C3629" w:rsidRDefault="005C3629" w:rsidP="0018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127" w:rsidRDefault="004421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127" w:rsidRDefault="004421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127" w:rsidRDefault="00442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29" w:rsidRDefault="005C3629" w:rsidP="00186348">
      <w:r>
        <w:separator/>
      </w:r>
    </w:p>
  </w:footnote>
  <w:footnote w:type="continuationSeparator" w:id="0">
    <w:p w:rsidR="005C3629" w:rsidRDefault="005C3629" w:rsidP="0018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127" w:rsidRDefault="004421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48" w:rsidRDefault="00442127" w:rsidP="00186348">
    <w:pPr>
      <w:pStyle w:val="Header"/>
      <w:jc w:val="center"/>
    </w:pPr>
    <w:r>
      <w:tab/>
    </w:r>
    <w:r w:rsidRPr="00D838D2">
      <w:rPr>
        <w:noProof/>
      </w:rPr>
      <w:drawing>
        <wp:inline distT="0" distB="0" distL="0" distR="0">
          <wp:extent cx="1761490" cy="637540"/>
          <wp:effectExtent l="0" t="0" r="0" b="0"/>
          <wp:docPr id="3" name="Picture 3" descr="Habit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bit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43A4B">
      <w:rPr>
        <w:noProof/>
      </w:rPr>
      <w:drawing>
        <wp:inline distT="0" distB="0" distL="0" distR="0">
          <wp:extent cx="939800" cy="830580"/>
          <wp:effectExtent l="0" t="0" r="0" b="7620"/>
          <wp:docPr id="1" name="Picture 1" descr="C:\Users\Mark Suderman\Pictures\Habitat Logos\Quality Assurance Se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 Suderman\Pictures\Habitat Logos\Quality Assurance Seal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348" w:rsidRDefault="00186348" w:rsidP="0018634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127" w:rsidRDefault="004421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71AAC"/>
    <w:multiLevelType w:val="multilevel"/>
    <w:tmpl w:val="DD245CE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7A"/>
    <w:rsid w:val="00063C59"/>
    <w:rsid w:val="00077EDD"/>
    <w:rsid w:val="00105D67"/>
    <w:rsid w:val="00114A50"/>
    <w:rsid w:val="00186348"/>
    <w:rsid w:val="003C20D2"/>
    <w:rsid w:val="003C586A"/>
    <w:rsid w:val="00442127"/>
    <w:rsid w:val="005C3629"/>
    <w:rsid w:val="00691D93"/>
    <w:rsid w:val="0073529D"/>
    <w:rsid w:val="007A194A"/>
    <w:rsid w:val="007A5D09"/>
    <w:rsid w:val="0083795C"/>
    <w:rsid w:val="00AB25F4"/>
    <w:rsid w:val="00B52F7A"/>
    <w:rsid w:val="00C23D91"/>
    <w:rsid w:val="00CA5A24"/>
    <w:rsid w:val="00D0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014FBC-1D60-4860-9FCF-56BC585D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348"/>
  </w:style>
  <w:style w:type="paragraph" w:styleId="Footer">
    <w:name w:val="footer"/>
    <w:basedOn w:val="Normal"/>
    <w:link w:val="FooterChar"/>
    <w:uiPriority w:val="99"/>
    <w:unhideWhenUsed/>
    <w:rsid w:val="00186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48"/>
  </w:style>
  <w:style w:type="paragraph" w:styleId="BalloonText">
    <w:name w:val="Balloon Text"/>
    <w:basedOn w:val="Normal"/>
    <w:link w:val="BalloonTextChar"/>
    <w:uiPriority w:val="99"/>
    <w:semiHidden/>
    <w:unhideWhenUsed/>
    <w:rsid w:val="007A1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Suderman</dc:creator>
  <cp:lastModifiedBy>Mark Suderman</cp:lastModifiedBy>
  <cp:revision>14</cp:revision>
  <cp:lastPrinted>2018-10-24T16:15:00Z</cp:lastPrinted>
  <dcterms:created xsi:type="dcterms:W3CDTF">2018-03-29T17:15:00Z</dcterms:created>
  <dcterms:modified xsi:type="dcterms:W3CDTF">2023-01-09T13:51:00Z</dcterms:modified>
</cp:coreProperties>
</file>