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D8ED" w14:textId="77777777" w:rsidR="00641D04" w:rsidRDefault="00641D04" w:rsidP="484B9821">
      <w:pPr>
        <w:shd w:val="clear" w:color="auto" w:fill="FFFFFF" w:themeFill="background1"/>
        <w:spacing w:before="225" w:after="225" w:line="240" w:lineRule="auto"/>
        <w:jc w:val="center"/>
        <w:outlineLvl w:val="0"/>
        <w:rPr>
          <w:rFonts w:ascii="Lato Bold" w:eastAsia="Times New Roman" w:hAnsi="Lato Bold" w:cs="Times New Roman"/>
          <w:color w:val="666666"/>
          <w:kern w:val="36"/>
          <w:sz w:val="40"/>
          <w:szCs w:val="40"/>
          <w14:ligatures w14:val="none"/>
        </w:rPr>
      </w:pPr>
      <w:r>
        <w:rPr>
          <w:noProof/>
        </w:rPr>
        <w:drawing>
          <wp:inline distT="0" distB="0" distL="0" distR="0" wp14:anchorId="64A497DE" wp14:editId="5C0622AD">
            <wp:extent cx="2639573" cy="487681"/>
            <wp:effectExtent l="0" t="0" r="0" b="0"/>
            <wp:docPr id="739479241" name="Picture 739479241" descr="A black background with a yellow bird and a blue gl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94792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573" cy="48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3FA10" w14:textId="16248D4D" w:rsidR="00516A05" w:rsidRPr="00641D04" w:rsidRDefault="474695A0" w:rsidP="484B9821">
      <w:pPr>
        <w:shd w:val="clear" w:color="auto" w:fill="FFFFFF" w:themeFill="background1"/>
        <w:spacing w:before="225" w:after="225" w:line="240" w:lineRule="auto"/>
        <w:jc w:val="center"/>
        <w:outlineLvl w:val="0"/>
        <w:rPr>
          <w:rFonts w:ascii="Lato Bold" w:eastAsia="Times New Roman" w:hAnsi="Lato Bold" w:cs="Times New Roman"/>
          <w:kern w:val="36"/>
          <w:sz w:val="40"/>
          <w:szCs w:val="40"/>
          <w14:ligatures w14:val="none"/>
        </w:rPr>
      </w:pPr>
      <w:r w:rsidRPr="00641D04">
        <w:rPr>
          <w:rFonts w:ascii="Lato Bold" w:eastAsia="Times New Roman" w:hAnsi="Lato Bold" w:cs="Times New Roman"/>
          <w:kern w:val="36"/>
          <w:sz w:val="40"/>
          <w:szCs w:val="40"/>
          <w14:ligatures w14:val="none"/>
        </w:rPr>
        <w:t>Employees</w:t>
      </w:r>
      <w:r w:rsidR="4BAA88BE" w:rsidRPr="00641D04">
        <w:rPr>
          <w:rFonts w:ascii="Lato Bold" w:eastAsia="Times New Roman" w:hAnsi="Lato Bold" w:cs="Times New Roman"/>
          <w:kern w:val="36"/>
          <w:sz w:val="40"/>
          <w:szCs w:val="40"/>
          <w14:ligatures w14:val="none"/>
        </w:rPr>
        <w:t xml:space="preserve"> </w:t>
      </w:r>
      <w:r w:rsidR="005F759E">
        <w:rPr>
          <w:rFonts w:ascii="Lato Bold" w:eastAsia="Times New Roman" w:hAnsi="Lato Bold" w:cs="Times New Roman"/>
          <w:kern w:val="36"/>
          <w:sz w:val="40"/>
          <w:szCs w:val="40"/>
          <w14:ligatures w14:val="none"/>
        </w:rPr>
        <w:t>+</w:t>
      </w:r>
      <w:r w:rsidR="4BAA88BE" w:rsidRPr="00641D04">
        <w:rPr>
          <w:rFonts w:ascii="Lato Bold" w:eastAsia="Times New Roman" w:hAnsi="Lato Bold" w:cs="Times New Roman"/>
          <w:kern w:val="36"/>
          <w:sz w:val="40"/>
          <w:szCs w:val="40"/>
          <w14:ligatures w14:val="none"/>
        </w:rPr>
        <w:t xml:space="preserve"> Independent Contractors</w:t>
      </w:r>
    </w:p>
    <w:p w14:paraId="258D1301" w14:textId="5CE5A9EA" w:rsidR="00516A05" w:rsidRPr="008B16B6" w:rsidRDefault="4BAA88BE" w:rsidP="484B9821">
      <w:pPr>
        <w:shd w:val="clear" w:color="auto" w:fill="FFFFFF" w:themeFill="background1"/>
        <w:spacing w:before="180" w:after="180" w:line="240" w:lineRule="auto"/>
        <w:rPr>
          <w:rFonts w:ascii="Lato" w:eastAsia="Times New Roman" w:hAnsi="Lato" w:cs="Times New Roman"/>
          <w:kern w:val="0"/>
          <w:sz w:val="24"/>
          <w:szCs w:val="24"/>
          <w14:ligatures w14:val="none"/>
        </w:rPr>
      </w:pPr>
      <w:r w:rsidRPr="008B16B6">
        <w:rPr>
          <w:rFonts w:ascii="Lato" w:eastAsia="Times New Roman" w:hAnsi="Lato" w:cs="Times New Roman"/>
          <w:b/>
          <w:bCs/>
          <w:kern w:val="0"/>
          <w:sz w:val="24"/>
          <w:szCs w:val="24"/>
          <w14:ligatures w14:val="none"/>
        </w:rPr>
        <w:t>Payroll: A primary area of legal and financial risk</w:t>
      </w:r>
    </w:p>
    <w:p w14:paraId="301EC303" w14:textId="13564260" w:rsidR="00516A05" w:rsidRPr="00D704E7" w:rsidRDefault="4BAA88BE" w:rsidP="484B9821">
      <w:pPr>
        <w:shd w:val="clear" w:color="auto" w:fill="FFFFFF" w:themeFill="background1"/>
        <w:spacing w:before="180" w:after="180" w:line="240" w:lineRule="auto"/>
        <w:rPr>
          <w:rFonts w:ascii="Lato" w:eastAsia="Times New Roman" w:hAnsi="Lato" w:cs="Times New Roman"/>
          <w:kern w:val="0"/>
          <w:sz w:val="24"/>
          <w:szCs w:val="24"/>
          <w14:ligatures w14:val="none"/>
        </w:rPr>
      </w:pPr>
      <w:r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While U</w:t>
      </w:r>
      <w:r w:rsidR="0CC46D80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.</w:t>
      </w:r>
      <w:r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S</w:t>
      </w:r>
      <w:r w:rsidR="0CC46D80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.</w:t>
      </w:r>
      <w:r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religious nonprofit organizations and their employees may have access to certain exemptions or benefits unique to ministry organizations, uninformed leaders and some financial professionals</w:t>
      </w:r>
      <w:r w:rsidR="005F759E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misunderstand or misappropriate these provisions</w:t>
      </w:r>
      <w:r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.  </w:t>
      </w:r>
    </w:p>
    <w:p w14:paraId="272C2607" w14:textId="1070631C" w:rsidR="00516A05" w:rsidRPr="00D704E7" w:rsidRDefault="70C1A0B1" w:rsidP="484B9821">
      <w:pPr>
        <w:shd w:val="clear" w:color="auto" w:fill="FFFFFF" w:themeFill="background1"/>
        <w:spacing w:before="180" w:after="180" w:line="240" w:lineRule="auto"/>
        <w:rPr>
          <w:rFonts w:ascii="Lato" w:eastAsia="Times New Roman" w:hAnsi="Lato" w:cs="Times New Roman"/>
          <w:kern w:val="0"/>
          <w:sz w:val="24"/>
          <w:szCs w:val="24"/>
          <w14:ligatures w14:val="none"/>
        </w:rPr>
      </w:pPr>
      <w:r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Improper</w:t>
      </w:r>
      <w:r w:rsidR="4BAA88BE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compensation practices within the ministry sector </w:t>
      </w:r>
      <w:r w:rsidR="244167A3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are</w:t>
      </w:r>
      <w:r w:rsidR="4BAA88BE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</w:t>
      </w:r>
      <w:r w:rsidR="379E6D8B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the</w:t>
      </w:r>
      <w:r w:rsidR="4BAA88BE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most significant legal and financial exposure for church leaders, outside of the</w:t>
      </w:r>
      <w:r w:rsidR="6EBF7D7A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inherent liabilities </w:t>
      </w:r>
      <w:r w:rsidR="4BAA88BE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associated with sexual misconduct and </w:t>
      </w:r>
      <w:r w:rsidR="006C096B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the </w:t>
      </w:r>
      <w:r w:rsidR="4BAA88BE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protection of children and youth.</w:t>
      </w:r>
    </w:p>
    <w:p w14:paraId="63BBAF83" w14:textId="2D2193B1" w:rsidR="00516A05" w:rsidRPr="00D704E7" w:rsidRDefault="4BAA88BE" w:rsidP="484B9821">
      <w:pPr>
        <w:shd w:val="clear" w:color="auto" w:fill="FFFFFF" w:themeFill="background1"/>
        <w:spacing w:before="180" w:after="180" w:line="240" w:lineRule="auto"/>
        <w:rPr>
          <w:rFonts w:ascii="Lato" w:eastAsia="Times New Roman" w:hAnsi="Lato" w:cs="Times New Roman"/>
          <w:kern w:val="0"/>
          <w:sz w:val="24"/>
          <w:szCs w:val="24"/>
          <w14:ligatures w14:val="none"/>
        </w:rPr>
      </w:pPr>
      <w:r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Nonprofit organizations have strong prohibitions against employees or other insiders benefitting from the </w:t>
      </w:r>
      <w:r w:rsidR="004701A3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organization's assets</w:t>
      </w:r>
      <w:r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in a way that is unfair or</w:t>
      </w:r>
      <w:r w:rsidR="6612E402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not commensurate </w:t>
      </w:r>
      <w:r w:rsidR="004701A3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with</w:t>
      </w:r>
      <w:r w:rsidRPr="484B9821">
        <w:rPr>
          <w:rFonts w:ascii="Lato" w:eastAsia="Times New Roman" w:hAnsi="Lato" w:cs="Times New Roman"/>
          <w:sz w:val="24"/>
          <w:szCs w:val="24"/>
        </w:rPr>
        <w:t xml:space="preserve"> their role. </w:t>
      </w:r>
      <w:r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These prohibitions are collectively </w:t>
      </w:r>
      <w:r w:rsidR="73A6BCE4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called</w:t>
      </w:r>
      <w:r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the </w:t>
      </w:r>
      <w:r w:rsidRPr="00D704E7">
        <w:rPr>
          <w:rFonts w:ascii="Lato" w:eastAsia="Times New Roman" w:hAnsi="Lato" w:cs="Times New Roman"/>
          <w:b/>
          <w:bCs/>
          <w:kern w:val="0"/>
          <w:sz w:val="24"/>
          <w:szCs w:val="24"/>
          <w:u w:val="single"/>
          <w14:ligatures w14:val="none"/>
        </w:rPr>
        <w:t>private</w:t>
      </w:r>
      <w:r w:rsidR="214072BE" w:rsidRPr="00D704E7">
        <w:rPr>
          <w:rFonts w:ascii="Lato" w:eastAsia="Times New Roman" w:hAnsi="Lato" w:cs="Times New Roman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Pr="00D704E7">
        <w:rPr>
          <w:rFonts w:ascii="Lato" w:eastAsia="Times New Roman" w:hAnsi="Lato" w:cs="Times New Roman"/>
          <w:b/>
          <w:bCs/>
          <w:kern w:val="0"/>
          <w:sz w:val="24"/>
          <w:szCs w:val="24"/>
          <w:u w:val="single"/>
          <w14:ligatures w14:val="none"/>
        </w:rPr>
        <w:t>inurement doctrine</w:t>
      </w:r>
      <w:r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.</w:t>
      </w:r>
    </w:p>
    <w:p w14:paraId="32490DAE" w14:textId="63B2D2D8" w:rsidR="00516A05" w:rsidRPr="00D704E7" w:rsidRDefault="0032445F" w:rsidP="46C0FB5D">
      <w:pPr>
        <w:shd w:val="clear" w:color="auto" w:fill="FFFFFF" w:themeFill="background1"/>
        <w:spacing w:before="180" w:after="180" w:line="240" w:lineRule="auto"/>
        <w:rPr>
          <w:rFonts w:ascii="Lato" w:eastAsia="Times New Roman" w:hAnsi="Lato" w:cs="Times New Roman"/>
          <w:kern w:val="0"/>
          <w:sz w:val="24"/>
          <w:szCs w:val="24"/>
          <w14:ligatures w14:val="none"/>
        </w:rPr>
      </w:pPr>
      <w:r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T</w:t>
      </w:r>
      <w:r w:rsidR="4BAA88BE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he socio-political climate has shifted</w:t>
      </w:r>
      <w:r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in the 21st century</w:t>
      </w:r>
      <w:r w:rsidR="004701A3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,</w:t>
      </w:r>
      <w:r w:rsidR="4BAA88BE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resulting in greater scrutiny and animosity toward the Christian church than ever in U</w:t>
      </w:r>
      <w:r w:rsidR="35652522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.</w:t>
      </w:r>
      <w:r w:rsidR="4BAA88BE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S</w:t>
      </w:r>
      <w:r w:rsidR="4FF2469A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.</w:t>
      </w:r>
      <w:r w:rsidR="4BAA88BE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history. Therefore, it is incumbent upon every ministry leader to be well-informed about legal compensation practices to ensure that our adversary, the devil, does not have any opportunity to discredit or bring financial ruin to any local Foursquare church or leader.</w:t>
      </w:r>
    </w:p>
    <w:p w14:paraId="65E22569" w14:textId="77777777" w:rsidR="00516A05" w:rsidRPr="0071271E" w:rsidRDefault="4BAA88BE" w:rsidP="484B9821">
      <w:pPr>
        <w:shd w:val="clear" w:color="auto" w:fill="FFFFFF" w:themeFill="background1"/>
        <w:spacing w:before="225" w:after="225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8"/>
          <w:szCs w:val="28"/>
          <w14:ligatures w14:val="none"/>
        </w:rPr>
      </w:pPr>
      <w:r w:rsidRPr="0071271E">
        <w:rPr>
          <w:rFonts w:ascii="Lato" w:eastAsia="Times New Roman" w:hAnsi="Lato" w:cs="Times New Roman"/>
          <w:b/>
          <w:bCs/>
          <w:kern w:val="36"/>
          <w:sz w:val="28"/>
          <w:szCs w:val="28"/>
          <w14:ligatures w14:val="none"/>
        </w:rPr>
        <w:t>Independent Contractors &amp; 1099's</w:t>
      </w:r>
    </w:p>
    <w:p w14:paraId="2FC22D46" w14:textId="77777777" w:rsidR="00516A05" w:rsidRPr="0071271E" w:rsidRDefault="4BAA88BE" w:rsidP="484B9821">
      <w:pPr>
        <w:shd w:val="clear" w:color="auto" w:fill="FFFFFF" w:themeFill="background1"/>
        <w:spacing w:before="180" w:after="180" w:line="240" w:lineRule="auto"/>
        <w:rPr>
          <w:rFonts w:ascii="Lato" w:eastAsia="Times New Roman" w:hAnsi="Lato" w:cs="Times New Roman"/>
          <w:kern w:val="0"/>
          <w:sz w:val="24"/>
          <w:szCs w:val="24"/>
          <w14:ligatures w14:val="none"/>
        </w:rPr>
      </w:pPr>
      <w:r w:rsidRPr="0071271E">
        <w:rPr>
          <w:rFonts w:ascii="Lato" w:eastAsia="Times New Roman" w:hAnsi="Lato" w:cs="Times New Roman"/>
          <w:b/>
          <w:bCs/>
          <w:kern w:val="0"/>
          <w:sz w:val="24"/>
          <w:szCs w:val="24"/>
          <w14:ligatures w14:val="none"/>
        </w:rPr>
        <w:t>What qualifies someone as an independent contractor?</w:t>
      </w:r>
    </w:p>
    <w:p w14:paraId="474FA122" w14:textId="6F83D5F2" w:rsidR="00516A05" w:rsidRPr="00D704E7" w:rsidRDefault="4BAA88BE" w:rsidP="484B9821">
      <w:pPr>
        <w:shd w:val="clear" w:color="auto" w:fill="FFFFFF" w:themeFill="background1"/>
        <w:spacing w:before="180" w:after="180" w:line="240" w:lineRule="auto"/>
        <w:rPr>
          <w:rFonts w:ascii="Lato" w:eastAsia="Times New Roman" w:hAnsi="Lato" w:cs="Times New Roman"/>
          <w:kern w:val="0"/>
          <w:sz w:val="24"/>
          <w:szCs w:val="24"/>
          <w14:ligatures w14:val="none"/>
        </w:rPr>
      </w:pPr>
      <w:r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The idea that employers can arbitrarily choose to classify a worker as an independent contractor is a common misconception that can </w:t>
      </w:r>
      <w:r w:rsidR="0003050D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result in</w:t>
      </w:r>
      <w:r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steep fines. </w:t>
      </w:r>
      <w:r w:rsidR="0003050D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The IRS and the federal Department of L</w:t>
      </w:r>
      <w:r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abor have a list of criteria to clearly define which workers may be </w:t>
      </w:r>
      <w:r w:rsidR="0003050D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considered</w:t>
      </w:r>
      <w:r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independent and thus bypass the protections afforded to employees through federal and state labor laws.</w:t>
      </w:r>
    </w:p>
    <w:p w14:paraId="67194BFD" w14:textId="42BCBE7B" w:rsidR="00516A05" w:rsidRPr="00D704E7" w:rsidRDefault="370B8738" w:rsidP="484B9821">
      <w:pPr>
        <w:shd w:val="clear" w:color="auto" w:fill="FFFFFF" w:themeFill="background1"/>
        <w:spacing w:before="180" w:after="180" w:line="240" w:lineRule="auto"/>
        <w:rPr>
          <w:rFonts w:ascii="Lato" w:eastAsia="Times New Roman" w:hAnsi="Lato" w:cs="Times New Roman"/>
          <w:kern w:val="0"/>
          <w:sz w:val="24"/>
          <w:szCs w:val="24"/>
          <w14:ligatures w14:val="none"/>
        </w:rPr>
      </w:pPr>
      <w:r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Employee</w:t>
      </w:r>
      <w:r w:rsidR="4BAA88BE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classification comes down to control. Employers control how, when and where their employees perform their duties. By contrast, independent contractors are paid </w:t>
      </w:r>
      <w:r w:rsidR="3BCA1EAD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for their</w:t>
      </w:r>
      <w:r w:rsidR="4BAA88BE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expertise, </w:t>
      </w:r>
      <w:proofErr w:type="gramStart"/>
      <w:r w:rsidR="4BAA88BE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provide</w:t>
      </w:r>
      <w:proofErr w:type="gramEnd"/>
      <w:r w:rsidR="4BAA88BE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their equipment, </w:t>
      </w:r>
      <w:proofErr w:type="gramStart"/>
      <w:r w:rsidR="1310CE1C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pay</w:t>
      </w:r>
      <w:proofErr w:type="gramEnd"/>
      <w:r w:rsidR="1310CE1C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for</w:t>
      </w:r>
      <w:r w:rsidR="4BAA88BE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their </w:t>
      </w:r>
      <w:r w:rsidR="532002C6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insurance,</w:t>
      </w:r>
      <w:r w:rsidR="4BAA88BE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and </w:t>
      </w:r>
      <w:proofErr w:type="gramStart"/>
      <w:r w:rsidR="4BAA88BE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establish</w:t>
      </w:r>
      <w:proofErr w:type="gramEnd"/>
      <w:r w:rsidR="4BAA88BE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their availability on an ongoing basis.</w:t>
      </w:r>
    </w:p>
    <w:p w14:paraId="5085097E" w14:textId="77777777" w:rsidR="00516A05" w:rsidRPr="0071271E" w:rsidRDefault="4BAA88BE" w:rsidP="484B9821">
      <w:pPr>
        <w:shd w:val="clear" w:color="auto" w:fill="FFFFFF" w:themeFill="background1"/>
        <w:spacing w:before="180" w:after="180" w:line="240" w:lineRule="auto"/>
        <w:rPr>
          <w:rFonts w:ascii="Lato" w:eastAsia="Times New Roman" w:hAnsi="Lato" w:cs="Times New Roman"/>
          <w:b/>
          <w:bCs/>
          <w:kern w:val="36"/>
          <w:sz w:val="28"/>
          <w:szCs w:val="28"/>
          <w14:ligatures w14:val="none"/>
        </w:rPr>
      </w:pPr>
      <w:r w:rsidRPr="0071271E">
        <w:rPr>
          <w:rFonts w:ascii="Lato" w:eastAsia="Times New Roman" w:hAnsi="Lato" w:cs="Times New Roman"/>
          <w:b/>
          <w:bCs/>
          <w:kern w:val="36"/>
          <w:sz w:val="28"/>
          <w:szCs w:val="28"/>
          <w14:ligatures w14:val="none"/>
        </w:rPr>
        <w:t>Why is employee classification scrutinized?</w:t>
      </w:r>
    </w:p>
    <w:p w14:paraId="1ACA1140" w14:textId="7DC95B2B" w:rsidR="00516A05" w:rsidRPr="00D704E7" w:rsidRDefault="4BAA88BE" w:rsidP="484B9821">
      <w:pPr>
        <w:shd w:val="clear" w:color="auto" w:fill="FFFFFF" w:themeFill="background1"/>
        <w:spacing w:before="180" w:after="180" w:line="240" w:lineRule="auto"/>
        <w:rPr>
          <w:rFonts w:ascii="Lato" w:eastAsia="Times New Roman" w:hAnsi="Lato" w:cs="Times New Roman"/>
          <w:kern w:val="0"/>
          <w:sz w:val="24"/>
          <w:szCs w:val="24"/>
          <w14:ligatures w14:val="none"/>
        </w:rPr>
      </w:pPr>
      <w:r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Over the last several decades, U</w:t>
      </w:r>
      <w:r w:rsidR="0E1B4414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.</w:t>
      </w:r>
      <w:r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S</w:t>
      </w:r>
      <w:r w:rsidR="0E1B4414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.</w:t>
      </w:r>
      <w:r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employers have been impacted by increasingly rigorous employment standards</w:t>
      </w:r>
      <w:r w:rsidR="0032445F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,</w:t>
      </w:r>
      <w:r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including healthcare mandates, timekeeping requirements, overtime rules and payroll reporting requirements. These rules have been enacted to ensure that employees receive fair treatment in the workplace.</w:t>
      </w:r>
    </w:p>
    <w:p w14:paraId="55047BFF" w14:textId="30454DB4" w:rsidR="00516A05" w:rsidRPr="00D704E7" w:rsidRDefault="4BAA88BE" w:rsidP="484B9821">
      <w:pPr>
        <w:shd w:val="clear" w:color="auto" w:fill="FFFFFF" w:themeFill="background1"/>
        <w:spacing w:after="0" w:line="240" w:lineRule="auto"/>
        <w:rPr>
          <w:rFonts w:ascii="Lato" w:eastAsia="Times New Roman" w:hAnsi="Lato" w:cs="Times New Roman"/>
          <w:kern w:val="0"/>
          <w:sz w:val="24"/>
          <w:szCs w:val="24"/>
          <w14:ligatures w14:val="none"/>
        </w:rPr>
      </w:pPr>
      <w:r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lastRenderedPageBreak/>
        <w:t xml:space="preserve">In response, many employers have sought to </w:t>
      </w:r>
      <w:r w:rsidR="68DE30C1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sidestep</w:t>
      </w:r>
      <w:r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the burden imposed by some of these requirements by reclassifying their workers as independent or "self-employed</w:t>
      </w:r>
      <w:r w:rsidR="006B4A7E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,"</w:t>
      </w:r>
      <w:r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thus shifting the employer</w:t>
      </w:r>
      <w:r w:rsidR="00C51789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’s</w:t>
      </w:r>
      <w:r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responsibilities over to the worker. While this is appropriate in the case of truly </w:t>
      </w:r>
      <w:r w:rsidR="2D8744A7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self-employed</w:t>
      </w:r>
      <w:r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business owners, in many other cases</w:t>
      </w:r>
      <w:r w:rsidR="008634E5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,</w:t>
      </w:r>
      <w:r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this can </w:t>
      </w:r>
      <w:r w:rsidR="00C51789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violate the laws</w:t>
      </w:r>
      <w:r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designed to protect workers from unfair business practices. As a result, the IRS has been empowered to levy steep fines and penalties on employers that fail to c</w:t>
      </w:r>
      <w:r w:rsidR="008634E5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lassify their workers correctly</w:t>
      </w:r>
      <w:r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.  </w:t>
      </w:r>
    </w:p>
    <w:p w14:paraId="2815C4DF" w14:textId="2368804F" w:rsidR="00516A05" w:rsidRPr="00D704E7" w:rsidRDefault="00C87DF4" w:rsidP="484B9821">
      <w:pPr>
        <w:shd w:val="clear" w:color="auto" w:fill="FFFFFF" w:themeFill="background1"/>
        <w:spacing w:before="180" w:after="180" w:line="240" w:lineRule="auto"/>
        <w:rPr>
          <w:rFonts w:ascii="Lato" w:eastAsia="Times New Roman" w:hAnsi="Lato" w:cs="Times New Roman"/>
          <w:kern w:val="0"/>
          <w:sz w:val="24"/>
          <w:szCs w:val="24"/>
          <w14:ligatures w14:val="none"/>
        </w:rPr>
      </w:pPr>
      <w:r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The IRS sets a dollar </w:t>
      </w:r>
      <w:r w:rsidR="00B36B51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threshold each year for an amount paid </w:t>
      </w:r>
      <w:r w:rsidR="4BAA88BE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to an independent contractor</w:t>
      </w:r>
      <w:r w:rsidR="00B36B51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that requires reporting of this income to the IRS. </w:t>
      </w:r>
      <w:r w:rsidR="00652F80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Their income when it hits this threshold </w:t>
      </w:r>
      <w:r w:rsidR="4BAA88BE" w:rsidRPr="00D704E7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must be reported annually to the worker, the IRS and (in many cases) the state employment authority using IRS Form 1099-NEC. The IRS assesses fines for failure to provide a 1099-NEC to the appropriate individuals. </w:t>
      </w:r>
      <w:r w:rsidR="4BAA88BE" w:rsidRPr="06E2FF38">
        <w:rPr>
          <w:rFonts w:ascii="Lato" w:eastAsia="Times New Roman" w:hAnsi="Lato" w:cs="Times New Roman"/>
          <w:i/>
          <w:iCs/>
          <w:kern w:val="0"/>
          <w:sz w:val="24"/>
          <w:szCs w:val="24"/>
          <w14:ligatures w14:val="none"/>
        </w:rPr>
        <w:t xml:space="preserve">Note: IRS Form 1099 is not required for services paid to a registered corporation. Remember that just because you make a check out to a business name does not mean that the business is incorporated. Many </w:t>
      </w:r>
      <w:r w:rsidR="12B48135" w:rsidRPr="06E2FF38">
        <w:rPr>
          <w:rFonts w:ascii="Lato" w:eastAsia="Times New Roman" w:hAnsi="Lato" w:cs="Times New Roman"/>
          <w:i/>
          <w:iCs/>
          <w:kern w:val="0"/>
          <w:sz w:val="24"/>
          <w:szCs w:val="24"/>
          <w14:ligatures w14:val="none"/>
        </w:rPr>
        <w:t>self-employed</w:t>
      </w:r>
      <w:r w:rsidR="4BAA88BE" w:rsidRPr="06E2FF38">
        <w:rPr>
          <w:rFonts w:ascii="Lato" w:eastAsia="Times New Roman" w:hAnsi="Lato" w:cs="Times New Roman"/>
          <w:i/>
          <w:iCs/>
          <w:kern w:val="0"/>
          <w:sz w:val="24"/>
          <w:szCs w:val="24"/>
          <w14:ligatures w14:val="none"/>
        </w:rPr>
        <w:t xml:space="preserve"> people set up a trade name for their business and need to receive </w:t>
      </w:r>
      <w:proofErr w:type="gramStart"/>
      <w:r w:rsidR="4BAA88BE" w:rsidRPr="06E2FF38">
        <w:rPr>
          <w:rFonts w:ascii="Lato" w:eastAsia="Times New Roman" w:hAnsi="Lato" w:cs="Times New Roman"/>
          <w:i/>
          <w:iCs/>
          <w:kern w:val="0"/>
          <w:sz w:val="24"/>
          <w:szCs w:val="24"/>
          <w14:ligatures w14:val="none"/>
        </w:rPr>
        <w:t>a 1099</w:t>
      </w:r>
      <w:proofErr w:type="gramEnd"/>
      <w:r w:rsidR="4BAA88BE" w:rsidRPr="06E2FF38">
        <w:rPr>
          <w:rFonts w:ascii="Lato" w:eastAsia="Times New Roman" w:hAnsi="Lato" w:cs="Times New Roman"/>
          <w:i/>
          <w:iCs/>
          <w:kern w:val="0"/>
          <w:sz w:val="24"/>
          <w:szCs w:val="24"/>
          <w14:ligatures w14:val="none"/>
        </w:rPr>
        <w:t>.</w:t>
      </w:r>
    </w:p>
    <w:p w14:paraId="662E73AE" w14:textId="35C1BB5E" w:rsidR="00516A05" w:rsidRPr="00C22EA8" w:rsidRDefault="4BAA88BE" w:rsidP="2D3BA83C">
      <w:pPr>
        <w:shd w:val="clear" w:color="auto" w:fill="FFFFFF" w:themeFill="background1"/>
        <w:spacing w:before="180" w:after="180" w:line="240" w:lineRule="auto"/>
        <w:rPr>
          <w:rFonts w:ascii="Lato" w:eastAsia="Times New Roman" w:hAnsi="Lato" w:cs="Times New Roman"/>
          <w:b/>
          <w:bCs/>
          <w:kern w:val="0"/>
          <w:sz w:val="24"/>
          <w:szCs w:val="24"/>
          <w14:ligatures w14:val="none"/>
        </w:rPr>
      </w:pPr>
      <w:r w:rsidRPr="00C22EA8">
        <w:rPr>
          <w:rFonts w:ascii="Lato" w:eastAsia="Times New Roman" w:hAnsi="Lato" w:cs="Times New Roman"/>
          <w:b/>
          <w:bCs/>
          <w:kern w:val="0"/>
          <w:sz w:val="24"/>
          <w:szCs w:val="24"/>
          <w14:ligatures w14:val="none"/>
        </w:rPr>
        <w:t xml:space="preserve">Common </w:t>
      </w:r>
      <w:r w:rsidR="0411A668">
        <w:rPr>
          <w:rFonts w:ascii="Lato" w:eastAsia="Times New Roman" w:hAnsi="Lato" w:cs="Times New Roman"/>
          <w:b/>
          <w:bCs/>
          <w:kern w:val="0"/>
          <w:sz w:val="24"/>
          <w:szCs w:val="24"/>
          <w14:ligatures w14:val="none"/>
        </w:rPr>
        <w:t>transfers of funds that should be</w:t>
      </w:r>
      <w:r w:rsidRPr="00C22EA8">
        <w:rPr>
          <w:rFonts w:ascii="Lato" w:eastAsia="Times New Roman" w:hAnsi="Lato" w:cs="Times New Roman"/>
          <w:b/>
          <w:bCs/>
          <w:kern w:val="0"/>
          <w:sz w:val="24"/>
          <w:szCs w:val="24"/>
          <w14:ligatures w14:val="none"/>
        </w:rPr>
        <w:t xml:space="preserve"> reported on IRS Form 1099</w:t>
      </w:r>
      <w:r w:rsidR="04CD7848" w:rsidRPr="00C22EA8">
        <w:rPr>
          <w:rFonts w:ascii="Lato" w:eastAsia="Times New Roman" w:hAnsi="Lato" w:cs="Times New Roman"/>
          <w:b/>
          <w:bCs/>
          <w:kern w:val="0"/>
          <w:sz w:val="24"/>
          <w:szCs w:val="24"/>
          <w14:ligatures w14:val="none"/>
        </w:rPr>
        <w:t xml:space="preserve"> or on a W-2:</w:t>
      </w:r>
    </w:p>
    <w:p w14:paraId="1F18BDCB" w14:textId="77777777" w:rsidR="00516A05" w:rsidRPr="00C22EA8" w:rsidRDefault="4BAA88BE" w:rsidP="484B982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1095"/>
        <w:rPr>
          <w:rFonts w:ascii="Lato" w:eastAsia="Times New Roman" w:hAnsi="Lato" w:cs="Times New Roman"/>
          <w:kern w:val="0"/>
          <w:sz w:val="24"/>
          <w:szCs w:val="24"/>
          <w14:ligatures w14:val="none"/>
        </w:rPr>
      </w:pPr>
      <w:r w:rsidRPr="00C22EA8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Rental income paid to individual (unincorporated) landlords</w:t>
      </w:r>
    </w:p>
    <w:p w14:paraId="1335D796" w14:textId="00ACB7B1" w:rsidR="00516A05" w:rsidRPr="00C22EA8" w:rsidRDefault="4BAA88BE" w:rsidP="484B982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1095"/>
        <w:rPr>
          <w:rFonts w:ascii="Lato" w:eastAsia="Times New Roman" w:hAnsi="Lato" w:cs="Times New Roman"/>
          <w:kern w:val="0"/>
          <w:sz w:val="24"/>
          <w:szCs w:val="24"/>
          <w14:ligatures w14:val="none"/>
        </w:rPr>
      </w:pPr>
      <w:r w:rsidRPr="00C22EA8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Wages paid for cleaning or landscaping services</w:t>
      </w:r>
    </w:p>
    <w:p w14:paraId="139C49DF" w14:textId="6068B303" w:rsidR="00516A05" w:rsidRPr="00C22EA8" w:rsidRDefault="4BAA88BE" w:rsidP="484B982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1095"/>
        <w:rPr>
          <w:rFonts w:ascii="Lato" w:eastAsia="Times New Roman" w:hAnsi="Lato" w:cs="Times New Roman"/>
          <w:kern w:val="0"/>
          <w:sz w:val="24"/>
          <w:szCs w:val="24"/>
          <w14:ligatures w14:val="none"/>
        </w:rPr>
      </w:pPr>
      <w:r w:rsidRPr="00C22EA8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Wages paid to musicians</w:t>
      </w:r>
    </w:p>
    <w:p w14:paraId="6DCAA236" w14:textId="0F9BA7C1" w:rsidR="00516A05" w:rsidRPr="00C22EA8" w:rsidRDefault="4BAA88BE" w:rsidP="484B982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1095"/>
        <w:rPr>
          <w:rFonts w:ascii="Lato" w:eastAsia="Times New Roman" w:hAnsi="Lato" w:cs="Times New Roman"/>
          <w:kern w:val="0"/>
          <w:sz w:val="24"/>
          <w:szCs w:val="24"/>
          <w14:ligatures w14:val="none"/>
        </w:rPr>
      </w:pPr>
      <w:r w:rsidRPr="00C22EA8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Honorariums paid to visiting speakers or missionar</w:t>
      </w:r>
      <w:r w:rsidR="000806FE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y</w:t>
      </w:r>
      <w:r w:rsidR="008634E5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</w:t>
      </w:r>
      <w:r w:rsidR="000806FE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worker</w:t>
      </w:r>
      <w:r w:rsidRPr="00C22EA8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s</w:t>
      </w:r>
    </w:p>
    <w:p w14:paraId="11BDE649" w14:textId="77777777" w:rsidR="00516A05" w:rsidRPr="00C22EA8" w:rsidRDefault="4BAA88BE" w:rsidP="484B982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1095"/>
        <w:rPr>
          <w:rFonts w:ascii="Lato" w:eastAsia="Times New Roman" w:hAnsi="Lato" w:cs="Times New Roman"/>
          <w:kern w:val="0"/>
          <w:sz w:val="24"/>
          <w:szCs w:val="24"/>
          <w14:ligatures w14:val="none"/>
        </w:rPr>
      </w:pPr>
      <w:r w:rsidRPr="00C22EA8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Financial "gifts" given to laypersons who serve at church (note, the IRS treats this as wages)</w:t>
      </w:r>
    </w:p>
    <w:p w14:paraId="16B59716" w14:textId="715755AD" w:rsidR="2D3BA83C" w:rsidRDefault="2D3BA83C" w:rsidP="2D3BA83C">
      <w:pPr>
        <w:shd w:val="clear" w:color="auto" w:fill="FFFFFF" w:themeFill="background1"/>
        <w:spacing w:after="0" w:line="240" w:lineRule="auto"/>
        <w:rPr>
          <w:rFonts w:ascii="Lato" w:eastAsia="Times New Roman" w:hAnsi="Lato" w:cs="Times New Roman"/>
          <w:sz w:val="24"/>
          <w:szCs w:val="24"/>
        </w:rPr>
      </w:pPr>
    </w:p>
    <w:p w14:paraId="296E68A7" w14:textId="457B8466" w:rsidR="1C86D6FF" w:rsidRDefault="1C86D6FF" w:rsidP="2D3BA83C">
      <w:pPr>
        <w:shd w:val="clear" w:color="auto" w:fill="FFFFFF" w:themeFill="background1"/>
        <w:spacing w:after="0" w:line="240" w:lineRule="auto"/>
        <w:rPr>
          <w:rFonts w:ascii="Lato" w:eastAsia="Times New Roman" w:hAnsi="Lato" w:cs="Times New Roman"/>
          <w:sz w:val="24"/>
          <w:szCs w:val="24"/>
        </w:rPr>
      </w:pPr>
      <w:r w:rsidRPr="484B9821">
        <w:rPr>
          <w:rFonts w:ascii="Lato" w:eastAsia="Times New Roman" w:hAnsi="Lato" w:cs="Times New Roman"/>
          <w:sz w:val="24"/>
          <w:szCs w:val="24"/>
        </w:rPr>
        <w:t xml:space="preserve">The church must use the tools provided by the IRS and Department of Labor (available on the admin toolkit) to determine </w:t>
      </w:r>
      <w:r w:rsidR="000806FE">
        <w:rPr>
          <w:rFonts w:ascii="Lato" w:eastAsia="Times New Roman" w:hAnsi="Lato" w:cs="Times New Roman"/>
          <w:sz w:val="24"/>
          <w:szCs w:val="24"/>
        </w:rPr>
        <w:t>whether these individuals are</w:t>
      </w:r>
      <w:r w:rsidRPr="484B9821">
        <w:rPr>
          <w:rFonts w:ascii="Lato" w:eastAsia="Times New Roman" w:hAnsi="Lato" w:cs="Times New Roman"/>
          <w:sz w:val="24"/>
          <w:szCs w:val="24"/>
        </w:rPr>
        <w:t xml:space="preserve"> independent contractors or employees. </w:t>
      </w:r>
    </w:p>
    <w:p w14:paraId="1A4ED7B1" w14:textId="10F9C9F3" w:rsidR="2D3BA83C" w:rsidRDefault="2D3BA83C" w:rsidP="2D3BA83C">
      <w:pPr>
        <w:shd w:val="clear" w:color="auto" w:fill="FFFFFF" w:themeFill="background1"/>
        <w:spacing w:after="0" w:line="240" w:lineRule="auto"/>
        <w:rPr>
          <w:rFonts w:ascii="Lato" w:eastAsia="Times New Roman" w:hAnsi="Lato" w:cs="Times New Roman"/>
          <w:sz w:val="24"/>
          <w:szCs w:val="24"/>
        </w:rPr>
      </w:pPr>
    </w:p>
    <w:p w14:paraId="151E3A0D" w14:textId="6A5AA02A" w:rsidR="00E47BDB" w:rsidRDefault="00DF1CA5" w:rsidP="484B9821">
      <w:pPr>
        <w:shd w:val="clear" w:color="auto" w:fill="FFFFFF" w:themeFill="background1"/>
        <w:spacing w:after="0" w:line="240" w:lineRule="auto"/>
        <w:rPr>
          <w:rStyle w:val="Hyperlink"/>
          <w:rFonts w:ascii="Lato" w:eastAsia="Times New Roman" w:hAnsi="Lato" w:cs="Times New Roman"/>
          <w:sz w:val="24"/>
          <w:szCs w:val="24"/>
        </w:rPr>
      </w:pPr>
      <w:r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Generally</w:t>
      </w:r>
      <w:r w:rsidR="4BAA88BE" w:rsidRPr="00C22EA8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, the IRS treats any exchange of money for service as </w:t>
      </w:r>
      <w:r w:rsidR="220AEDE0" w:rsidRPr="00C22EA8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compensation</w:t>
      </w:r>
      <w:r w:rsidR="4BAA88BE" w:rsidRPr="00C22EA8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. Failure to report paid </w:t>
      </w:r>
      <w:r w:rsidR="669F6E8F" w:rsidRPr="00C22EA8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compensation</w:t>
      </w:r>
      <w:r w:rsidR="4BAA88BE" w:rsidRPr="00C22EA8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can result in church employers unwittingly aiding in tax evasion, so it is </w:t>
      </w:r>
      <w:r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essential</w:t>
      </w:r>
      <w:r w:rsidR="4BAA88BE" w:rsidRPr="00C22EA8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to be well</w:t>
      </w:r>
      <w:r w:rsidR="008634E5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 </w:t>
      </w:r>
      <w:r w:rsidR="4BAA88BE" w:rsidRPr="00C22EA8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 xml:space="preserve">informed. </w:t>
      </w:r>
      <w:r w:rsidR="00961A1D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T</w:t>
      </w:r>
      <w:r w:rsidR="4BAA88BE" w:rsidRPr="00C22EA8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he</w:t>
      </w:r>
      <w:r w:rsidR="4BAA88BE" w:rsidRPr="00C22EA8">
        <w:rPr>
          <w:rFonts w:ascii="Lato" w:eastAsia="Times New Roman" w:hAnsi="Lato" w:cs="Times New Roman"/>
          <w:kern w:val="0"/>
          <w:sz w:val="28"/>
          <w:szCs w:val="28"/>
          <w14:ligatures w14:val="none"/>
        </w:rPr>
        <w:t> </w:t>
      </w:r>
      <w:hyperlink r:id="rId6">
        <w:r w:rsidR="4BAA88BE" w:rsidRPr="2D3BA83C">
          <w:rPr>
            <w:rStyle w:val="Hyperlink"/>
            <w:rFonts w:ascii="Lato" w:eastAsia="Times New Roman" w:hAnsi="Lato" w:cs="Times New Roman"/>
            <w:sz w:val="24"/>
            <w:szCs w:val="24"/>
          </w:rPr>
          <w:t>Foursquare administrative toolkit</w:t>
        </w:r>
        <w:r w:rsidR="00961A1D">
          <w:rPr>
            <w:rStyle w:val="Hyperlink"/>
            <w:rFonts w:ascii="Lato" w:eastAsia="Times New Roman" w:hAnsi="Lato" w:cs="Times New Roman"/>
            <w:sz w:val="24"/>
            <w:szCs w:val="24"/>
          </w:rPr>
          <w:t xml:space="preserve"> has more resources available online</w:t>
        </w:r>
        <w:r w:rsidR="4BAA88BE" w:rsidRPr="2D3BA83C">
          <w:rPr>
            <w:rStyle w:val="Hyperlink"/>
            <w:rFonts w:ascii="Lato" w:eastAsia="Times New Roman" w:hAnsi="Lato" w:cs="Times New Roman"/>
            <w:sz w:val="24"/>
            <w:szCs w:val="24"/>
          </w:rPr>
          <w:t>.</w:t>
        </w:r>
      </w:hyperlink>
    </w:p>
    <w:sectPr w:rsidR="00E47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old">
    <w:altName w:val="Segoe UI"/>
    <w:charset w:val="00"/>
    <w:family w:val="roman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71FAD"/>
    <w:multiLevelType w:val="multilevel"/>
    <w:tmpl w:val="DACA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1B536E"/>
    <w:multiLevelType w:val="multilevel"/>
    <w:tmpl w:val="AEF6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887416"/>
    <w:multiLevelType w:val="multilevel"/>
    <w:tmpl w:val="8EE6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752551">
    <w:abstractNumId w:val="1"/>
  </w:num>
  <w:num w:numId="2" w16cid:durableId="537159427">
    <w:abstractNumId w:val="2"/>
  </w:num>
  <w:num w:numId="3" w16cid:durableId="67634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05"/>
    <w:rsid w:val="0000327E"/>
    <w:rsid w:val="0003050D"/>
    <w:rsid w:val="000806FE"/>
    <w:rsid w:val="00084E4E"/>
    <w:rsid w:val="00090BD6"/>
    <w:rsid w:val="000B1E84"/>
    <w:rsid w:val="00136B17"/>
    <w:rsid w:val="00154990"/>
    <w:rsid w:val="001837FC"/>
    <w:rsid w:val="00194F04"/>
    <w:rsid w:val="00245DF3"/>
    <w:rsid w:val="0032445F"/>
    <w:rsid w:val="004701A3"/>
    <w:rsid w:val="0048408B"/>
    <w:rsid w:val="00516A05"/>
    <w:rsid w:val="0056613B"/>
    <w:rsid w:val="005D23DF"/>
    <w:rsid w:val="005F759E"/>
    <w:rsid w:val="006107DC"/>
    <w:rsid w:val="00641D04"/>
    <w:rsid w:val="00652F80"/>
    <w:rsid w:val="006B4A7E"/>
    <w:rsid w:val="006C096B"/>
    <w:rsid w:val="0071271E"/>
    <w:rsid w:val="00801442"/>
    <w:rsid w:val="008202B1"/>
    <w:rsid w:val="008618DC"/>
    <w:rsid w:val="008634E5"/>
    <w:rsid w:val="00883813"/>
    <w:rsid w:val="008B16B6"/>
    <w:rsid w:val="00961A1D"/>
    <w:rsid w:val="009A3771"/>
    <w:rsid w:val="00A63BFC"/>
    <w:rsid w:val="00AC7A21"/>
    <w:rsid w:val="00B12716"/>
    <w:rsid w:val="00B36B51"/>
    <w:rsid w:val="00BD474A"/>
    <w:rsid w:val="00BE25DB"/>
    <w:rsid w:val="00BF53C7"/>
    <w:rsid w:val="00C22EA8"/>
    <w:rsid w:val="00C51789"/>
    <w:rsid w:val="00C87DF4"/>
    <w:rsid w:val="00D112F5"/>
    <w:rsid w:val="00D704E7"/>
    <w:rsid w:val="00D95047"/>
    <w:rsid w:val="00DF1CA5"/>
    <w:rsid w:val="00E3564E"/>
    <w:rsid w:val="00E47BDB"/>
    <w:rsid w:val="00E56083"/>
    <w:rsid w:val="00EB7ECD"/>
    <w:rsid w:val="00EC5AAE"/>
    <w:rsid w:val="00F846DC"/>
    <w:rsid w:val="00FE302A"/>
    <w:rsid w:val="025B6A92"/>
    <w:rsid w:val="03FA23B7"/>
    <w:rsid w:val="0411A668"/>
    <w:rsid w:val="04CD7848"/>
    <w:rsid w:val="053F3816"/>
    <w:rsid w:val="06E2FF38"/>
    <w:rsid w:val="08000D88"/>
    <w:rsid w:val="0AC69A01"/>
    <w:rsid w:val="0CC46D80"/>
    <w:rsid w:val="0E1B4414"/>
    <w:rsid w:val="0FE836DC"/>
    <w:rsid w:val="103A6AF0"/>
    <w:rsid w:val="11112D82"/>
    <w:rsid w:val="12B48135"/>
    <w:rsid w:val="1310CE1C"/>
    <w:rsid w:val="186166E1"/>
    <w:rsid w:val="1A9EE866"/>
    <w:rsid w:val="1C86D6FF"/>
    <w:rsid w:val="1F61A2D7"/>
    <w:rsid w:val="1F7171ED"/>
    <w:rsid w:val="210474EA"/>
    <w:rsid w:val="214072BE"/>
    <w:rsid w:val="2175C2FB"/>
    <w:rsid w:val="220AEDE0"/>
    <w:rsid w:val="22405700"/>
    <w:rsid w:val="244167A3"/>
    <w:rsid w:val="279D0CC6"/>
    <w:rsid w:val="2BB39319"/>
    <w:rsid w:val="2D3BA83C"/>
    <w:rsid w:val="2D8744A7"/>
    <w:rsid w:val="30F8B571"/>
    <w:rsid w:val="31588CF0"/>
    <w:rsid w:val="32E912FA"/>
    <w:rsid w:val="35652522"/>
    <w:rsid w:val="370B8738"/>
    <w:rsid w:val="379E6D8B"/>
    <w:rsid w:val="3953BC16"/>
    <w:rsid w:val="3A29A8BD"/>
    <w:rsid w:val="3BCA1EAD"/>
    <w:rsid w:val="3F2FA52A"/>
    <w:rsid w:val="46C0FB5D"/>
    <w:rsid w:val="474695A0"/>
    <w:rsid w:val="47D046C5"/>
    <w:rsid w:val="47E97D47"/>
    <w:rsid w:val="482EB9C4"/>
    <w:rsid w:val="484B9821"/>
    <w:rsid w:val="4A35F89E"/>
    <w:rsid w:val="4B927E04"/>
    <w:rsid w:val="4BAA88BE"/>
    <w:rsid w:val="4C19F271"/>
    <w:rsid w:val="4CB87064"/>
    <w:rsid w:val="4EB5ABC1"/>
    <w:rsid w:val="4FF2469A"/>
    <w:rsid w:val="5141CB34"/>
    <w:rsid w:val="532002C6"/>
    <w:rsid w:val="5356E2C3"/>
    <w:rsid w:val="5792823D"/>
    <w:rsid w:val="5EEF44B1"/>
    <w:rsid w:val="5F9A2400"/>
    <w:rsid w:val="602760AA"/>
    <w:rsid w:val="61A2B38B"/>
    <w:rsid w:val="649F278A"/>
    <w:rsid w:val="6612E402"/>
    <w:rsid w:val="66585624"/>
    <w:rsid w:val="66845041"/>
    <w:rsid w:val="669F6E8F"/>
    <w:rsid w:val="68DE30C1"/>
    <w:rsid w:val="69093143"/>
    <w:rsid w:val="69097C4B"/>
    <w:rsid w:val="6B2301ED"/>
    <w:rsid w:val="6CCADBF2"/>
    <w:rsid w:val="6EBF7D7A"/>
    <w:rsid w:val="6FB37180"/>
    <w:rsid w:val="70C1A0B1"/>
    <w:rsid w:val="70ED0699"/>
    <w:rsid w:val="73A6BCE4"/>
    <w:rsid w:val="75197F8C"/>
    <w:rsid w:val="77719DD4"/>
    <w:rsid w:val="7E060E87"/>
    <w:rsid w:val="7F74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D3A8B"/>
  <w15:chartTrackingRefBased/>
  <w15:docId w15:val="{81E464C2-187F-4024-8A55-7B16DDF8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ursquare.org/support/admintoolk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Links>
    <vt:vector size="6" baseType="variant">
      <vt:variant>
        <vt:i4>1507333</vt:i4>
      </vt:variant>
      <vt:variant>
        <vt:i4>0</vt:i4>
      </vt:variant>
      <vt:variant>
        <vt:i4>0</vt:i4>
      </vt:variant>
      <vt:variant>
        <vt:i4>5</vt:i4>
      </vt:variant>
      <vt:variant>
        <vt:lpwstr>https://www.foursquare.org/support/admintoolkit/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Towne</dc:creator>
  <cp:keywords/>
  <dc:description/>
  <cp:lastModifiedBy>Cindy Towne</cp:lastModifiedBy>
  <cp:revision>49</cp:revision>
  <dcterms:created xsi:type="dcterms:W3CDTF">2023-08-17T18:52:00Z</dcterms:created>
  <dcterms:modified xsi:type="dcterms:W3CDTF">2025-11-26T15:00:00Z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f1d1903d-9a53-406c-ac3a-0360dd079b75</vt:lpwstr>
  </property>
  <property fmtid="{D5CDD505-2E9C-101B-9397-08002B2CF9AE}" pid="3" name="grammarly_documentId">
    <vt:lpwstr>documentId_989</vt:lpwstr>
  </property>
  <property fmtid="{D5CDD505-2E9C-101B-9397-08002B2CF9AE}" pid="4" name="grammarly_documentContext">
    <vt:lpwstr>{"goals":[],"domain":"general","emotions":[],"dialect":"american"}</vt:lpwstr>
  </property>
</Properties>
</file>