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C156" w14:textId="4694EBAA" w:rsidR="00404445" w:rsidRPr="00DF0A63" w:rsidRDefault="00404445" w:rsidP="00404445">
      <w:pPr>
        <w:jc w:val="center"/>
        <w:rPr>
          <w:lang w:val="es-ES_tradnl"/>
        </w:rPr>
      </w:pPr>
      <w:r w:rsidRPr="00DF0A63">
        <w:rPr>
          <w:sz w:val="28"/>
          <w:szCs w:val="28"/>
          <w:lang w:val="es-ES_tradnl"/>
        </w:rPr>
        <w:drawing>
          <wp:inline distT="0" distB="0" distL="0" distR="0" wp14:anchorId="208F1A83" wp14:editId="5A1B3038">
            <wp:extent cx="2639573" cy="467292"/>
            <wp:effectExtent l="0" t="0" r="2540" b="3175"/>
            <wp:docPr id="954663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3566"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9573" cy="467292"/>
                    </a:xfrm>
                    <a:prstGeom prst="rect">
                      <a:avLst/>
                    </a:prstGeom>
                  </pic:spPr>
                </pic:pic>
              </a:graphicData>
            </a:graphic>
          </wp:inline>
        </w:drawing>
      </w:r>
    </w:p>
    <w:p w14:paraId="3155E052" w14:textId="773490FD" w:rsidR="00404445" w:rsidRPr="00DF0A63" w:rsidRDefault="009B29BB" w:rsidP="00404445">
      <w:pPr>
        <w:jc w:val="center"/>
        <w:rPr>
          <w:rFonts w:ascii="Gotham Bold" w:hAnsi="Gotham Bold"/>
          <w:sz w:val="32"/>
          <w:szCs w:val="32"/>
          <w:lang w:val="es-ES_tradnl"/>
        </w:rPr>
      </w:pPr>
      <w:r w:rsidRPr="00DF0A63">
        <w:rPr>
          <w:rFonts w:ascii="Gotham Bold" w:hAnsi="Gotham Bold"/>
          <w:sz w:val="32"/>
          <w:szCs w:val="32"/>
          <w:lang w:val="es-ES_tradnl"/>
        </w:rPr>
        <w:t xml:space="preserve">Fondos Ministeriales </w:t>
      </w:r>
      <w:r w:rsidR="00DF0A63" w:rsidRPr="00DF0A63">
        <w:rPr>
          <w:rFonts w:ascii="Gotham Bold" w:hAnsi="Gotham Bold"/>
          <w:sz w:val="32"/>
          <w:szCs w:val="32"/>
          <w:lang w:val="es-ES_tradnl"/>
        </w:rPr>
        <w:t>D</w:t>
      </w:r>
      <w:r w:rsidRPr="00DF0A63">
        <w:rPr>
          <w:rFonts w:ascii="Gotham Bold" w:hAnsi="Gotham Bold"/>
          <w:sz w:val="32"/>
          <w:szCs w:val="32"/>
          <w:lang w:val="es-ES_tradnl"/>
        </w:rPr>
        <w:t>esignados por el Con</w:t>
      </w:r>
      <w:r w:rsidR="00DF0A63" w:rsidRPr="00DF0A63">
        <w:rPr>
          <w:rFonts w:ascii="Gotham Bold" w:hAnsi="Gotham Bold"/>
          <w:sz w:val="32"/>
          <w:szCs w:val="32"/>
          <w:lang w:val="es-ES_tradnl"/>
        </w:rPr>
        <w:t>cilio</w:t>
      </w:r>
    </w:p>
    <w:p w14:paraId="0D79A404" w14:textId="14A26811" w:rsidR="00BF4C11" w:rsidRPr="00F206EA" w:rsidRDefault="00BF4C11" w:rsidP="004C59EC">
      <w:pPr>
        <w:rPr>
          <w:rFonts w:ascii="Gotham Light" w:hAnsi="Gotham Light"/>
          <w:sz w:val="21"/>
          <w:szCs w:val="21"/>
          <w:lang w:val="es-ES_tradnl"/>
        </w:rPr>
      </w:pPr>
      <w:r w:rsidRPr="00F206EA">
        <w:rPr>
          <w:rFonts w:ascii="Gotham Light" w:hAnsi="Gotham Light"/>
          <w:sz w:val="21"/>
          <w:szCs w:val="21"/>
          <w:lang w:val="es-ES_tradnl"/>
        </w:rPr>
        <w:t>La Iglesia Cuadrangular está dedicada a la causa del evangelismo interdenominacional y mundial y está comprometida a plantar y establecer iglesias locales y empoderarlas para evangelizar a sus comunidades. El cumplimiento de este propósito requiere el apoyo financiero de todas las iglesias Cuadrangulares y su participación en el diezmo de extensión Cuadrangular a través de un diezmo de las ofrendas sin restricciones de la iglesia según la sección IV.6 del Manual de Operaciones.</w:t>
      </w:r>
    </w:p>
    <w:p w14:paraId="59FD5E67" w14:textId="7BEB26F2" w:rsidR="004C59EC" w:rsidRPr="00F206EA" w:rsidRDefault="00BF4C11" w:rsidP="004C59EC">
      <w:pPr>
        <w:rPr>
          <w:rFonts w:ascii="Gotham Light" w:hAnsi="Gotham Light"/>
          <w:sz w:val="21"/>
          <w:szCs w:val="21"/>
          <w:lang w:val="es-ES_tradnl"/>
        </w:rPr>
      </w:pPr>
      <w:r w:rsidRPr="00F206EA">
        <w:rPr>
          <w:rFonts w:ascii="Gotham Light" w:hAnsi="Gotham Light"/>
          <w:b/>
          <w:bCs/>
          <w:sz w:val="21"/>
          <w:szCs w:val="21"/>
          <w:lang w:val="es-ES_tradnl"/>
        </w:rPr>
        <w:t>¿Cuáles son l</w:t>
      </w:r>
      <w:r w:rsidR="00DF0A63" w:rsidRPr="00F206EA">
        <w:rPr>
          <w:rFonts w:ascii="Gotham Light" w:hAnsi="Gotham Light"/>
          <w:b/>
          <w:bCs/>
          <w:sz w:val="21"/>
          <w:szCs w:val="21"/>
          <w:lang w:val="es-ES_tradnl"/>
        </w:rPr>
        <w:t>a</w:t>
      </w:r>
      <w:r w:rsidRPr="00F206EA">
        <w:rPr>
          <w:rFonts w:ascii="Gotham Light" w:hAnsi="Gotham Light"/>
          <w:b/>
          <w:bCs/>
          <w:sz w:val="21"/>
          <w:szCs w:val="21"/>
          <w:lang w:val="es-ES_tradnl"/>
        </w:rPr>
        <w:t xml:space="preserve">s </w:t>
      </w:r>
      <w:r w:rsidR="00DF0A63" w:rsidRPr="00F206EA">
        <w:rPr>
          <w:rFonts w:ascii="Gotham Light" w:hAnsi="Gotham Light"/>
          <w:b/>
          <w:bCs/>
          <w:sz w:val="21"/>
          <w:szCs w:val="21"/>
          <w:lang w:val="es-ES_tradnl"/>
        </w:rPr>
        <w:t>donaciones</w:t>
      </w:r>
      <w:r w:rsidRPr="00F206EA">
        <w:rPr>
          <w:rFonts w:ascii="Gotham Light" w:hAnsi="Gotham Light"/>
          <w:b/>
          <w:bCs/>
          <w:sz w:val="21"/>
          <w:szCs w:val="21"/>
          <w:lang w:val="es-ES_tradnl"/>
        </w:rPr>
        <w:t xml:space="preserve"> </w:t>
      </w:r>
      <w:r w:rsidR="00DF0A63" w:rsidRPr="00F206EA">
        <w:rPr>
          <w:rFonts w:ascii="Gotham Light" w:hAnsi="Gotham Light"/>
          <w:b/>
          <w:bCs/>
          <w:sz w:val="21"/>
          <w:szCs w:val="21"/>
          <w:lang w:val="es-ES_tradnl"/>
        </w:rPr>
        <w:t>no restringidas</w:t>
      </w:r>
      <w:r w:rsidRPr="00F206EA">
        <w:rPr>
          <w:rFonts w:ascii="Gotham Light" w:hAnsi="Gotham Light"/>
          <w:b/>
          <w:bCs/>
          <w:sz w:val="21"/>
          <w:szCs w:val="21"/>
          <w:lang w:val="es-ES_tradnl"/>
        </w:rPr>
        <w:t xml:space="preserve"> de la iglesia? </w:t>
      </w:r>
      <w:r w:rsidR="00404445" w:rsidRPr="00F206EA">
        <w:rPr>
          <w:rFonts w:ascii="Gotham Light" w:hAnsi="Gotham Light"/>
          <w:sz w:val="21"/>
          <w:szCs w:val="21"/>
          <w:lang w:val="es-ES_tradnl"/>
        </w:rPr>
        <w:t xml:space="preserve">La mejor manera de aclarar la definición de </w:t>
      </w:r>
      <w:r w:rsidR="00DF0A63" w:rsidRPr="00F206EA">
        <w:rPr>
          <w:rFonts w:ascii="Gotham Light" w:hAnsi="Gotham Light"/>
          <w:sz w:val="21"/>
          <w:szCs w:val="21"/>
          <w:lang w:val="es-ES_tradnl"/>
        </w:rPr>
        <w:t>las donaciones</w:t>
      </w:r>
      <w:r w:rsidR="00404445" w:rsidRPr="00F206EA">
        <w:rPr>
          <w:rFonts w:ascii="Gotham Light" w:hAnsi="Gotham Light"/>
          <w:sz w:val="21"/>
          <w:szCs w:val="21"/>
          <w:lang w:val="es-ES_tradnl"/>
        </w:rPr>
        <w:t xml:space="preserve"> sin restricciones es explicando un</w:t>
      </w:r>
      <w:r w:rsidR="00DF0A63" w:rsidRPr="00F206EA">
        <w:rPr>
          <w:rFonts w:ascii="Gotham Light" w:hAnsi="Gotham Light"/>
          <w:sz w:val="21"/>
          <w:szCs w:val="21"/>
          <w:lang w:val="es-ES_tradnl"/>
        </w:rPr>
        <w:t>a</w:t>
      </w:r>
      <w:r w:rsidR="00404445" w:rsidRPr="00F206EA">
        <w:rPr>
          <w:rFonts w:ascii="Gotham Light" w:hAnsi="Gotham Light"/>
          <w:sz w:val="21"/>
          <w:szCs w:val="21"/>
          <w:lang w:val="es-ES_tradnl"/>
        </w:rPr>
        <w:t xml:space="preserve"> </w:t>
      </w:r>
      <w:r w:rsidR="00DF0A63" w:rsidRPr="00F206EA">
        <w:rPr>
          <w:rFonts w:ascii="Gotham Light" w:hAnsi="Gotham Light"/>
          <w:sz w:val="21"/>
          <w:szCs w:val="21"/>
          <w:lang w:val="es-ES_tradnl"/>
        </w:rPr>
        <w:t>donación</w:t>
      </w:r>
      <w:r w:rsidR="00404445" w:rsidRPr="00F206EA">
        <w:rPr>
          <w:rFonts w:ascii="Gotham Light" w:hAnsi="Gotham Light"/>
          <w:sz w:val="21"/>
          <w:szCs w:val="21"/>
          <w:lang w:val="es-ES_tradnl"/>
        </w:rPr>
        <w:t xml:space="preserve"> restringid</w:t>
      </w:r>
      <w:r w:rsidR="00DF0A63" w:rsidRPr="00F206EA">
        <w:rPr>
          <w:rFonts w:ascii="Gotham Light" w:hAnsi="Gotham Light"/>
          <w:sz w:val="21"/>
          <w:szCs w:val="21"/>
          <w:lang w:val="es-ES_tradnl"/>
        </w:rPr>
        <w:t>a</w:t>
      </w:r>
      <w:r w:rsidR="00404445" w:rsidRPr="00F206EA">
        <w:rPr>
          <w:rFonts w:ascii="Gotham Light" w:hAnsi="Gotham Light"/>
          <w:sz w:val="21"/>
          <w:szCs w:val="21"/>
          <w:lang w:val="es-ES_tradnl"/>
        </w:rPr>
        <w:t xml:space="preserve">. Las donaciones restringidas son dinero dado por un donante a un fondo establecido por el </w:t>
      </w:r>
      <w:r w:rsidR="00DF0A63" w:rsidRPr="00F206EA">
        <w:rPr>
          <w:rFonts w:ascii="Gotham Light" w:hAnsi="Gotham Light"/>
          <w:sz w:val="21"/>
          <w:szCs w:val="21"/>
          <w:lang w:val="es-ES_tradnl"/>
        </w:rPr>
        <w:t>concilio</w:t>
      </w:r>
      <w:r w:rsidR="00404445" w:rsidRPr="00F206EA">
        <w:rPr>
          <w:rFonts w:ascii="Gotham Light" w:hAnsi="Gotham Light"/>
          <w:sz w:val="21"/>
          <w:szCs w:val="21"/>
          <w:lang w:val="es-ES_tradnl"/>
        </w:rPr>
        <w:t xml:space="preserve"> de la iglesia que no puede gastarse para ningún otro propósito que no sea el previsto. Las donaciones dadas por un donante a un fondo sin restricciones se consideran dinero del fondo general y se pueden usar para cualquier propósito. Los diezmos y las ofrendas son fondos sin restricciones, ya que la iglesia puede usarlos para cualquier propósito. Los fondos no restringidos se conocen comúnmente como fondos generales o fondos operativos de la iglesia.  </w:t>
      </w:r>
    </w:p>
    <w:p w14:paraId="31AC1CAB" w14:textId="0E079E36" w:rsidR="00435493" w:rsidRPr="00F206EA" w:rsidRDefault="005C2032">
      <w:pPr>
        <w:rPr>
          <w:rFonts w:ascii="Gotham Light" w:hAnsi="Gotham Light"/>
          <w:sz w:val="21"/>
          <w:szCs w:val="21"/>
          <w:lang w:val="es-ES_tradnl"/>
        </w:rPr>
      </w:pPr>
      <w:r w:rsidRPr="00F206EA">
        <w:rPr>
          <w:rFonts w:ascii="Gotham Light" w:hAnsi="Gotham Light"/>
          <w:b/>
          <w:bCs/>
          <w:sz w:val="21"/>
          <w:szCs w:val="21"/>
          <w:lang w:val="es-ES_tradnl"/>
        </w:rPr>
        <w:t>¿Qué órganos rectores regulan estos fondos restringidos por donantes?</w:t>
      </w:r>
      <w:r w:rsidRPr="00F206EA">
        <w:rPr>
          <w:rFonts w:ascii="Gotham Light" w:hAnsi="Gotham Light"/>
          <w:sz w:val="21"/>
          <w:szCs w:val="21"/>
          <w:lang w:val="es-ES_tradnl"/>
        </w:rPr>
        <w:t xml:space="preserve"> El estado y el IRS describen las regulaciones con respecto a los fondos restringidos por donantes. Además, los principios de contabilidad generalmente aceptados (GAAP, por sus siglas en inglés) establecidos por el Consejo de Normas de Contabilidad Financiera (FASB, por sus siglas en inglés) describen la clasificación de los </w:t>
      </w:r>
      <w:r w:rsidR="007947C4" w:rsidRPr="00F206EA">
        <w:rPr>
          <w:rFonts w:ascii="Gotham Light" w:hAnsi="Gotham Light"/>
          <w:sz w:val="21"/>
          <w:szCs w:val="21"/>
          <w:lang w:val="es-ES_tradnl"/>
        </w:rPr>
        <w:t>dineros</w:t>
      </w:r>
      <w:r w:rsidRPr="00F206EA">
        <w:rPr>
          <w:rFonts w:ascii="Gotham Light" w:hAnsi="Gotham Light"/>
          <w:sz w:val="21"/>
          <w:szCs w:val="21"/>
          <w:lang w:val="es-ES_tradnl"/>
        </w:rPr>
        <w:t xml:space="preserve"> de fondos generales y restringidos por donantes en los estados financieros y el gasto de esos fondos en la Actualización de Normas de Contabilidad 2016-14. </w:t>
      </w:r>
    </w:p>
    <w:p w14:paraId="51AAACEB" w14:textId="3BB344B1" w:rsidR="00435493" w:rsidRPr="00F206EA" w:rsidRDefault="00435493" w:rsidP="00435493">
      <w:pPr>
        <w:pStyle w:val="ListParagraph"/>
        <w:numPr>
          <w:ilvl w:val="0"/>
          <w:numId w:val="1"/>
        </w:numPr>
        <w:rPr>
          <w:rFonts w:ascii="Gotham Light" w:hAnsi="Gotham Light"/>
          <w:sz w:val="21"/>
          <w:szCs w:val="21"/>
          <w:lang w:val="es-ES_tradnl"/>
        </w:rPr>
      </w:pPr>
      <w:r w:rsidRPr="00F206EA">
        <w:rPr>
          <w:rFonts w:ascii="Gotham Light" w:hAnsi="Gotham Light"/>
          <w:sz w:val="21"/>
          <w:szCs w:val="21"/>
          <w:lang w:val="es-ES_tradnl"/>
        </w:rPr>
        <w:t xml:space="preserve">Las organizaciones deben presentar dos clases de activos netos: activos netos sin restricciones de donantes y activos netos con restricciones de donantes.  </w:t>
      </w:r>
    </w:p>
    <w:p w14:paraId="53F79408" w14:textId="2B1AB428" w:rsidR="00691A0B" w:rsidRPr="00F206EA" w:rsidRDefault="00691A0B" w:rsidP="00435493">
      <w:pPr>
        <w:pStyle w:val="ListParagraph"/>
        <w:numPr>
          <w:ilvl w:val="0"/>
          <w:numId w:val="1"/>
        </w:numPr>
        <w:rPr>
          <w:rFonts w:ascii="Gotham Light" w:hAnsi="Gotham Light"/>
          <w:sz w:val="21"/>
          <w:szCs w:val="21"/>
          <w:lang w:val="es-ES_tradnl"/>
        </w:rPr>
      </w:pPr>
      <w:r w:rsidRPr="00F206EA">
        <w:rPr>
          <w:rFonts w:ascii="Gotham Light" w:hAnsi="Gotham Light"/>
          <w:sz w:val="21"/>
          <w:szCs w:val="21"/>
          <w:lang w:val="es-ES_tradnl"/>
        </w:rPr>
        <w:t>Los estados financieros también deben reflejar los activos financieros de la iglesia en dos categorías: dinero disponible para uso general y dinero restringido por donantes. También deben indicar los activos financieros disponibles para satisfacer las necesidades de efectivo en el plazo de un año. Se trataría de fondos no restringidos por los donantes.</w:t>
      </w:r>
    </w:p>
    <w:p w14:paraId="4585B63A" w14:textId="3A7E381A" w:rsidR="001D7790" w:rsidRPr="00F206EA" w:rsidRDefault="001D7790" w:rsidP="001D7790">
      <w:pPr>
        <w:rPr>
          <w:rFonts w:ascii="Gotham Light" w:hAnsi="Gotham Light"/>
          <w:sz w:val="21"/>
          <w:szCs w:val="21"/>
          <w:lang w:val="es-ES_tradnl"/>
        </w:rPr>
      </w:pPr>
      <w:r w:rsidRPr="00F206EA">
        <w:rPr>
          <w:rFonts w:ascii="Gotham Light" w:hAnsi="Gotham Light"/>
          <w:sz w:val="21"/>
          <w:szCs w:val="21"/>
          <w:lang w:val="es-ES_tradnl"/>
        </w:rPr>
        <w:t>El dinero que la iglesia recibe en diezmos y ofrendas según los PCGA se considera patrimonio neto sin restricciones de donantes.</w:t>
      </w:r>
    </w:p>
    <w:p w14:paraId="5AFCE241" w14:textId="6B7A1590" w:rsidR="001D7790" w:rsidRPr="00F206EA" w:rsidRDefault="005C2032" w:rsidP="001D7790">
      <w:pPr>
        <w:rPr>
          <w:rFonts w:ascii="Gotham Light" w:hAnsi="Gotham Light"/>
          <w:sz w:val="21"/>
          <w:szCs w:val="21"/>
          <w:lang w:val="es-ES_tradnl"/>
        </w:rPr>
      </w:pPr>
      <w:r w:rsidRPr="00F206EA">
        <w:rPr>
          <w:rFonts w:ascii="Gotham Light" w:hAnsi="Gotham Light"/>
          <w:b/>
          <w:bCs/>
          <w:sz w:val="21"/>
          <w:szCs w:val="21"/>
          <w:lang w:val="es-ES_tradnl"/>
        </w:rPr>
        <w:t xml:space="preserve">¿Los fondos que el </w:t>
      </w:r>
      <w:r w:rsidR="004211D2" w:rsidRPr="00F206EA">
        <w:rPr>
          <w:rFonts w:ascii="Gotham Light" w:hAnsi="Gotham Light"/>
          <w:b/>
          <w:bCs/>
          <w:sz w:val="21"/>
          <w:szCs w:val="21"/>
          <w:lang w:val="es-ES_tradnl"/>
        </w:rPr>
        <w:t>concilio</w:t>
      </w:r>
      <w:r w:rsidRPr="00F206EA">
        <w:rPr>
          <w:rFonts w:ascii="Gotham Light" w:hAnsi="Gotham Light"/>
          <w:b/>
          <w:bCs/>
          <w:sz w:val="21"/>
          <w:szCs w:val="21"/>
          <w:lang w:val="es-ES_tradnl"/>
        </w:rPr>
        <w:t xml:space="preserve"> designa para un propósito específico se consideran restringidos por los donantes?</w:t>
      </w:r>
      <w:r w:rsidRPr="00F206EA">
        <w:rPr>
          <w:rFonts w:ascii="Gotham Light" w:hAnsi="Gotham Light"/>
          <w:sz w:val="21"/>
          <w:szCs w:val="21"/>
          <w:lang w:val="es-ES_tradnl"/>
        </w:rPr>
        <w:t xml:space="preserve"> Las donaciones recibidas a través de diezmos y ofrendas, pero reasignadas por el </w:t>
      </w:r>
      <w:r w:rsidR="004211D2" w:rsidRPr="00F206EA">
        <w:rPr>
          <w:rFonts w:ascii="Gotham Light" w:hAnsi="Gotham Light"/>
          <w:sz w:val="21"/>
          <w:szCs w:val="21"/>
          <w:lang w:val="es-ES_tradnl"/>
        </w:rPr>
        <w:t>concilio</w:t>
      </w:r>
      <w:r w:rsidRPr="00F206EA">
        <w:rPr>
          <w:rFonts w:ascii="Gotham Light" w:hAnsi="Gotham Light"/>
          <w:sz w:val="21"/>
          <w:szCs w:val="21"/>
          <w:lang w:val="es-ES_tradnl"/>
        </w:rPr>
        <w:t xml:space="preserve"> de la iglesia a otros fondos, se consideran fondos designados por el </w:t>
      </w:r>
      <w:r w:rsidR="004211D2" w:rsidRPr="00F206EA">
        <w:rPr>
          <w:rFonts w:ascii="Gotham Light" w:hAnsi="Gotham Light"/>
          <w:sz w:val="21"/>
          <w:szCs w:val="21"/>
          <w:lang w:val="es-ES_tradnl"/>
        </w:rPr>
        <w:t>concilio</w:t>
      </w:r>
      <w:r w:rsidRPr="00F206EA">
        <w:rPr>
          <w:rFonts w:ascii="Gotham Light" w:hAnsi="Gotham Light"/>
          <w:sz w:val="21"/>
          <w:szCs w:val="21"/>
          <w:lang w:val="es-ES_tradnl"/>
        </w:rPr>
        <w:t xml:space="preserve">, no restringidos por los donantes. Estos fondos no están restringidos por los donantes, ya que la designación no se originó en el donante. Las </w:t>
      </w:r>
      <w:r w:rsidRPr="00F206EA">
        <w:rPr>
          <w:rFonts w:ascii="Gotham Light" w:hAnsi="Gotham Light"/>
          <w:sz w:val="21"/>
          <w:szCs w:val="21"/>
          <w:lang w:val="es-ES_tradnl"/>
        </w:rPr>
        <w:lastRenderedPageBreak/>
        <w:t xml:space="preserve">designaciones de los </w:t>
      </w:r>
      <w:r w:rsidR="004211D2" w:rsidRPr="00F206EA">
        <w:rPr>
          <w:rFonts w:ascii="Gotham Light" w:hAnsi="Gotham Light"/>
          <w:sz w:val="21"/>
          <w:szCs w:val="21"/>
          <w:lang w:val="es-ES_tradnl"/>
        </w:rPr>
        <w:t>concilios</w:t>
      </w:r>
      <w:r w:rsidRPr="00F206EA">
        <w:rPr>
          <w:rFonts w:ascii="Gotham Light" w:hAnsi="Gotham Light"/>
          <w:sz w:val="21"/>
          <w:szCs w:val="21"/>
          <w:lang w:val="es-ES_tradnl"/>
        </w:rPr>
        <w:t xml:space="preserve"> </w:t>
      </w:r>
      <w:r w:rsidR="004211D2" w:rsidRPr="00F206EA">
        <w:rPr>
          <w:rFonts w:ascii="Gotham Light" w:hAnsi="Gotham Light"/>
          <w:sz w:val="21"/>
          <w:szCs w:val="21"/>
          <w:lang w:val="es-ES_tradnl"/>
        </w:rPr>
        <w:t>de las iglesias</w:t>
      </w:r>
      <w:r w:rsidRPr="00F206EA">
        <w:rPr>
          <w:rFonts w:ascii="Gotham Light" w:hAnsi="Gotham Light"/>
          <w:sz w:val="21"/>
          <w:szCs w:val="21"/>
          <w:lang w:val="es-ES_tradnl"/>
        </w:rPr>
        <w:t xml:space="preserve"> son preferencias de cómo se gasta el dinero, y pueden cambiarse con la frecuencia que decida el </w:t>
      </w:r>
      <w:r w:rsidR="004211D2" w:rsidRPr="00F206EA">
        <w:rPr>
          <w:rFonts w:ascii="Gotham Light" w:hAnsi="Gotham Light"/>
          <w:sz w:val="21"/>
          <w:szCs w:val="21"/>
          <w:lang w:val="es-ES_tradnl"/>
        </w:rPr>
        <w:t>concilio de la iglesia</w:t>
      </w:r>
      <w:r w:rsidRPr="00F206EA">
        <w:rPr>
          <w:rFonts w:ascii="Gotham Light" w:hAnsi="Gotham Light"/>
          <w:sz w:val="21"/>
          <w:szCs w:val="21"/>
          <w:lang w:val="es-ES_tradnl"/>
        </w:rPr>
        <w:t xml:space="preserve"> sin la gobernanza de las regulaciones estatales o del IRS.    </w:t>
      </w:r>
    </w:p>
    <w:p w14:paraId="42982584" w14:textId="377ABB5A" w:rsidR="00BA15BD" w:rsidRPr="00F206EA" w:rsidRDefault="00381776" w:rsidP="00BA15BD">
      <w:pPr>
        <w:rPr>
          <w:rFonts w:ascii="Gotham Light" w:hAnsi="Gotham Light"/>
          <w:sz w:val="21"/>
          <w:szCs w:val="21"/>
          <w:lang w:val="es-ES_tradnl"/>
        </w:rPr>
      </w:pPr>
      <w:r w:rsidRPr="00F206EA">
        <w:rPr>
          <w:rFonts w:ascii="Gotham Light" w:hAnsi="Gotham Light"/>
          <w:sz w:val="21"/>
          <w:szCs w:val="21"/>
          <w:lang w:val="es-ES_tradnl"/>
        </w:rPr>
        <w:t xml:space="preserve">La sección IV.4 del Manual de Operaciones establece </w:t>
      </w:r>
      <w:r w:rsidR="001A4453" w:rsidRPr="00F206EA">
        <w:rPr>
          <w:rFonts w:ascii="Gotham Light" w:hAnsi="Gotham Light"/>
          <w:sz w:val="21"/>
          <w:szCs w:val="21"/>
          <w:lang w:val="es-ES_tradnl"/>
        </w:rPr>
        <w:t>que,</w:t>
      </w:r>
      <w:r w:rsidRPr="00F206EA">
        <w:rPr>
          <w:rFonts w:ascii="Gotham Light" w:hAnsi="Gotham Light"/>
          <w:sz w:val="21"/>
          <w:szCs w:val="21"/>
          <w:lang w:val="es-ES_tradnl"/>
        </w:rPr>
        <w:t xml:space="preserve"> si un </w:t>
      </w:r>
      <w:r w:rsidR="001A4453" w:rsidRPr="00F206EA">
        <w:rPr>
          <w:rFonts w:ascii="Gotham Light" w:hAnsi="Gotham Light"/>
          <w:sz w:val="21"/>
          <w:szCs w:val="21"/>
          <w:lang w:val="es-ES_tradnl"/>
        </w:rPr>
        <w:t>concilio</w:t>
      </w:r>
      <w:r w:rsidRPr="00F206EA">
        <w:rPr>
          <w:rFonts w:ascii="Gotham Light" w:hAnsi="Gotham Light"/>
          <w:sz w:val="21"/>
          <w:szCs w:val="21"/>
          <w:lang w:val="es-ES_tradnl"/>
        </w:rPr>
        <w:t xml:space="preserve"> de la iglesia designa ingresos diezmables para la "misión", el dinero permanece en el fondo general. No está restringido por el donante, ya que el donante no lo restringió. </w:t>
      </w:r>
    </w:p>
    <w:p w14:paraId="3DD6EAE6" w14:textId="2B2717C7" w:rsidR="005C2032" w:rsidRPr="00F206EA" w:rsidRDefault="005C2032" w:rsidP="001D7790">
      <w:pPr>
        <w:rPr>
          <w:rFonts w:ascii="Gotham Light" w:hAnsi="Gotham Light"/>
          <w:b/>
          <w:bCs/>
          <w:sz w:val="21"/>
          <w:szCs w:val="21"/>
          <w:lang w:val="es-ES_tradnl"/>
        </w:rPr>
      </w:pPr>
      <w:r w:rsidRPr="00F206EA">
        <w:rPr>
          <w:rFonts w:ascii="Gotham Light" w:hAnsi="Gotham Light"/>
          <w:b/>
          <w:bCs/>
          <w:sz w:val="21"/>
          <w:szCs w:val="21"/>
          <w:lang w:val="es-ES_tradnl"/>
        </w:rPr>
        <w:t xml:space="preserve">¿Debería una iglesia diezmar </w:t>
      </w:r>
      <w:r w:rsidR="00790CD6" w:rsidRPr="00F206EA">
        <w:rPr>
          <w:rFonts w:ascii="Gotham Light" w:hAnsi="Gotham Light"/>
          <w:b/>
          <w:bCs/>
          <w:sz w:val="21"/>
          <w:szCs w:val="21"/>
          <w:lang w:val="es-ES_tradnl"/>
        </w:rPr>
        <w:t xml:space="preserve">sobre </w:t>
      </w:r>
      <w:r w:rsidRPr="00F206EA">
        <w:rPr>
          <w:rFonts w:ascii="Gotham Light" w:hAnsi="Gotham Light"/>
          <w:b/>
          <w:bCs/>
          <w:sz w:val="21"/>
          <w:szCs w:val="21"/>
          <w:lang w:val="es-ES_tradnl"/>
        </w:rPr>
        <w:t xml:space="preserve">los fondos restringidos por los donantes? </w:t>
      </w:r>
      <w:r w:rsidRPr="00F206EA">
        <w:rPr>
          <w:rFonts w:ascii="Gotham Light" w:hAnsi="Gotham Light"/>
          <w:sz w:val="21"/>
          <w:szCs w:val="21"/>
          <w:lang w:val="es-ES_tradnl"/>
        </w:rPr>
        <w:t xml:space="preserve">No, estos fondos fueron restringidos y solo pueden gastarse para el propósito para el que fueron destinados. </w:t>
      </w:r>
    </w:p>
    <w:p w14:paraId="61BAD589" w14:textId="59708F8E" w:rsidR="00C43844" w:rsidRPr="00F206EA" w:rsidRDefault="005C2032" w:rsidP="00C43844">
      <w:pPr>
        <w:rPr>
          <w:rFonts w:ascii="Gotham Light" w:hAnsi="Gotham Light"/>
          <w:sz w:val="21"/>
          <w:szCs w:val="21"/>
          <w:lang w:val="es-ES_tradnl"/>
        </w:rPr>
      </w:pPr>
      <w:r w:rsidRPr="00F206EA">
        <w:rPr>
          <w:rFonts w:ascii="Gotham Light" w:hAnsi="Gotham Light"/>
          <w:b/>
          <w:bCs/>
          <w:sz w:val="21"/>
          <w:szCs w:val="21"/>
          <w:lang w:val="es-ES_tradnl"/>
        </w:rPr>
        <w:t xml:space="preserve">¿Debería una iglesia diezmar </w:t>
      </w:r>
      <w:r w:rsidR="00F745D0" w:rsidRPr="00F206EA">
        <w:rPr>
          <w:rFonts w:ascii="Gotham Light" w:hAnsi="Gotham Light"/>
          <w:b/>
          <w:bCs/>
          <w:sz w:val="21"/>
          <w:szCs w:val="21"/>
          <w:lang w:val="es-ES_tradnl"/>
        </w:rPr>
        <w:t xml:space="preserve">sobre </w:t>
      </w:r>
      <w:r w:rsidRPr="00F206EA">
        <w:rPr>
          <w:rFonts w:ascii="Gotham Light" w:hAnsi="Gotham Light"/>
          <w:b/>
          <w:bCs/>
          <w:sz w:val="21"/>
          <w:szCs w:val="21"/>
          <w:lang w:val="es-ES_tradnl"/>
        </w:rPr>
        <w:t xml:space="preserve">los fondos designados por el </w:t>
      </w:r>
      <w:r w:rsidR="00F745D0" w:rsidRPr="00F206EA">
        <w:rPr>
          <w:rFonts w:ascii="Gotham Light" w:hAnsi="Gotham Light"/>
          <w:b/>
          <w:bCs/>
          <w:sz w:val="21"/>
          <w:szCs w:val="21"/>
          <w:lang w:val="es-ES_tradnl"/>
        </w:rPr>
        <w:t>concilio</w:t>
      </w:r>
      <w:r w:rsidRPr="00F206EA">
        <w:rPr>
          <w:rFonts w:ascii="Gotham Light" w:hAnsi="Gotham Light"/>
          <w:b/>
          <w:bCs/>
          <w:sz w:val="21"/>
          <w:szCs w:val="21"/>
          <w:lang w:val="es-ES_tradnl"/>
        </w:rPr>
        <w:t xml:space="preserve">? </w:t>
      </w:r>
      <w:r w:rsidR="009B29BB" w:rsidRPr="00F206EA">
        <w:rPr>
          <w:rFonts w:ascii="Gotham Light" w:hAnsi="Gotham Light"/>
          <w:sz w:val="21"/>
          <w:szCs w:val="21"/>
          <w:lang w:val="es-ES_tradnl"/>
        </w:rPr>
        <w:t xml:space="preserve">Sí. Las designaciones de los </w:t>
      </w:r>
      <w:r w:rsidR="00F745D0" w:rsidRPr="00F206EA">
        <w:rPr>
          <w:rFonts w:ascii="Gotham Light" w:hAnsi="Gotham Light"/>
          <w:sz w:val="21"/>
          <w:szCs w:val="21"/>
          <w:lang w:val="es-ES_tradnl"/>
        </w:rPr>
        <w:t>concilios de las iglesias</w:t>
      </w:r>
      <w:r w:rsidR="009B29BB" w:rsidRPr="00F206EA">
        <w:rPr>
          <w:rFonts w:ascii="Gotham Light" w:hAnsi="Gotham Light"/>
          <w:sz w:val="21"/>
          <w:szCs w:val="21"/>
          <w:lang w:val="es-ES_tradnl"/>
        </w:rPr>
        <w:t xml:space="preserve"> son fondos que se originan en los diezmos y las ofrendas. Por lo tanto, se aplica la sección 13.3.A.3 de los estatutos Cuadrangulares: "</w:t>
      </w:r>
      <w:r w:rsidR="00A5223F" w:rsidRPr="00F206EA">
        <w:rPr>
          <w:rFonts w:ascii="Gotham Light" w:hAnsi="Gotham Light"/>
          <w:i/>
          <w:iCs/>
          <w:sz w:val="21"/>
          <w:szCs w:val="21"/>
          <w:lang w:val="es-ES_tradnl"/>
        </w:rPr>
        <w:t>Cada iglesia Cuadrangular local</w:t>
      </w:r>
      <w:r w:rsidR="00C43844" w:rsidRPr="00F206EA">
        <w:rPr>
          <w:rFonts w:ascii="Gotham Light" w:hAnsi="Gotham Light"/>
          <w:sz w:val="21"/>
          <w:szCs w:val="21"/>
          <w:lang w:val="es-ES_tradnl"/>
        </w:rPr>
        <w:t xml:space="preserve"> recibirá diezmos y ofrendas para el ministerio, mantenimiento y expansión de la iglesia. Un diezmo de los diezmos y ofrendas recibidos por la iglesia local será designado como su "diezmo de extensión ministerial".</w:t>
      </w:r>
    </w:p>
    <w:p w14:paraId="048A9FE3" w14:textId="2CBCE150" w:rsidR="007E3042" w:rsidRPr="00F206EA" w:rsidRDefault="005C2032" w:rsidP="00F35AF2">
      <w:pPr>
        <w:rPr>
          <w:rFonts w:ascii="Gotham Light" w:hAnsi="Gotham Light"/>
          <w:sz w:val="21"/>
          <w:szCs w:val="21"/>
          <w:lang w:val="es-ES_tradnl"/>
        </w:rPr>
      </w:pPr>
      <w:r w:rsidRPr="00F206EA">
        <w:rPr>
          <w:rFonts w:ascii="Gotham Light" w:hAnsi="Gotham Light"/>
          <w:b/>
          <w:bCs/>
          <w:sz w:val="21"/>
          <w:szCs w:val="21"/>
          <w:lang w:val="es-ES_tradnl"/>
        </w:rPr>
        <w:t xml:space="preserve">¿Puede una iglesia establecer fondos restringidos por donantes para el mantenimiento de la iglesia y los gastos operativos regulares? </w:t>
      </w:r>
      <w:r w:rsidR="007E3042" w:rsidRPr="00F206EA">
        <w:rPr>
          <w:rFonts w:ascii="Gotham Light" w:hAnsi="Gotham Light"/>
          <w:sz w:val="21"/>
          <w:szCs w:val="21"/>
          <w:lang w:val="es-ES_tradnl"/>
        </w:rPr>
        <w:t>No. Los siguientes estatutos abordan esta cuestión.</w:t>
      </w:r>
    </w:p>
    <w:p w14:paraId="71233D06" w14:textId="23E4A620" w:rsidR="007E3042" w:rsidRPr="00F206EA" w:rsidRDefault="009F3AAA" w:rsidP="009272B4">
      <w:pPr>
        <w:pStyle w:val="ListParagraph"/>
        <w:numPr>
          <w:ilvl w:val="0"/>
          <w:numId w:val="3"/>
        </w:numPr>
        <w:rPr>
          <w:rFonts w:ascii="Gotham Light" w:hAnsi="Gotham Light"/>
          <w:sz w:val="21"/>
          <w:szCs w:val="21"/>
          <w:lang w:val="es-ES_tradnl"/>
        </w:rPr>
      </w:pPr>
      <w:r w:rsidRPr="00F206EA">
        <w:rPr>
          <w:rFonts w:ascii="Gotham Light" w:hAnsi="Gotham Light"/>
          <w:sz w:val="21"/>
          <w:szCs w:val="21"/>
          <w:lang w:val="es-ES_tradnl"/>
        </w:rPr>
        <w:t xml:space="preserve">Sección 13.3.A.3 de los Estatutos: Los diezmos y las ofrendas son para el ministerio, mantenimiento y expansión de la iglesia.  </w:t>
      </w:r>
    </w:p>
    <w:p w14:paraId="5478D45D" w14:textId="15C5DA84" w:rsidR="007E3042" w:rsidRPr="00F206EA" w:rsidRDefault="00F35AF2" w:rsidP="009272B4">
      <w:pPr>
        <w:pStyle w:val="ListParagraph"/>
        <w:numPr>
          <w:ilvl w:val="0"/>
          <w:numId w:val="3"/>
        </w:numPr>
        <w:rPr>
          <w:rFonts w:ascii="Gotham Light" w:hAnsi="Gotham Light"/>
          <w:sz w:val="21"/>
          <w:szCs w:val="21"/>
          <w:lang w:val="es-ES_tradnl"/>
        </w:rPr>
      </w:pPr>
      <w:r w:rsidRPr="00F206EA">
        <w:rPr>
          <w:rFonts w:ascii="Gotham Light" w:hAnsi="Gotham Light"/>
          <w:sz w:val="21"/>
          <w:szCs w:val="21"/>
          <w:lang w:val="es-ES_tradnl"/>
        </w:rPr>
        <w:t>Ordenanza 14.4.G: "El pastor de una iglesia Cuadrangular fomentará el apoyo financiero de la iglesia a través de diezmos y ofrendas para cumplir con todas las obligaciones de la iglesia".</w:t>
      </w:r>
    </w:p>
    <w:p w14:paraId="18CCA3AD" w14:textId="625CB8F7" w:rsidR="00F35AF2" w:rsidRPr="00F206EA" w:rsidRDefault="00F35AF2" w:rsidP="009272B4">
      <w:pPr>
        <w:pStyle w:val="ListParagraph"/>
        <w:numPr>
          <w:ilvl w:val="0"/>
          <w:numId w:val="3"/>
        </w:numPr>
        <w:rPr>
          <w:rFonts w:ascii="Gotham Light" w:hAnsi="Gotham Light"/>
          <w:sz w:val="21"/>
          <w:szCs w:val="21"/>
          <w:lang w:val="es-ES_tradnl"/>
        </w:rPr>
      </w:pPr>
      <w:r w:rsidRPr="00F206EA">
        <w:rPr>
          <w:rFonts w:ascii="Gotham Light" w:hAnsi="Gotham Light"/>
          <w:sz w:val="21"/>
          <w:szCs w:val="21"/>
          <w:lang w:val="es-ES_tradnl"/>
        </w:rPr>
        <w:t>Estatuto 14.5: "La compensación del pastor siempre se pagará solo en la medida en que la iglesia reciba suficientes diezmos y ofrendas para pagar las otras obligaciones de la iglesia y, además, solo en la medida del saldo de los fondos de la iglesia recibidos durante el empleo del pastor".</w:t>
      </w:r>
    </w:p>
    <w:p w14:paraId="30812501" w14:textId="738C0F74" w:rsidR="009F3AAA" w:rsidRPr="00F206EA" w:rsidRDefault="009B29BB" w:rsidP="00C43844">
      <w:pPr>
        <w:rPr>
          <w:rFonts w:ascii="Gotham Light" w:hAnsi="Gotham Light"/>
          <w:sz w:val="21"/>
          <w:szCs w:val="21"/>
          <w:lang w:val="es-ES_tradnl"/>
        </w:rPr>
      </w:pPr>
      <w:r w:rsidRPr="00F206EA">
        <w:rPr>
          <w:rFonts w:ascii="Gotham Light" w:hAnsi="Gotham Light"/>
          <w:sz w:val="21"/>
          <w:szCs w:val="21"/>
          <w:lang w:val="es-ES_tradnl"/>
        </w:rPr>
        <w:t>El Manual de Operaciones explica con más detalle lo que se paga de los fondos operativos de la iglesia en la sección IV.5. Los gastos operativos de la iglesia se dividen en dos categorías: fijos y variables. Algunos ejemplos de gastos fijos incluyen el diezmo de extensión Cuadrangular, el alquiler, los servicios públicos, la nómina, la hipoteca, las reparaciones y el mantenimiento. Ejemplos de gastos variables son los gastos ministeriales, los gastos administrativos, etc. Estas declaraciones subrayan que la iglesia recibe diezmos y ofrendas para los gastos operativos de la iglesia.</w:t>
      </w:r>
    </w:p>
    <w:p w14:paraId="0193EB32" w14:textId="342725E3" w:rsidR="00691A0B" w:rsidRPr="00F206EA" w:rsidRDefault="001B795E" w:rsidP="00F206EA">
      <w:pPr>
        <w:rPr>
          <w:rFonts w:ascii="Gotham Light" w:hAnsi="Gotham Light"/>
          <w:sz w:val="21"/>
          <w:szCs w:val="21"/>
          <w:lang w:val="es-ES_tradnl"/>
        </w:rPr>
      </w:pPr>
      <w:r w:rsidRPr="00F206EA">
        <w:rPr>
          <w:rFonts w:ascii="Gotham Light" w:hAnsi="Gotham Light"/>
          <w:sz w:val="21"/>
          <w:szCs w:val="21"/>
          <w:lang w:val="es-ES_tradnl"/>
        </w:rPr>
        <w:t xml:space="preserve">¿A quién puedo dirigirme si tengo más preguntas? La oficina del distrito es un recurso para responder a estas y otras preguntas.  </w:t>
      </w:r>
    </w:p>
    <w:sectPr w:rsidR="00691A0B" w:rsidRPr="00F20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20B0604020202020204"/>
    <w:charset w:val="00"/>
    <w:family w:val="auto"/>
    <w:notTrueType/>
    <w:pitch w:val="variable"/>
    <w:sig w:usb0="A100007F" w:usb1="4000005B"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Gotham Bold">
    <w:altName w:val="Times New Roman"/>
    <w:panose1 w:val="020B0604020202020204"/>
    <w:charset w:val="00"/>
    <w:family w:val="auto"/>
    <w:notTrueType/>
    <w:pitch w:val="variable"/>
    <w:sig w:usb0="A100007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518B8"/>
    <w:multiLevelType w:val="hybridMultilevel"/>
    <w:tmpl w:val="F0A6C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92AD5"/>
    <w:multiLevelType w:val="hybridMultilevel"/>
    <w:tmpl w:val="C666B872"/>
    <w:lvl w:ilvl="0" w:tplc="27403E12">
      <w:start w:val="4"/>
      <w:numFmt w:val="bullet"/>
      <w:lvlText w:val="-"/>
      <w:lvlJc w:val="left"/>
      <w:pPr>
        <w:ind w:left="720" w:hanging="360"/>
      </w:pPr>
      <w:rPr>
        <w:rFonts w:ascii="Gotham Light" w:eastAsiaTheme="minorHAnsi" w:hAnsi="Gotham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B1959"/>
    <w:multiLevelType w:val="hybridMultilevel"/>
    <w:tmpl w:val="16D8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43076">
    <w:abstractNumId w:val="2"/>
  </w:num>
  <w:num w:numId="2" w16cid:durableId="1753814659">
    <w:abstractNumId w:val="0"/>
  </w:num>
  <w:num w:numId="3" w16cid:durableId="188405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93"/>
    <w:rsid w:val="0012076C"/>
    <w:rsid w:val="00144085"/>
    <w:rsid w:val="001A4453"/>
    <w:rsid w:val="001B795E"/>
    <w:rsid w:val="001D7790"/>
    <w:rsid w:val="00276DFB"/>
    <w:rsid w:val="002B2FFE"/>
    <w:rsid w:val="00360920"/>
    <w:rsid w:val="00381776"/>
    <w:rsid w:val="00404445"/>
    <w:rsid w:val="004211D2"/>
    <w:rsid w:val="00435493"/>
    <w:rsid w:val="004C59EC"/>
    <w:rsid w:val="005C2032"/>
    <w:rsid w:val="005F1957"/>
    <w:rsid w:val="00691A0B"/>
    <w:rsid w:val="006C4D5F"/>
    <w:rsid w:val="007127FE"/>
    <w:rsid w:val="00790CD6"/>
    <w:rsid w:val="007947C4"/>
    <w:rsid w:val="007E3042"/>
    <w:rsid w:val="008F459F"/>
    <w:rsid w:val="009272B4"/>
    <w:rsid w:val="009B29BB"/>
    <w:rsid w:val="009F3AAA"/>
    <w:rsid w:val="00A5223F"/>
    <w:rsid w:val="00BA15BD"/>
    <w:rsid w:val="00BF4C11"/>
    <w:rsid w:val="00C43844"/>
    <w:rsid w:val="00DE0F5F"/>
    <w:rsid w:val="00DF0A63"/>
    <w:rsid w:val="00E871D3"/>
    <w:rsid w:val="00F206EA"/>
    <w:rsid w:val="00F35AF2"/>
    <w:rsid w:val="00F745D0"/>
    <w:rsid w:val="00FC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E798"/>
  <w15:docId w15:val="{B257176A-DA9D-4CF3-A4DF-F9FAE19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493"/>
    <w:rPr>
      <w:rFonts w:eastAsiaTheme="majorEastAsia" w:cstheme="majorBidi"/>
      <w:color w:val="272727" w:themeColor="text1" w:themeTint="D8"/>
    </w:rPr>
  </w:style>
  <w:style w:type="paragraph" w:styleId="Title">
    <w:name w:val="Title"/>
    <w:basedOn w:val="Normal"/>
    <w:next w:val="Normal"/>
    <w:link w:val="TitleChar"/>
    <w:uiPriority w:val="10"/>
    <w:qFormat/>
    <w:rsid w:val="0043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493"/>
    <w:pPr>
      <w:spacing w:before="160"/>
      <w:jc w:val="center"/>
    </w:pPr>
    <w:rPr>
      <w:i/>
      <w:iCs/>
      <w:color w:val="404040" w:themeColor="text1" w:themeTint="BF"/>
    </w:rPr>
  </w:style>
  <w:style w:type="character" w:customStyle="1" w:styleId="QuoteChar">
    <w:name w:val="Quote Char"/>
    <w:basedOn w:val="DefaultParagraphFont"/>
    <w:link w:val="Quote"/>
    <w:uiPriority w:val="29"/>
    <w:rsid w:val="00435493"/>
    <w:rPr>
      <w:i/>
      <w:iCs/>
      <w:color w:val="404040" w:themeColor="text1" w:themeTint="BF"/>
    </w:rPr>
  </w:style>
  <w:style w:type="paragraph" w:styleId="ListParagraph">
    <w:name w:val="List Paragraph"/>
    <w:basedOn w:val="Normal"/>
    <w:uiPriority w:val="34"/>
    <w:qFormat/>
    <w:rsid w:val="00435493"/>
    <w:pPr>
      <w:ind w:left="720"/>
      <w:contextualSpacing/>
    </w:pPr>
  </w:style>
  <w:style w:type="character" w:styleId="IntenseEmphasis">
    <w:name w:val="Intense Emphasis"/>
    <w:basedOn w:val="DefaultParagraphFont"/>
    <w:uiPriority w:val="21"/>
    <w:qFormat/>
    <w:rsid w:val="00435493"/>
    <w:rPr>
      <w:i/>
      <w:iCs/>
      <w:color w:val="0F4761" w:themeColor="accent1" w:themeShade="BF"/>
    </w:rPr>
  </w:style>
  <w:style w:type="paragraph" w:styleId="IntenseQuote">
    <w:name w:val="Intense Quote"/>
    <w:basedOn w:val="Normal"/>
    <w:next w:val="Normal"/>
    <w:link w:val="IntenseQuoteChar"/>
    <w:uiPriority w:val="30"/>
    <w:qFormat/>
    <w:rsid w:val="0043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493"/>
    <w:rPr>
      <w:i/>
      <w:iCs/>
      <w:color w:val="0F4761" w:themeColor="accent1" w:themeShade="BF"/>
    </w:rPr>
  </w:style>
  <w:style w:type="character" w:styleId="IntenseReference">
    <w:name w:val="Intense Reference"/>
    <w:basedOn w:val="DefaultParagraphFont"/>
    <w:uiPriority w:val="32"/>
    <w:qFormat/>
    <w:rsid w:val="00435493"/>
    <w:rPr>
      <w:b/>
      <w:bCs/>
      <w:smallCaps/>
      <w:color w:val="0F4761" w:themeColor="accent1" w:themeShade="BF"/>
      <w:spacing w:val="5"/>
    </w:rPr>
  </w:style>
  <w:style w:type="paragraph" w:styleId="Revision">
    <w:name w:val="Revision"/>
    <w:hidden/>
    <w:uiPriority w:val="99"/>
    <w:semiHidden/>
    <w:rsid w:val="002B2FFE"/>
    <w:pPr>
      <w:spacing w:after="0" w:line="240" w:lineRule="auto"/>
    </w:pPr>
  </w:style>
  <w:style w:type="character" w:styleId="PlaceholderText">
    <w:name w:val="Placeholder Text"/>
    <w:basedOn w:val="DefaultParagraphFont"/>
    <w:uiPriority w:val="99"/>
    <w:semiHidden/>
    <w:rsid w:val="00E871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6DCEBFE19594E91A486D7B026D5CE" ma:contentTypeVersion="13" ma:contentTypeDescription="Create a new document." ma:contentTypeScope="" ma:versionID="e3416eb8e4ec1b9e04a2d0019d7a67f8">
  <xsd:schema xmlns:xsd="http://www.w3.org/2001/XMLSchema" xmlns:xs="http://www.w3.org/2001/XMLSchema" xmlns:p="http://schemas.microsoft.com/office/2006/metadata/properties" xmlns:ns2="d56cf839-1d76-4f39-9a3d-bdf542d48f87" xmlns:ns3="4311b6ad-9f05-4e64-811b-860df3c88094" targetNamespace="http://schemas.microsoft.com/office/2006/metadata/properties" ma:root="true" ma:fieldsID="b64e75121bc3bdce98e05a6cb2462e88" ns2:_="" ns3:_="">
    <xsd:import namespace="d56cf839-1d76-4f39-9a3d-bdf542d48f87"/>
    <xsd:import namespace="4311b6ad-9f05-4e64-811b-860df3c880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cf839-1d76-4f39-9a3d-bdf542d48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feb9305-d07c-4b7c-a28a-4b068f845fe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b6ad-9f05-4e64-811b-860df3c880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c5d590-9c9d-4353-b6eb-2eecc6e09f61}" ma:internalName="TaxCatchAll" ma:showField="CatchAllData" ma:web="4311b6ad-9f05-4e64-811b-860df3c880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13BEB-CDFB-4EC0-9782-A64A571AC726}"/>
</file>

<file path=customXml/itemProps2.xml><?xml version="1.0" encoding="utf-8"?>
<ds:datastoreItem xmlns:ds="http://schemas.openxmlformats.org/officeDocument/2006/customXml" ds:itemID="{4F15AE54-5145-43F2-8F8F-BD9899E6084B}"/>
</file>

<file path=docProps/app.xml><?xml version="1.0" encoding="utf-8"?>
<Properties xmlns="http://schemas.openxmlformats.org/officeDocument/2006/extended-properties" xmlns:vt="http://schemas.openxmlformats.org/officeDocument/2006/docPropsVTypes">
  <Template>Normal.dotm</Template>
  <TotalTime>52</TotalTime>
  <Pages>2</Pages>
  <Words>890</Words>
  <Characters>4683</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Towne</dc:creator>
  <cp:keywords/>
  <dc:description/>
  <cp:lastModifiedBy>Juan M. Vallejo</cp:lastModifiedBy>
  <cp:revision>9</cp:revision>
  <dcterms:created xsi:type="dcterms:W3CDTF">2024-04-08T12:52:00Z</dcterms:created>
  <dcterms:modified xsi:type="dcterms:W3CDTF">2024-04-08T17:07:00Z</dcterms:modified>
</cp:coreProperties>
</file>