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spacing/>
        <w:rPr/>
      </w:pPr>
      <m:oMathPara>
        <m:oMath>
          <m:r>
            <w:rPr>
              <w:rFonts w:ascii="Cambria Math" w:hAnsi="Cambria Math" w:eastAsia="Cambria Math" w:cs="Cambria Math"/>
            </w:rPr>
            <m:t>a&gt;b</m:t>
          </m:r>
        </m:oMath>
      </m:oMathPara>
    </w:p>
    <w:p>
      <w:pPr>
        <w:spacing/>
        <w:rPr/>
      </w:pPr>
      <m:oMathPara>
        <m:oMath>
          <m:r>
            <w:rPr>
              <w:rFonts w:ascii="Cambria Math" w:hAnsi="Cambria Math" w:eastAsia="Cambria Math" w:cs="Cambria Math"/>
            </w:rPr>
            <m:t>a&lt;b</m:t>
          </m:r>
        </m:oMath>
      </m:oMathPara>
    </w:p>
    <w:p>
      <w:pPr>
        <w:spacing/>
        <w:rPr/>
      </w:pPr>
      <m:oMathPara>
        <m:oMath>
          <m:r>
            <w:rPr>
              <w:rFonts w:ascii="Cambria Math" w:hAnsi="Cambria Math" w:eastAsia="Cambria Math" w:cs="Cambria Math"/>
            </w:rPr>
            <m:t>a≥ b</m:t>
          </m:r>
        </m:oMath>
      </m:oMathPara>
    </w:p>
    <w:p>
      <w:pPr>
        <w:spacing/>
        <w:rPr/>
      </w:pPr>
      <m:oMathPara>
        <m:oMath>
          <m:r>
            <w:rPr>
              <w:rFonts w:ascii="Cambria Math" w:hAnsi="Cambria Math" w:eastAsia="Cambria Math" w:cs="Cambria Math"/>
            </w:rPr>
            <m:t>a≤ b</m:t>
          </m:r>
        </m:oMath>
      </m:oMathPara>
    </w:p>
    <w:p>
      <w:pPr>
        <w:spacing/>
        <w:rPr/>
      </w:pPr>
      <m:oMathPara>
        <m:oMath>
          <m:r>
            <w:rPr>
              <w:rFonts w:ascii="Cambria Math" w:hAnsi="Cambria Math" w:eastAsia="Cambria Math" w:cs="Cambria Math"/>
            </w:rPr>
            <m:t>a≫ b</m:t>
          </m:r>
        </m:oMath>
      </m:oMathPara>
    </w:p>
    <w:p>
      <w:pPr>
        <w:spacing/>
        <w:rPr/>
      </w:pPr>
      <m:oMathPara>
        <m:oMath>
          <m:r>
            <w:rPr>
              <w:rFonts w:ascii="Cambria Math" w:hAnsi="Cambria Math" w:eastAsia="Cambria Math" w:cs="Cambria Math"/>
            </w:rPr>
            <m:t>a≪ b</m:t>
          </m:r>
        </m:oMath>
      </m:oMathPara>
    </w:p>
    <w:p>
      <w:pPr>
        <w:spacing/>
        <w:rPr/>
      </w:pPr>
      <m:oMathPara>
        <m:oMath>
          <m:r>
            <w:rPr>
              <w:rFonts w:ascii="Cambria Math" w:hAnsi="Cambria Math" w:eastAsia="Cambria Math" w:cs="Cambria Math"/>
            </w:rPr>
            <m:t>a≱ b</m:t>
          </m:r>
        </m:oMath>
      </m:oMathPara>
    </w:p>
    <w:p>
      <w:pPr>
        <w:spacing/>
        <w:rPr/>
      </w:pPr>
      <m:oMathPara>
        <m:oMath>
          <m:r>
            <w:rPr>
              <w:rFonts w:ascii="Cambria Math" w:hAnsi="Cambria Math" w:eastAsia="Cambria Math" w:cs="Cambria Math"/>
            </w:rPr>
            <m:t>a≰ b</m:t>
          </m:r>
        </m:oMath>
      </m:oMathPara>
    </w:p>
    <w:sectPr>
      <w:type w:val="nextPage"/>
      <w:pgSz w:w="11906" w:h="16838"/>
      <w:pgMar w:top="400" w:right="400" w:bottom="400" w:left="1000" w:header="720" w:footer="720" w:gutter="0"/>
      <w:pgBorders/>
      <w:pgNumType w:fmt="decimal"/>
      <w:cols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charset w:val="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clrSchemeMapping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" w:default="1">
    <w:name w:val="Normal"/>
    <w:pPr>
      <w:spacing/>
    </w:pPr>
    <w:rPr>
      <w:rFonts w:ascii="Times New Roman" w:hAnsi="Times New Roman" w:eastAsia="Times New Roman"/>
      <w:sz w:val="24"/>
      <w:szCs w:val="24"/>
      <w:lang w:val="en-US" w:eastAsia="uk-UA" w:bidi="ar-SA"/>
    </w:rPr>
  </w:style>
  <w:style w:type="character" w:styleId="DefaultParagraphFont" w:default="1">
    <w:name w:val="Default Paragraph Font"/>
    <w:semiHidden/>
    <w:unhideWhenUsed/>
    <w:rPr/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