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Documentos para la Evaluación Socioeconómica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Para aplicar a este proceso, deberá presentar  los documentos que sustenten su actual situación socioeconómica familiar: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Identificación y educación de la familia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DNI de ambos padres</w:t>
      </w:r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rtl w:val="0"/>
        </w:rPr>
        <w:t xml:space="preserve">del estudiante.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jc w:val="both"/>
        <w:rPr>
          <w:color w:val="000000"/>
        </w:rPr>
      </w:pPr>
      <w:bookmarkStart w:colFirst="0" w:colLast="0" w:name="_dm4hb0htbvsb" w:id="0"/>
      <w:bookmarkEnd w:id="0"/>
      <w:r w:rsidDel="00000000" w:rsidR="00000000" w:rsidRPr="00000000">
        <w:rPr>
          <w:color w:val="000000"/>
          <w:rtl w:val="0"/>
        </w:rPr>
        <w:t xml:space="preserve">Constancias de pago de pensiones de estudios de herman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color w:val="000000"/>
          <w:rtl w:val="0"/>
        </w:rPr>
        <w:t xml:space="preserve">s. En caso de estudiar en centros estatales,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presentar </w:t>
      </w: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color w:val="000000"/>
          <w:rtl w:val="0"/>
        </w:rPr>
        <w:t xml:space="preserve">a constancia u otro documento que sustente la matrícula.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Vivienda y patrimonio (predial-vehicular)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Captura de pantalla de la Consulta de propiedad inmueble de cada uno de los padres y </w:t>
      </w:r>
      <w:r w:rsidDel="00000000" w:rsidR="00000000" w:rsidRPr="00000000">
        <w:rPr>
          <w:highlight w:val="white"/>
          <w:rtl w:val="0"/>
        </w:rPr>
        <w:t xml:space="preserve">del estudiante, </w:t>
      </w:r>
      <w:r w:rsidDel="00000000" w:rsidR="00000000" w:rsidRPr="00000000">
        <w:rPr>
          <w:rtl w:val="0"/>
        </w:rPr>
        <w:t xml:space="preserve">en caso sea mayor de edad, se obtiene en el siguiente enlace: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firstLine="0"/>
        <w:jc w:val="both"/>
        <w:rPr>
          <w:u w:val="single"/>
        </w:rPr>
      </w:pPr>
      <w:hyperlink r:id="rId6">
        <w:r w:rsidDel="00000000" w:rsidR="00000000" w:rsidRPr="00000000">
          <w:rPr>
            <w:u w:val="single"/>
            <w:rtl w:val="0"/>
          </w:rPr>
          <w:t xml:space="preserve">https://www.sunarp.gob.pe/seccion/servicios/detalles/0/c10.html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/>
      </w:pPr>
      <w:r w:rsidDel="00000000" w:rsidR="00000000" w:rsidRPr="00000000">
        <w:rPr>
          <w:rtl w:val="0"/>
        </w:rPr>
        <w:t xml:space="preserve">Autoavalúo de la vivienda de cada inmueble propio, si corresponde (Formulario HR y PU).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Recibo por cada servicio: luz, agua y teléfono (no es necesario el </w:t>
      </w:r>
      <w:r w:rsidDel="00000000" w:rsidR="00000000" w:rsidRPr="00000000">
        <w:rPr>
          <w:highlight w:val="white"/>
          <w:rtl w:val="0"/>
        </w:rPr>
        <w:t xml:space="preserve">voucher</w:t>
      </w:r>
      <w:r w:rsidDel="00000000" w:rsidR="00000000" w:rsidRPr="00000000">
        <w:rPr>
          <w:rtl w:val="0"/>
        </w:rPr>
        <w:t xml:space="preserve"> de pago, solo debe presentar el recibo emitido por la empresa).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/>
      </w:pPr>
      <w:r w:rsidDel="00000000" w:rsidR="00000000" w:rsidRPr="00000000">
        <w:rPr>
          <w:rtl w:val="0"/>
        </w:rPr>
        <w:t xml:space="preserve">Si habitan en inmueble alquilado, adjuntar contrato y/o recibo de arrendamiento.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/>
      </w:pPr>
      <w:r w:rsidDel="00000000" w:rsidR="00000000" w:rsidRPr="00000000">
        <w:rPr>
          <w:rtl w:val="0"/>
        </w:rPr>
        <w:t xml:space="preserve">En caso de poseer vehículo, presentar la “identificación vehicular” o tarjeta de propiedad de cada vehículo.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En caso no posean vehículos, no presentar ningún documento.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8" w:firstLine="0"/>
        <w:jc w:val="both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Ingresos familiares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68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Renta de primera categoría – alquileres: adjuntar el contrato vigente de cada alquiler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68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Renta de cuarta categoría – trabajo independiente: adjuntar el Contrato de Prestaciones de Servicios: Locación / CAS, si corresponde.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68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Renta de quinta categoría – trabajo dependiente: adjuntar tres últimas boletas de sueldo, pensión y otros pagos (jubilación, cesantía, viudez, judicial, orfandad, CAFAE) del padre y de la madre.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68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Si registra R</w:t>
      </w:r>
      <w:r w:rsidDel="00000000" w:rsidR="00000000" w:rsidRPr="00000000">
        <w:rPr>
          <w:rtl w:val="0"/>
        </w:rPr>
        <w:t xml:space="preserve">UC</w:t>
      </w:r>
      <w:r w:rsidDel="00000000" w:rsidR="00000000" w:rsidRPr="00000000">
        <w:rPr>
          <w:color w:val="000000"/>
          <w:rtl w:val="0"/>
        </w:rPr>
        <w:t xml:space="preserve"> activo (aunque no esté en uso), presentar el Reporte Tributario para Terceros, del padre y de la madre, y del alumno si corresponde, se obtiene en el siguiente enlace: </w:t>
      </w:r>
      <w:hyperlink r:id="rId7">
        <w:r w:rsidDel="00000000" w:rsidR="00000000" w:rsidRPr="00000000">
          <w:rPr>
            <w:color w:val="004ea8"/>
            <w:u w:val="single"/>
            <w:rtl w:val="0"/>
          </w:rPr>
          <w:t xml:space="preserve">http://www.sunat.gob.pe/accesosDirectos/reactivaPeru-p.html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56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Actividad empresarial/comercial 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68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Renta de tercera categoría – empresa/negocio propio: presentar el Reporte Tributario para Terceros, de la Persona Jurídica o Razón Social, se obtiene en el siguiente enlace: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68" w:firstLine="0"/>
        <w:jc w:val="both"/>
        <w:rPr>
          <w:color w:val="000000"/>
        </w:rPr>
      </w:pPr>
      <w:hyperlink r:id="rId8">
        <w:r w:rsidDel="00000000" w:rsidR="00000000" w:rsidRPr="00000000">
          <w:rPr>
            <w:color w:val="004ea8"/>
            <w:u w:val="single"/>
            <w:rtl w:val="0"/>
          </w:rPr>
          <w:t xml:space="preserve">http://www.sunat.gob.pe/accesosDirectos/reactivaPeru-p.html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68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También adjuntar, licencia de funcionamiento, autoavalúo o contrato actualizado del alquiler del local y sucursales.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68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Búsqueda de índice de propiedad de inmueble de Lima-Callao y del departamento donde se ubique el domicilio fiscal y sucursales de cada Persona Jurídica o Razón Social. (Registros Públicos – SUNARP) Se obtiene en el siguiente enlace </w:t>
      </w:r>
      <w:hyperlink r:id="rId9">
        <w:r w:rsidDel="00000000" w:rsidR="00000000" w:rsidRPr="00000000">
          <w:rPr>
            <w:color w:val="004ea8"/>
            <w:u w:val="single"/>
            <w:rtl w:val="0"/>
          </w:rPr>
          <w:t xml:space="preserve">https://enlinea.sunarp.gob.pe/sunarpweb/pages/acceso/ingreso.faces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68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En caso la(s) empresa (s) registre(n) vehículo (s), presentar la “identificación vehicular” o la captura de pantalla de la Consulta vehicular por cada placa. Se obtiene en línea en el siguiente enlace: </w:t>
      </w:r>
      <w:hyperlink r:id="rId10">
        <w:r w:rsidDel="00000000" w:rsidR="00000000" w:rsidRPr="00000000">
          <w:rPr>
            <w:color w:val="004ea8"/>
            <w:u w:val="single"/>
            <w:rtl w:val="0"/>
          </w:rPr>
          <w:t xml:space="preserve">https://www.sunarp.gob.pe/seccion/servicios/detalles/0/c3.html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68" w:firstLine="0"/>
        <w:jc w:val="both"/>
        <w:rPr>
          <w:color w:val="004ea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Documentos para casos especiales, de acuerdo con la situación que atraviese la familia. 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Certificado médico o documento de salud que </w:t>
      </w:r>
      <w:r w:rsidDel="00000000" w:rsidR="00000000" w:rsidRPr="00000000">
        <w:rPr>
          <w:rtl w:val="0"/>
        </w:rPr>
        <w:t xml:space="preserve">sustenta</w:t>
      </w:r>
      <w:r w:rsidDel="00000000" w:rsidR="00000000" w:rsidRPr="00000000">
        <w:rPr>
          <w:color w:val="000000"/>
          <w:rtl w:val="0"/>
        </w:rPr>
        <w:t xml:space="preserve"> el diagnóstico de enfermedades de alto impacto socioeconómico.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Desempleo: Liquidación de Beneficios Sociales, CTS y dependiendo de la situación, incluir la Liquidación de Indemnización Laboral o el Documento de Mutuo Disenso.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Acta, Certificado o Partida de defunción en caso de fallecimiento de alguno de los padres.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Sentencia de divorcio, alimentos, conciliación.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Otros, que considere convenientes.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Importante.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firstLine="0"/>
        <w:jc w:val="both"/>
        <w:rPr>
          <w:color w:val="000000"/>
        </w:rPr>
      </w:pPr>
      <w:bookmarkStart w:colFirst="0" w:colLast="0" w:name="_v7bz0lb3syry" w:id="1"/>
      <w:bookmarkEnd w:id="1"/>
      <w:r w:rsidDel="00000000" w:rsidR="00000000" w:rsidRPr="00000000">
        <w:rPr>
          <w:color w:val="000000"/>
          <w:rtl w:val="0"/>
        </w:rPr>
        <w:t xml:space="preserve">Con el fin de dar mayor consistencia, la Universidad ha previsto cruzar la información que presenta cada estudiante y su familia con la que se encuentra en las entidades públicas y privadas. Si se detectara alguna inexactitud dolosa u omisión, se aplicarán las sanciones reglamentarias que correspondan.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b w:val="1"/>
          <w:color w:val="000000"/>
          <w:u w:val="single"/>
        </w:rPr>
      </w:pPr>
      <w:bookmarkStart w:colFirst="0" w:colLast="0" w:name="_qrxo17yipt7p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jc w:val="righ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Dirección de Asuntos Estudiantiles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jc w:val="righ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Oficina de Apoyo y Promoción Social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jc w:val="right"/>
        <w:rPr/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Última actualización 05.08.2025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17" w:w="11901" w:orient="portrait"/>
      <w:pgMar w:bottom="992" w:top="2209" w:left="851" w:right="851" w:header="709" w:footer="1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urier New"/>
  <w:font w:name="Teko">
    <w:embedRegular w:fontKey="{00000000-0000-0000-0000-000000000000}" r:id="rId1" w:subsetted="0"/>
    <w:embedBold w:fontKey="{00000000-0000-0000-0000-000000000000}" r:id="rId2" w:subsetted="0"/>
  </w:font>
  <w:font w:name="TT Norms Pro Medium"/>
  <w:font w:name="Noto Sans Symbols">
    <w:embedRegular w:fontKey="{00000000-0000-0000-0000-000000000000}" r:id="rId3" w:subsetted="0"/>
    <w:embedBold w:fontKey="{00000000-0000-0000-0000-000000000000}" r:id="rId4" w:subsetted="0"/>
  </w:font>
  <w:font w:name="TT Norms Pro ExtraBol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T Norms Pro Medium" w:cs="TT Norms Pro Medium" w:eastAsia="TT Norms Pro Medium" w:hAnsi="TT Norms Pro Medium"/>
        <w:color w:val="182c54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T Norms Pro ExtraBold" w:cs="TT Norms Pro ExtraBold" w:eastAsia="TT Norms Pro ExtraBold" w:hAnsi="TT Norms Pro ExtraBold"/>
        <w:color w:val="042354"/>
        <w:sz w:val="16"/>
        <w:szCs w:val="16"/>
      </w:rPr>
    </w:pPr>
    <w:r w:rsidDel="00000000" w:rsidR="00000000" w:rsidRPr="00000000">
      <w:rPr>
        <w:rFonts w:ascii="TT Norms Pro Medium" w:cs="TT Norms Pro Medium" w:eastAsia="TT Norms Pro Medium" w:hAnsi="TT Norms Pro Medium"/>
        <w:color w:val="042354"/>
        <w:sz w:val="16"/>
        <w:szCs w:val="16"/>
        <w:rtl w:val="0"/>
      </w:rPr>
      <w:t xml:space="preserve">Av. Universitaria 1801 - San Miguel, Lima, Perú. | T: (511) 626-2000 | </w:t>
    </w:r>
    <w:r w:rsidDel="00000000" w:rsidR="00000000" w:rsidRPr="00000000">
      <w:rPr>
        <w:rFonts w:ascii="TT Norms Pro ExtraBold" w:cs="TT Norms Pro ExtraBold" w:eastAsia="TT Norms Pro ExtraBold" w:hAnsi="TT Norms Pro ExtraBold"/>
        <w:color w:val="042354"/>
        <w:sz w:val="16"/>
        <w:szCs w:val="16"/>
        <w:rtl w:val="0"/>
      </w:rPr>
      <w:t xml:space="preserve">pucp.edu.pe</w:t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201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0</wp:posOffset>
          </wp:positionH>
          <wp:positionV relativeFrom="margin">
            <wp:posOffset>-914395</wp:posOffset>
          </wp:positionV>
          <wp:extent cx="1997710" cy="848995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7710" cy="848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  <w:rtl w:val="0"/>
      </w:rPr>
      <w:tab/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080" w:hanging="360"/>
      </w:pPr>
      <w:rPr>
        <w:rFonts w:ascii="Teko" w:cs="Teko" w:eastAsia="Teko" w:hAnsi="Tek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eko" w:cs="Teko" w:eastAsia="Teko" w:hAnsi="Tek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1068" w:hanging="360"/>
      </w:pPr>
      <w:rPr>
        <w:rFonts w:ascii="Teko" w:cs="Teko" w:eastAsia="Teko" w:hAnsi="Teko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-"/>
      <w:lvlJc w:val="left"/>
      <w:pPr>
        <w:ind w:left="1080" w:hanging="360"/>
      </w:pPr>
      <w:rPr>
        <w:rFonts w:ascii="Teko" w:cs="Teko" w:eastAsia="Teko" w:hAnsi="Tek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-"/>
      <w:lvlJc w:val="left"/>
      <w:pPr>
        <w:ind w:left="1080" w:hanging="360"/>
      </w:pPr>
      <w:rPr>
        <w:rFonts w:ascii="Teko" w:cs="Teko" w:eastAsia="Teko" w:hAnsi="Tek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PE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sunarp.gob.pe/seccion/servicios/detalles/0/c3.html" TargetMode="External"/><Relationship Id="rId12" Type="http://schemas.openxmlformats.org/officeDocument/2006/relationships/footer" Target="footer1.xml"/><Relationship Id="rId9" Type="http://schemas.openxmlformats.org/officeDocument/2006/relationships/hyperlink" Target="https://enlinea.sunarp.gob.pe/sunarpweb/pages/acceso/ingreso.faces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sunarp.gob.pe/seccion/servicios/detalles/0/c10.html" TargetMode="External"/><Relationship Id="rId7" Type="http://schemas.openxmlformats.org/officeDocument/2006/relationships/hyperlink" Target="http://www.sunat.gob.pe/accesosDirectos/reactivaPeru-p.html" TargetMode="External"/><Relationship Id="rId8" Type="http://schemas.openxmlformats.org/officeDocument/2006/relationships/hyperlink" Target="http://www.sunat.gob.pe/accesosDirectos/reactivaPeru-p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eko-regular.ttf"/><Relationship Id="rId2" Type="http://schemas.openxmlformats.org/officeDocument/2006/relationships/font" Target="fonts/Teko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