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FDB" w14:textId="77777777" w:rsidR="00100ACD" w:rsidRDefault="00100ACD"/>
    <w:p w14:paraId="6787C24F" w14:textId="7600C1C1" w:rsidR="00F15CD1" w:rsidRPr="000F4E5E" w:rsidRDefault="00100ACD" w:rsidP="00F15CD1">
      <w:pPr>
        <w:spacing w:after="0" w:line="480" w:lineRule="auto"/>
        <w:rPr>
          <w:rFonts w:ascii="Arial" w:hAnsi="Arial" w:cs="Arial"/>
        </w:rPr>
      </w:pPr>
      <w:r>
        <w:tab/>
      </w:r>
      <w:r w:rsidRPr="000F4E5E">
        <w:rPr>
          <w:rFonts w:ascii="Arial" w:hAnsi="Arial" w:cs="Arial"/>
        </w:rPr>
        <w:t xml:space="preserve">Stroke is the second leading cause of death in the </w:t>
      </w:r>
      <w:r w:rsidR="001507B6" w:rsidRPr="000F4E5E">
        <w:rPr>
          <w:rFonts w:ascii="Arial" w:hAnsi="Arial" w:cs="Arial"/>
        </w:rPr>
        <w:t>world</w:t>
      </w:r>
      <w:r w:rsidRPr="000F4E5E">
        <w:rPr>
          <w:rFonts w:ascii="Arial" w:hAnsi="Arial" w:cs="Arial"/>
        </w:rPr>
        <w:t xml:space="preserve"> (Kuriakose and Xiao, 2020).</w:t>
      </w:r>
      <w:r w:rsidR="001507B6" w:rsidRPr="000F4E5E">
        <w:rPr>
          <w:rFonts w:ascii="Arial" w:hAnsi="Arial" w:cs="Arial"/>
        </w:rPr>
        <w:t xml:space="preserve"> It occurs when there is a blockage of blood flow </w:t>
      </w:r>
      <w:r w:rsidR="00A205C5" w:rsidRPr="000F4E5E">
        <w:rPr>
          <w:rFonts w:ascii="Arial" w:hAnsi="Arial" w:cs="Arial"/>
        </w:rPr>
        <w:t xml:space="preserve">or oxygen </w:t>
      </w:r>
      <w:r w:rsidR="001507B6" w:rsidRPr="000F4E5E">
        <w:rPr>
          <w:rFonts w:ascii="Arial" w:hAnsi="Arial" w:cs="Arial"/>
        </w:rPr>
        <w:t>to the brain</w:t>
      </w:r>
      <w:r w:rsidR="00A205C5" w:rsidRPr="000F4E5E">
        <w:rPr>
          <w:rFonts w:ascii="Arial" w:hAnsi="Arial" w:cs="Arial"/>
        </w:rPr>
        <w:t xml:space="preserve"> (ischemic stroke)</w:t>
      </w:r>
      <w:r w:rsidR="001507B6" w:rsidRPr="000F4E5E">
        <w:rPr>
          <w:rFonts w:ascii="Arial" w:hAnsi="Arial" w:cs="Arial"/>
        </w:rPr>
        <w:t xml:space="preserve"> or </w:t>
      </w:r>
      <w:r w:rsidR="00A205C5" w:rsidRPr="000F4E5E">
        <w:rPr>
          <w:rFonts w:ascii="Arial" w:hAnsi="Arial" w:cs="Arial"/>
        </w:rPr>
        <w:t xml:space="preserve">from </w:t>
      </w:r>
      <w:r w:rsidR="001507B6" w:rsidRPr="000F4E5E">
        <w:rPr>
          <w:rFonts w:ascii="Arial" w:hAnsi="Arial" w:cs="Arial"/>
        </w:rPr>
        <w:t xml:space="preserve">leaky blood </w:t>
      </w:r>
      <w:r w:rsidR="00A205C5" w:rsidRPr="000F4E5E">
        <w:rPr>
          <w:rFonts w:ascii="Arial" w:hAnsi="Arial" w:cs="Arial"/>
        </w:rPr>
        <w:t>vessels in the brain (</w:t>
      </w:r>
      <w:r w:rsidR="00D82ADE" w:rsidRPr="000F4E5E">
        <w:rPr>
          <w:rFonts w:ascii="Arial" w:hAnsi="Arial" w:cs="Arial"/>
        </w:rPr>
        <w:t>hemorrhagic</w:t>
      </w:r>
      <w:r w:rsidR="00A205C5" w:rsidRPr="000F4E5E">
        <w:rPr>
          <w:rFonts w:ascii="Arial" w:hAnsi="Arial" w:cs="Arial"/>
        </w:rPr>
        <w:t xml:space="preserve"> stroke).</w:t>
      </w:r>
      <w:r w:rsidR="008D7358" w:rsidRPr="000F4E5E">
        <w:rPr>
          <w:rFonts w:ascii="Arial" w:hAnsi="Arial" w:cs="Arial"/>
        </w:rPr>
        <w:t xml:space="preserve"> The most common </w:t>
      </w:r>
      <w:r w:rsidR="00FE1B3C" w:rsidRPr="000F4E5E">
        <w:rPr>
          <w:rFonts w:ascii="Arial" w:hAnsi="Arial" w:cs="Arial"/>
        </w:rPr>
        <w:t>diagnosis</w:t>
      </w:r>
      <w:r w:rsidR="008D7358" w:rsidRPr="000F4E5E">
        <w:rPr>
          <w:rFonts w:ascii="Arial" w:hAnsi="Arial" w:cs="Arial"/>
        </w:rPr>
        <w:t xml:space="preserve"> for stroke is the use of non-contrast </w:t>
      </w:r>
      <w:r w:rsidR="00540229" w:rsidRPr="000F4E5E">
        <w:rPr>
          <w:rFonts w:ascii="Arial" w:hAnsi="Arial" w:cs="Arial"/>
        </w:rPr>
        <w:t xml:space="preserve">computed tomography </w:t>
      </w:r>
      <w:r w:rsidR="008D7358" w:rsidRPr="000F4E5E">
        <w:rPr>
          <w:rFonts w:ascii="Arial" w:hAnsi="Arial" w:cs="Arial"/>
        </w:rPr>
        <w:t>(CT)</w:t>
      </w:r>
      <w:r w:rsidR="00540229" w:rsidRPr="000F4E5E">
        <w:rPr>
          <w:rFonts w:ascii="Arial" w:hAnsi="Arial" w:cs="Arial"/>
        </w:rPr>
        <w:t xml:space="preserve"> scan</w:t>
      </w:r>
      <w:r w:rsidR="008D7358" w:rsidRPr="000F4E5E">
        <w:rPr>
          <w:rFonts w:ascii="Arial" w:hAnsi="Arial" w:cs="Arial"/>
        </w:rPr>
        <w:t>, non-contrast</w:t>
      </w:r>
      <w:r w:rsidR="00540229" w:rsidRPr="000F4E5E">
        <w:rPr>
          <w:rFonts w:ascii="Arial" w:hAnsi="Arial" w:cs="Arial"/>
        </w:rPr>
        <w:t xml:space="preserve"> computed tomography</w:t>
      </w:r>
      <w:r w:rsidR="008D7358" w:rsidRPr="000F4E5E">
        <w:rPr>
          <w:rFonts w:ascii="Arial" w:hAnsi="Arial" w:cs="Arial"/>
        </w:rPr>
        <w:t xml:space="preserve"> perfusion imaging (CTP)</w:t>
      </w:r>
      <w:r w:rsidR="00540229" w:rsidRPr="000F4E5E">
        <w:rPr>
          <w:rFonts w:ascii="Arial" w:hAnsi="Arial" w:cs="Arial"/>
        </w:rPr>
        <w:t xml:space="preserve"> scan</w:t>
      </w:r>
      <w:r w:rsidR="008D7358" w:rsidRPr="000F4E5E">
        <w:rPr>
          <w:rFonts w:ascii="Arial" w:hAnsi="Arial" w:cs="Arial"/>
        </w:rPr>
        <w:t>, or magnetic resonance imaging (MRI) (</w:t>
      </w:r>
      <w:r w:rsidR="006E0F8A" w:rsidRPr="000F4E5E">
        <w:rPr>
          <w:rFonts w:ascii="Arial" w:hAnsi="Arial" w:cs="Arial"/>
        </w:rPr>
        <w:t>Hasan</w:t>
      </w:r>
      <w:r w:rsidR="008D7358" w:rsidRPr="000F4E5E">
        <w:rPr>
          <w:rFonts w:ascii="Arial" w:hAnsi="Arial" w:cs="Arial"/>
        </w:rPr>
        <w:t xml:space="preserve"> et al., 2018).</w:t>
      </w:r>
      <w:r w:rsidR="00540229" w:rsidRPr="000F4E5E">
        <w:rPr>
          <w:rFonts w:ascii="Arial" w:hAnsi="Arial" w:cs="Arial"/>
        </w:rPr>
        <w:t xml:space="preserve"> The use of a CT scan is commonly used to eliminate hemorrhagic stroke.</w:t>
      </w:r>
      <w:r w:rsidR="00F73FA9" w:rsidRPr="000F4E5E">
        <w:rPr>
          <w:rFonts w:ascii="Arial" w:hAnsi="Arial" w:cs="Arial"/>
        </w:rPr>
        <w:t xml:space="preserve"> An ischemic stroke is usually identified within the first few hours by its symptoms </w:t>
      </w:r>
      <w:r w:rsidR="000C1A48">
        <w:rPr>
          <w:rFonts w:ascii="Arial" w:hAnsi="Arial" w:cs="Arial"/>
        </w:rPr>
        <w:t>including</w:t>
      </w:r>
      <w:r w:rsidR="00F73FA9" w:rsidRPr="000F4E5E">
        <w:rPr>
          <w:rFonts w:ascii="Arial" w:hAnsi="Arial" w:cs="Arial"/>
        </w:rPr>
        <w:t xml:space="preserve"> face drooping, speech difficulty, arm weakness, and</w:t>
      </w:r>
      <w:r w:rsidR="000C1A48">
        <w:rPr>
          <w:rFonts w:ascii="Arial" w:hAnsi="Arial" w:cs="Arial"/>
        </w:rPr>
        <w:t xml:space="preserve"> the</w:t>
      </w:r>
      <w:r w:rsidR="00F73FA9" w:rsidRPr="000F4E5E">
        <w:rPr>
          <w:rFonts w:ascii="Arial" w:hAnsi="Arial" w:cs="Arial"/>
        </w:rPr>
        <w:t xml:space="preserve"> time it takes to reach out for help. Ischemic stroke is treated with tissue plasminogen activator (tPA)</w:t>
      </w:r>
      <w:r w:rsidR="000D446A" w:rsidRPr="000F4E5E">
        <w:rPr>
          <w:rFonts w:ascii="Arial" w:hAnsi="Arial" w:cs="Arial"/>
        </w:rPr>
        <w:t xml:space="preserve"> (</w:t>
      </w:r>
      <w:r w:rsidR="008438C4">
        <w:rPr>
          <w:rFonts w:ascii="Arial" w:hAnsi="Arial" w:cs="Arial"/>
        </w:rPr>
        <w:t>Hasan</w:t>
      </w:r>
      <w:r w:rsidR="000D446A" w:rsidRPr="000F4E5E">
        <w:rPr>
          <w:rFonts w:ascii="Arial" w:hAnsi="Arial" w:cs="Arial"/>
        </w:rPr>
        <w:t xml:space="preserve"> et al., 2018). </w:t>
      </w:r>
      <w:r w:rsidR="00DF2778" w:rsidRPr="000F4E5E">
        <w:rPr>
          <w:rFonts w:ascii="Arial" w:hAnsi="Arial" w:cs="Arial"/>
        </w:rPr>
        <w:t xml:space="preserve"> </w:t>
      </w:r>
      <w:r w:rsidR="000C58C3" w:rsidRPr="000F4E5E">
        <w:rPr>
          <w:rFonts w:ascii="Arial" w:hAnsi="Arial" w:cs="Arial"/>
        </w:rPr>
        <w:t xml:space="preserve">According to </w:t>
      </w:r>
      <w:r w:rsidR="006E0F8A" w:rsidRPr="000F4E5E">
        <w:rPr>
          <w:rFonts w:ascii="Arial" w:hAnsi="Arial" w:cs="Arial"/>
        </w:rPr>
        <w:t>Hasan</w:t>
      </w:r>
      <w:r w:rsidR="000C58C3" w:rsidRPr="000F4E5E">
        <w:rPr>
          <w:rFonts w:ascii="Arial" w:hAnsi="Arial" w:cs="Arial"/>
        </w:rPr>
        <w:t xml:space="preserve"> et al. </w:t>
      </w:r>
      <w:r w:rsidR="00675AB9">
        <w:rPr>
          <w:rFonts w:ascii="Arial" w:hAnsi="Arial" w:cs="Arial"/>
        </w:rPr>
        <w:t>(</w:t>
      </w:r>
      <w:r w:rsidR="000C58C3" w:rsidRPr="000F4E5E">
        <w:rPr>
          <w:rFonts w:ascii="Arial" w:hAnsi="Arial" w:cs="Arial"/>
        </w:rPr>
        <w:t>2018</w:t>
      </w:r>
      <w:r w:rsidR="00675AB9">
        <w:rPr>
          <w:rFonts w:ascii="Arial" w:hAnsi="Arial" w:cs="Arial"/>
        </w:rPr>
        <w:t>)</w:t>
      </w:r>
      <w:r w:rsidR="000C58C3" w:rsidRPr="000F4E5E">
        <w:rPr>
          <w:rFonts w:ascii="Arial" w:hAnsi="Arial" w:cs="Arial"/>
        </w:rPr>
        <w:t>, t</w:t>
      </w:r>
      <w:r w:rsidR="00DF2778" w:rsidRPr="000F4E5E">
        <w:rPr>
          <w:rFonts w:ascii="Arial" w:hAnsi="Arial" w:cs="Arial"/>
        </w:rPr>
        <w:t>his treatment</w:t>
      </w:r>
      <w:r w:rsidR="000C58C3" w:rsidRPr="000F4E5E">
        <w:rPr>
          <w:rFonts w:ascii="Arial" w:hAnsi="Arial" w:cs="Arial"/>
        </w:rPr>
        <w:t xml:space="preserve"> has improved from being effective within 17 minutes versus 33 minutes, especially </w:t>
      </w:r>
      <w:r w:rsidR="005219EC">
        <w:rPr>
          <w:rFonts w:ascii="Arial" w:hAnsi="Arial" w:cs="Arial"/>
        </w:rPr>
        <w:t xml:space="preserve">between </w:t>
      </w:r>
      <w:r w:rsidR="000C58C3" w:rsidRPr="000F4E5E">
        <w:rPr>
          <w:rFonts w:ascii="Arial" w:hAnsi="Arial" w:cs="Arial"/>
        </w:rPr>
        <w:t>using telemedicine and making it to the hospital.</w:t>
      </w:r>
      <w:r w:rsidR="00F15CD1" w:rsidRPr="000F4E5E">
        <w:rPr>
          <w:rFonts w:ascii="Arial" w:hAnsi="Arial" w:cs="Arial"/>
        </w:rPr>
        <w:t xml:space="preserve"> </w:t>
      </w:r>
    </w:p>
    <w:p w14:paraId="2279490C" w14:textId="3691C539" w:rsidR="00675AB9" w:rsidRDefault="00F15CD1" w:rsidP="00675AB9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Once the stroke is properly treated, it can still lead to nutritional implications. Dysphagia and aspirations are usually common amongst individuals who have experienced stroke (Crary </w:t>
      </w:r>
      <w:r w:rsidR="00E3517B">
        <w:rPr>
          <w:rFonts w:ascii="Arial" w:hAnsi="Arial" w:cs="Arial"/>
        </w:rPr>
        <w:t xml:space="preserve">and </w:t>
      </w:r>
      <w:proofErr w:type="spellStart"/>
      <w:r w:rsidR="00E3517B">
        <w:rPr>
          <w:rFonts w:ascii="Arial" w:hAnsi="Arial" w:cs="Arial"/>
        </w:rPr>
        <w:t>Groher</w:t>
      </w:r>
      <w:proofErr w:type="spellEnd"/>
      <w:r w:rsidRPr="000F4E5E">
        <w:rPr>
          <w:rFonts w:ascii="Arial" w:hAnsi="Arial" w:cs="Arial"/>
        </w:rPr>
        <w:t xml:space="preserve">, 2014). </w:t>
      </w:r>
      <w:r w:rsidR="00C627C8" w:rsidRPr="000F4E5E">
        <w:rPr>
          <w:rFonts w:ascii="Arial" w:hAnsi="Arial" w:cs="Arial"/>
        </w:rPr>
        <w:t xml:space="preserve">Aspiration pneumonia is also another result from dysphagia (Juan et al., 2020). </w:t>
      </w:r>
      <w:r w:rsidR="00C231CA">
        <w:rPr>
          <w:rFonts w:ascii="Arial" w:hAnsi="Arial" w:cs="Arial"/>
        </w:rPr>
        <w:t xml:space="preserve">It occurs when food or liquid enters the lung and can cause a lung infection. </w:t>
      </w:r>
      <w:r w:rsidR="00C627C8" w:rsidRPr="000F4E5E">
        <w:rPr>
          <w:rFonts w:ascii="Arial" w:hAnsi="Arial" w:cs="Arial"/>
        </w:rPr>
        <w:t xml:space="preserve">This is dangerous and can lead to lengthy hospital </w:t>
      </w:r>
      <w:r w:rsidR="00675AB9">
        <w:rPr>
          <w:rFonts w:ascii="Arial" w:hAnsi="Arial" w:cs="Arial"/>
        </w:rPr>
        <w:t>stay</w:t>
      </w:r>
      <w:r w:rsidR="00C627C8" w:rsidRPr="000F4E5E">
        <w:rPr>
          <w:rFonts w:ascii="Arial" w:hAnsi="Arial" w:cs="Arial"/>
        </w:rPr>
        <w:t>s.</w:t>
      </w:r>
      <w:r w:rsidR="00DF2778" w:rsidRPr="000F4E5E">
        <w:rPr>
          <w:rFonts w:ascii="Arial" w:hAnsi="Arial" w:cs="Arial"/>
        </w:rPr>
        <w:t xml:space="preserve"> </w:t>
      </w:r>
      <w:r w:rsidR="005A0F78">
        <w:rPr>
          <w:rFonts w:ascii="Arial" w:hAnsi="Arial" w:cs="Arial"/>
        </w:rPr>
        <w:t xml:space="preserve">Following the diagnoses of dysphagia, tube feeding becomes a possibility. </w:t>
      </w:r>
      <w:r w:rsidRPr="000F4E5E">
        <w:rPr>
          <w:rFonts w:ascii="Arial" w:hAnsi="Arial" w:cs="Arial"/>
        </w:rPr>
        <w:t xml:space="preserve">Tube feeding is implemented only if the individual is not receiving adequate nutritional support through their mouth. </w:t>
      </w:r>
      <w:r w:rsidR="00675AB9">
        <w:rPr>
          <w:rFonts w:ascii="Arial" w:hAnsi="Arial" w:cs="Arial"/>
        </w:rPr>
        <w:t xml:space="preserve">                                                                                                     </w:t>
      </w:r>
    </w:p>
    <w:p w14:paraId="2BA37DCF" w14:textId="182266C9" w:rsidR="00675AB9" w:rsidRDefault="00675AB9" w:rsidP="00675AB9">
      <w:pPr>
        <w:spacing w:after="0" w:line="480" w:lineRule="auto"/>
        <w:ind w:firstLine="720"/>
        <w:rPr>
          <w:rFonts w:ascii="Arial" w:hAnsi="Arial" w:cs="Arial"/>
        </w:rPr>
      </w:pPr>
    </w:p>
    <w:p w14:paraId="35208BEE" w14:textId="77777777" w:rsidR="00675AB9" w:rsidRDefault="00675AB9" w:rsidP="00675AB9">
      <w:pPr>
        <w:spacing w:after="0" w:line="480" w:lineRule="auto"/>
        <w:ind w:firstLine="720"/>
        <w:rPr>
          <w:rFonts w:ascii="Arial" w:hAnsi="Arial" w:cs="Arial"/>
        </w:rPr>
      </w:pPr>
    </w:p>
    <w:p w14:paraId="1E5D5699" w14:textId="77777777" w:rsidR="00675AB9" w:rsidRDefault="00675AB9" w:rsidP="00675AB9">
      <w:pPr>
        <w:spacing w:after="0" w:line="480" w:lineRule="auto"/>
        <w:ind w:firstLine="720"/>
        <w:rPr>
          <w:rFonts w:ascii="Arial" w:hAnsi="Arial" w:cs="Arial"/>
        </w:rPr>
      </w:pPr>
    </w:p>
    <w:p w14:paraId="529F9AAA" w14:textId="2A7F5A1E" w:rsidR="001A5C7A" w:rsidRDefault="00F15CD1" w:rsidP="00675AB9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>From clinical experience, a Speech and Language Pathologist would do a couple of swallow test</w:t>
      </w:r>
      <w:r w:rsidR="00E73F8E" w:rsidRPr="000F4E5E">
        <w:rPr>
          <w:rFonts w:ascii="Arial" w:hAnsi="Arial" w:cs="Arial"/>
        </w:rPr>
        <w:t>s</w:t>
      </w:r>
      <w:r w:rsidR="00D36649">
        <w:rPr>
          <w:rFonts w:ascii="Arial" w:hAnsi="Arial" w:cs="Arial"/>
        </w:rPr>
        <w:t xml:space="preserve"> within the first 48 hours of admission</w:t>
      </w:r>
      <w:r w:rsidRPr="000F4E5E">
        <w:rPr>
          <w:rFonts w:ascii="Arial" w:hAnsi="Arial" w:cs="Arial"/>
        </w:rPr>
        <w:t xml:space="preserve"> to see if the individual’s feeding is not compromised and choose an appropriate diet texture. In</w:t>
      </w:r>
      <w:r w:rsidR="00675AB9">
        <w:rPr>
          <w:rFonts w:ascii="Arial" w:hAnsi="Arial" w:cs="Arial"/>
        </w:rPr>
        <w:t xml:space="preserve"> </w:t>
      </w:r>
      <w:r w:rsidRPr="000F4E5E">
        <w:rPr>
          <w:rFonts w:ascii="Arial" w:hAnsi="Arial" w:cs="Arial"/>
        </w:rPr>
        <w:t>addition, for further information, a fiberoptic endoscopic evaluation of swallowing (FEES) test can be performed to see how well the individual is swallowing.</w:t>
      </w:r>
      <w:r w:rsidR="00E73F8E" w:rsidRPr="000F4E5E">
        <w:rPr>
          <w:rFonts w:ascii="Arial" w:hAnsi="Arial" w:cs="Arial"/>
        </w:rPr>
        <w:t xml:space="preserve"> If swallow and nutrient needs are compromised, then tube feeding is suggested (Crary </w:t>
      </w:r>
      <w:r w:rsidR="00E3517B">
        <w:rPr>
          <w:rFonts w:ascii="Arial" w:hAnsi="Arial" w:cs="Arial"/>
        </w:rPr>
        <w:t xml:space="preserve">and </w:t>
      </w:r>
      <w:proofErr w:type="spellStart"/>
      <w:r w:rsidR="00E3517B">
        <w:rPr>
          <w:rFonts w:ascii="Arial" w:hAnsi="Arial" w:cs="Arial"/>
        </w:rPr>
        <w:t>Groher</w:t>
      </w:r>
      <w:proofErr w:type="spellEnd"/>
      <w:r w:rsidR="00E73F8E" w:rsidRPr="000F4E5E">
        <w:rPr>
          <w:rFonts w:ascii="Arial" w:hAnsi="Arial" w:cs="Arial"/>
        </w:rPr>
        <w:t>, 2014). Depending on the severity of swallow and aspirations can determine which feeding tube would be best</w:t>
      </w:r>
      <w:r w:rsidR="009974A7" w:rsidRPr="000F4E5E">
        <w:rPr>
          <w:rFonts w:ascii="Arial" w:hAnsi="Arial" w:cs="Arial"/>
        </w:rPr>
        <w:t xml:space="preserve"> utilized.</w:t>
      </w:r>
      <w:r w:rsidR="006E0F8A" w:rsidRPr="000F4E5E">
        <w:rPr>
          <w:rFonts w:ascii="Arial" w:hAnsi="Arial" w:cs="Arial"/>
        </w:rPr>
        <w:t xml:space="preserve"> Usually, if it is determined that an individual may be on long-term tube feeding, a percutaneous endoscopic gastronomy (PEG) tube would be suggested (Wilmskoetter et al., 2018). </w:t>
      </w:r>
    </w:p>
    <w:p w14:paraId="7DFEA9AE" w14:textId="3426E6E3" w:rsidR="003C2A5E" w:rsidRDefault="001A5C7A" w:rsidP="001A5C7A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There are negative and positive outcomes for a PEG tube. </w:t>
      </w:r>
      <w:r w:rsidR="000F4E5E" w:rsidRPr="000F4E5E">
        <w:rPr>
          <w:rFonts w:ascii="Arial" w:hAnsi="Arial" w:cs="Arial"/>
        </w:rPr>
        <w:t>The negative outcome of</w:t>
      </w:r>
      <w:r w:rsidR="00D74E67">
        <w:rPr>
          <w:rFonts w:ascii="Arial" w:hAnsi="Arial" w:cs="Arial"/>
        </w:rPr>
        <w:t xml:space="preserve"> a</w:t>
      </w:r>
      <w:r w:rsidR="000F4E5E" w:rsidRPr="000F4E5E">
        <w:rPr>
          <w:rFonts w:ascii="Arial" w:hAnsi="Arial" w:cs="Arial"/>
        </w:rPr>
        <w:t xml:space="preserve"> long-term PEG tube can result in a patient </w:t>
      </w:r>
      <w:r>
        <w:rPr>
          <w:rFonts w:ascii="Arial" w:hAnsi="Arial" w:cs="Arial"/>
        </w:rPr>
        <w:t>developing</w:t>
      </w:r>
      <w:r w:rsidR="000F4E5E" w:rsidRPr="000F4E5E">
        <w:rPr>
          <w:rFonts w:ascii="Arial" w:hAnsi="Arial" w:cs="Arial"/>
        </w:rPr>
        <w:t xml:space="preserve"> a pressure ulcer, according to Ojo and Brooke</w:t>
      </w:r>
      <w:r w:rsidR="00675AB9">
        <w:rPr>
          <w:rFonts w:ascii="Arial" w:hAnsi="Arial" w:cs="Arial"/>
        </w:rPr>
        <w:t xml:space="preserve"> (</w:t>
      </w:r>
      <w:r w:rsidR="000F4E5E" w:rsidRPr="000F4E5E">
        <w:rPr>
          <w:rFonts w:ascii="Arial" w:hAnsi="Arial" w:cs="Arial"/>
        </w:rPr>
        <w:t>2016</w:t>
      </w:r>
      <w:r w:rsidR="00675AB9">
        <w:rPr>
          <w:rFonts w:ascii="Arial" w:hAnsi="Arial" w:cs="Arial"/>
        </w:rPr>
        <w:t>)</w:t>
      </w:r>
      <w:r w:rsidR="000F4E5E" w:rsidRPr="000F4E5E">
        <w:rPr>
          <w:rFonts w:ascii="Arial" w:hAnsi="Arial" w:cs="Arial"/>
        </w:rPr>
        <w:t>. This is due to limited mobility. Another negative outcome of PEG placement can be leakage or infection to the area of</w:t>
      </w:r>
      <w:r w:rsidR="00675AB9">
        <w:rPr>
          <w:rFonts w:ascii="Arial" w:hAnsi="Arial" w:cs="Arial"/>
        </w:rPr>
        <w:t xml:space="preserve"> the</w:t>
      </w:r>
      <w:r w:rsidR="000F4E5E" w:rsidRPr="000F4E5E">
        <w:rPr>
          <w:rFonts w:ascii="Arial" w:hAnsi="Arial" w:cs="Arial"/>
        </w:rPr>
        <w:t xml:space="preserve"> placement (Ojo </w:t>
      </w:r>
      <w:r w:rsidR="00AD76D7">
        <w:rPr>
          <w:rFonts w:ascii="Arial" w:hAnsi="Arial" w:cs="Arial"/>
        </w:rPr>
        <w:t>and</w:t>
      </w:r>
      <w:r w:rsidR="000F4E5E" w:rsidRPr="000F4E5E">
        <w:rPr>
          <w:rFonts w:ascii="Arial" w:hAnsi="Arial" w:cs="Arial"/>
        </w:rPr>
        <w:t xml:space="preserve"> Brooke, 2016). If any of these occur, immediate action must be taken to improve the patient’s quality of life.</w:t>
      </w:r>
      <w:r w:rsidR="00302711">
        <w:rPr>
          <w:rFonts w:ascii="Arial" w:hAnsi="Arial" w:cs="Arial"/>
        </w:rPr>
        <w:t xml:space="preserve"> The risk for readmission or just long-term stay without discharge is possible with PEG tubes. In a study done by Wilmskoetter et a</w:t>
      </w:r>
      <w:r w:rsidR="00675AB9">
        <w:rPr>
          <w:rFonts w:ascii="Arial" w:hAnsi="Arial" w:cs="Arial"/>
        </w:rPr>
        <w:t>l</w:t>
      </w:r>
      <w:r w:rsidR="00302711">
        <w:rPr>
          <w:rFonts w:ascii="Arial" w:hAnsi="Arial" w:cs="Arial"/>
        </w:rPr>
        <w:t>.</w:t>
      </w:r>
      <w:r w:rsidR="00675AB9">
        <w:rPr>
          <w:rFonts w:ascii="Arial" w:hAnsi="Arial" w:cs="Arial"/>
        </w:rPr>
        <w:t xml:space="preserve"> (2018)</w:t>
      </w:r>
      <w:r w:rsidR="00302711">
        <w:rPr>
          <w:rFonts w:ascii="Arial" w:hAnsi="Arial" w:cs="Arial"/>
        </w:rPr>
        <w:t xml:space="preserve">, it was observed that most patients with a PEG tube ended up in long-term care or </w:t>
      </w:r>
      <w:proofErr w:type="gramStart"/>
      <w:r w:rsidR="00302711">
        <w:rPr>
          <w:rFonts w:ascii="Arial" w:hAnsi="Arial" w:cs="Arial"/>
        </w:rPr>
        <w:t>was</w:t>
      </w:r>
      <w:proofErr w:type="gramEnd"/>
      <w:r w:rsidR="00302711">
        <w:rPr>
          <w:rFonts w:ascii="Arial" w:hAnsi="Arial" w:cs="Arial"/>
        </w:rPr>
        <w:t xml:space="preserve"> quickly readmitted after being discharged home.</w:t>
      </w:r>
      <w:r w:rsidR="003C2A5E">
        <w:rPr>
          <w:rFonts w:ascii="Arial" w:hAnsi="Arial" w:cs="Arial"/>
        </w:rPr>
        <w:t xml:space="preserve"> This was significant according to the study. Patients discharged to a Skilled Nursing Facility or long-term care hospital was p&lt;.001 and patients discharged to an inpatient rehab facility was p&lt;.05. (Wilmskoetter et al., 2018).</w:t>
      </w:r>
    </w:p>
    <w:p w14:paraId="7780E800" w14:textId="77777777" w:rsidR="00675AB9" w:rsidRDefault="00675AB9" w:rsidP="001A5C7A">
      <w:pPr>
        <w:spacing w:after="0" w:line="480" w:lineRule="auto"/>
        <w:ind w:firstLine="720"/>
        <w:rPr>
          <w:rFonts w:ascii="Arial" w:hAnsi="Arial" w:cs="Arial"/>
        </w:rPr>
      </w:pPr>
    </w:p>
    <w:p w14:paraId="1D18E0CF" w14:textId="4E784877" w:rsidR="000F4E5E" w:rsidRPr="000F4E5E" w:rsidRDefault="00A47D89" w:rsidP="001A5C7A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 </w:t>
      </w:r>
      <w:r w:rsidR="006E0F8A" w:rsidRPr="000F4E5E">
        <w:rPr>
          <w:rFonts w:ascii="Arial" w:hAnsi="Arial" w:cs="Arial"/>
        </w:rPr>
        <w:t xml:space="preserve">I </w:t>
      </w:r>
      <w:r w:rsidR="001C5172" w:rsidRPr="000F4E5E">
        <w:rPr>
          <w:rFonts w:ascii="Arial" w:hAnsi="Arial" w:cs="Arial"/>
        </w:rPr>
        <w:t>was able to observe</w:t>
      </w:r>
      <w:r w:rsidRPr="000F4E5E">
        <w:rPr>
          <w:rFonts w:ascii="Arial" w:hAnsi="Arial" w:cs="Arial"/>
        </w:rPr>
        <w:t xml:space="preserve"> a patient at a Skilled Nursing Facility with ischemic stroke</w:t>
      </w:r>
      <w:r w:rsidR="001C5172" w:rsidRPr="000F4E5E">
        <w:rPr>
          <w:rFonts w:ascii="Arial" w:hAnsi="Arial" w:cs="Arial"/>
        </w:rPr>
        <w:t xml:space="preserve">. </w:t>
      </w:r>
      <w:r w:rsidRPr="000F4E5E">
        <w:rPr>
          <w:rFonts w:ascii="Arial" w:hAnsi="Arial" w:cs="Arial"/>
        </w:rPr>
        <w:t xml:space="preserve"> </w:t>
      </w:r>
      <w:r w:rsidR="001C5172" w:rsidRPr="000F4E5E">
        <w:rPr>
          <w:rFonts w:ascii="Arial" w:hAnsi="Arial" w:cs="Arial"/>
        </w:rPr>
        <w:t>A</w:t>
      </w:r>
      <w:r w:rsidRPr="000F4E5E">
        <w:rPr>
          <w:rFonts w:ascii="Arial" w:hAnsi="Arial" w:cs="Arial"/>
        </w:rPr>
        <w:t xml:space="preserve"> percutaneous endoscopic gastronomy (PEG) tube was emplaced</w:t>
      </w:r>
      <w:r w:rsidR="001C5172" w:rsidRPr="000F4E5E">
        <w:rPr>
          <w:rFonts w:ascii="Arial" w:hAnsi="Arial" w:cs="Arial"/>
        </w:rPr>
        <w:t xml:space="preserve"> d</w:t>
      </w:r>
      <w:r w:rsidRPr="000F4E5E">
        <w:rPr>
          <w:rFonts w:ascii="Arial" w:hAnsi="Arial" w:cs="Arial"/>
        </w:rPr>
        <w:t>ue to the patient’s weak swallow ability and</w:t>
      </w:r>
      <w:r w:rsidR="003930DA" w:rsidRPr="000F4E5E">
        <w:rPr>
          <w:rFonts w:ascii="Arial" w:hAnsi="Arial" w:cs="Arial"/>
        </w:rPr>
        <w:t xml:space="preserve"> possible</w:t>
      </w:r>
      <w:r w:rsidRPr="000F4E5E">
        <w:rPr>
          <w:rFonts w:ascii="Arial" w:hAnsi="Arial" w:cs="Arial"/>
        </w:rPr>
        <w:t xml:space="preserve"> long-term</w:t>
      </w:r>
      <w:r w:rsidR="003930DA" w:rsidRPr="000F4E5E">
        <w:rPr>
          <w:rFonts w:ascii="Arial" w:hAnsi="Arial" w:cs="Arial"/>
        </w:rPr>
        <w:t xml:space="preserve"> stay</w:t>
      </w:r>
      <w:r w:rsidR="001C5172" w:rsidRPr="000F4E5E">
        <w:rPr>
          <w:rFonts w:ascii="Arial" w:hAnsi="Arial" w:cs="Arial"/>
        </w:rPr>
        <w:t xml:space="preserve">. </w:t>
      </w:r>
      <w:r w:rsidRPr="000F4E5E">
        <w:rPr>
          <w:rFonts w:ascii="Arial" w:hAnsi="Arial" w:cs="Arial"/>
        </w:rPr>
        <w:t xml:space="preserve"> </w:t>
      </w:r>
      <w:r w:rsidR="001C5172" w:rsidRPr="000F4E5E">
        <w:rPr>
          <w:rFonts w:ascii="Arial" w:hAnsi="Arial" w:cs="Arial"/>
        </w:rPr>
        <w:t>According to SLP, t</w:t>
      </w:r>
      <w:r w:rsidRPr="000F4E5E">
        <w:rPr>
          <w:rFonts w:ascii="Arial" w:hAnsi="Arial" w:cs="Arial"/>
        </w:rPr>
        <w:t xml:space="preserve">his was the best option </w:t>
      </w:r>
      <w:r w:rsidR="001C5172" w:rsidRPr="000F4E5E">
        <w:rPr>
          <w:rFonts w:ascii="Arial" w:hAnsi="Arial" w:cs="Arial"/>
        </w:rPr>
        <w:t>for the patient</w:t>
      </w:r>
      <w:r w:rsidR="003930DA" w:rsidRPr="000F4E5E">
        <w:rPr>
          <w:rFonts w:ascii="Arial" w:hAnsi="Arial" w:cs="Arial"/>
        </w:rPr>
        <w:t xml:space="preserve"> and there were positive outcomes.</w:t>
      </w:r>
      <w:r w:rsidR="000F4E5E" w:rsidRPr="000F4E5E">
        <w:rPr>
          <w:rFonts w:ascii="Arial" w:hAnsi="Arial" w:cs="Arial"/>
        </w:rPr>
        <w:t xml:space="preserve"> </w:t>
      </w:r>
    </w:p>
    <w:p w14:paraId="45655DEF" w14:textId="7CDD8A01" w:rsidR="00A47D89" w:rsidRPr="000F4E5E" w:rsidRDefault="00A47D89" w:rsidP="00F15CD1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>The review of the patient’s medical record is as follows:</w:t>
      </w:r>
    </w:p>
    <w:p w14:paraId="2A45B592" w14:textId="579DA8B4" w:rsidR="00E146AA" w:rsidRDefault="00A47D89" w:rsidP="003C2A5E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E.F </w:t>
      </w:r>
      <w:r w:rsidR="00E52E36" w:rsidRPr="000F4E5E">
        <w:rPr>
          <w:rFonts w:ascii="Arial" w:hAnsi="Arial" w:cs="Arial"/>
        </w:rPr>
        <w:t xml:space="preserve">is an </w:t>
      </w:r>
      <w:r w:rsidRPr="000F4E5E">
        <w:rPr>
          <w:rFonts w:ascii="Arial" w:hAnsi="Arial" w:cs="Arial"/>
        </w:rPr>
        <w:t>80 y/o female, African American from America,</w:t>
      </w:r>
      <w:r w:rsidR="00E52E36" w:rsidRPr="000F4E5E">
        <w:rPr>
          <w:rFonts w:ascii="Arial" w:hAnsi="Arial" w:cs="Arial"/>
        </w:rPr>
        <w:t xml:space="preserve"> and </w:t>
      </w:r>
      <w:r w:rsidRPr="000F4E5E">
        <w:rPr>
          <w:rFonts w:ascii="Arial" w:hAnsi="Arial" w:cs="Arial"/>
        </w:rPr>
        <w:t>alert and oriented</w:t>
      </w:r>
      <w:r w:rsidR="006501F1" w:rsidRPr="000F4E5E">
        <w:rPr>
          <w:rFonts w:ascii="Arial" w:hAnsi="Arial" w:cs="Arial"/>
        </w:rPr>
        <w:t>.</w:t>
      </w:r>
      <w:r w:rsidR="00E52E36" w:rsidRPr="000F4E5E">
        <w:rPr>
          <w:rFonts w:ascii="Arial" w:hAnsi="Arial" w:cs="Arial"/>
        </w:rPr>
        <w:t xml:space="preserve"> She </w:t>
      </w:r>
      <w:r w:rsidRPr="000F4E5E">
        <w:rPr>
          <w:rFonts w:ascii="Arial" w:hAnsi="Arial" w:cs="Arial"/>
        </w:rPr>
        <w:t xml:space="preserve">used to be a housewife, widowed, </w:t>
      </w:r>
      <w:r w:rsidR="00E52E36" w:rsidRPr="000F4E5E">
        <w:rPr>
          <w:rFonts w:ascii="Arial" w:hAnsi="Arial" w:cs="Arial"/>
        </w:rPr>
        <w:t xml:space="preserve">and </w:t>
      </w:r>
      <w:r w:rsidRPr="000F4E5E">
        <w:rPr>
          <w:rFonts w:ascii="Arial" w:hAnsi="Arial" w:cs="Arial"/>
        </w:rPr>
        <w:t xml:space="preserve">has a son as </w:t>
      </w:r>
      <w:r w:rsidR="00234285">
        <w:rPr>
          <w:rFonts w:ascii="Arial" w:hAnsi="Arial" w:cs="Arial"/>
        </w:rPr>
        <w:t xml:space="preserve">her </w:t>
      </w:r>
      <w:r w:rsidRPr="000F4E5E">
        <w:rPr>
          <w:rFonts w:ascii="Arial" w:hAnsi="Arial" w:cs="Arial"/>
        </w:rPr>
        <w:t>sole family support</w:t>
      </w:r>
      <w:r w:rsidR="00E52E36" w:rsidRPr="000F4E5E">
        <w:rPr>
          <w:rFonts w:ascii="Arial" w:hAnsi="Arial" w:cs="Arial"/>
        </w:rPr>
        <w:t>. There are</w:t>
      </w:r>
      <w:r w:rsidRPr="000F4E5E">
        <w:rPr>
          <w:rFonts w:ascii="Arial" w:hAnsi="Arial" w:cs="Arial"/>
        </w:rPr>
        <w:t xml:space="preserve"> no social problems noted, </w:t>
      </w:r>
      <w:r w:rsidR="00E52E36" w:rsidRPr="000F4E5E">
        <w:rPr>
          <w:rFonts w:ascii="Arial" w:hAnsi="Arial" w:cs="Arial"/>
        </w:rPr>
        <w:t>and her socioeconomic status is medium. E.F is</w:t>
      </w:r>
      <w:r w:rsidRPr="000F4E5E">
        <w:rPr>
          <w:rFonts w:ascii="Arial" w:hAnsi="Arial" w:cs="Arial"/>
        </w:rPr>
        <w:t xml:space="preserve"> confined to a wheelchair</w:t>
      </w:r>
      <w:r w:rsidR="00E52E36" w:rsidRPr="000F4E5E">
        <w:rPr>
          <w:rFonts w:ascii="Arial" w:hAnsi="Arial" w:cs="Arial"/>
        </w:rPr>
        <w:t xml:space="preserve"> with</w:t>
      </w:r>
      <w:r w:rsidRPr="000F4E5E">
        <w:rPr>
          <w:rFonts w:ascii="Arial" w:hAnsi="Arial" w:cs="Arial"/>
        </w:rPr>
        <w:t xml:space="preserve"> no substance abuse </w:t>
      </w:r>
      <w:r w:rsidR="00DF251D" w:rsidRPr="000F4E5E">
        <w:rPr>
          <w:rFonts w:ascii="Arial" w:hAnsi="Arial" w:cs="Arial"/>
        </w:rPr>
        <w:t xml:space="preserve">as </w:t>
      </w:r>
      <w:r w:rsidRPr="000F4E5E">
        <w:rPr>
          <w:rFonts w:ascii="Arial" w:hAnsi="Arial" w:cs="Arial"/>
        </w:rPr>
        <w:t xml:space="preserve">per social work notes. </w:t>
      </w:r>
      <w:r w:rsidR="00E52E36" w:rsidRPr="000F4E5E">
        <w:rPr>
          <w:rFonts w:ascii="Arial" w:hAnsi="Arial" w:cs="Arial"/>
        </w:rPr>
        <w:t>E.F</w:t>
      </w:r>
      <w:r w:rsidRPr="000F4E5E">
        <w:rPr>
          <w:rFonts w:ascii="Arial" w:hAnsi="Arial" w:cs="Arial"/>
        </w:rPr>
        <w:t xml:space="preserve"> was hospitalized </w:t>
      </w:r>
    </w:p>
    <w:p w14:paraId="4F33C5FB" w14:textId="2167E840" w:rsidR="00BF0700" w:rsidRDefault="00E52E36" w:rsidP="00E146AA">
      <w:pPr>
        <w:spacing w:after="0" w:line="480" w:lineRule="auto"/>
        <w:rPr>
          <w:rFonts w:ascii="Arial" w:hAnsi="Arial" w:cs="Arial"/>
        </w:rPr>
      </w:pPr>
      <w:r w:rsidRPr="000F4E5E">
        <w:rPr>
          <w:rFonts w:ascii="Arial" w:hAnsi="Arial" w:cs="Arial"/>
        </w:rPr>
        <w:t>from 12/4/24-</w:t>
      </w:r>
      <w:r w:rsidR="00A47D89" w:rsidRPr="000F4E5E">
        <w:rPr>
          <w:rFonts w:ascii="Arial" w:hAnsi="Arial" w:cs="Arial"/>
        </w:rPr>
        <w:t>12/31/24 due to aspiration pneumonia and cerebral infarction with PMHx</w:t>
      </w:r>
      <w:r w:rsidRPr="000F4E5E">
        <w:rPr>
          <w:rFonts w:ascii="Arial" w:hAnsi="Arial" w:cs="Arial"/>
        </w:rPr>
        <w:t xml:space="preserve"> of h</w:t>
      </w:r>
      <w:r w:rsidR="00A47D89" w:rsidRPr="000F4E5E">
        <w:rPr>
          <w:rFonts w:ascii="Arial" w:hAnsi="Arial" w:cs="Arial"/>
        </w:rPr>
        <w:t xml:space="preserve">emiplegia, hemiparesis, </w:t>
      </w:r>
      <w:r w:rsidRPr="000F4E5E">
        <w:rPr>
          <w:rFonts w:ascii="Arial" w:hAnsi="Arial" w:cs="Arial"/>
        </w:rPr>
        <w:t>heart failure</w:t>
      </w:r>
      <w:r w:rsidR="00A47D89" w:rsidRPr="000F4E5E">
        <w:rPr>
          <w:rFonts w:ascii="Arial" w:hAnsi="Arial" w:cs="Arial"/>
        </w:rPr>
        <w:t xml:space="preserve">, T2DM, atherosclerotic heart disease, HTN, </w:t>
      </w:r>
    </w:p>
    <w:p w14:paraId="2B964749" w14:textId="5A33841E" w:rsidR="00E054A1" w:rsidRPr="000F4E5E" w:rsidRDefault="00A47D89" w:rsidP="00BF0700">
      <w:pPr>
        <w:spacing w:after="0" w:line="480" w:lineRule="auto"/>
        <w:rPr>
          <w:rFonts w:ascii="Arial" w:hAnsi="Arial" w:cs="Arial"/>
        </w:rPr>
      </w:pPr>
      <w:proofErr w:type="spellStart"/>
      <w:r w:rsidRPr="000F4E5E">
        <w:rPr>
          <w:rFonts w:ascii="Arial" w:hAnsi="Arial" w:cs="Arial"/>
        </w:rPr>
        <w:t>Afib</w:t>
      </w:r>
      <w:proofErr w:type="spellEnd"/>
      <w:r w:rsidRPr="000F4E5E">
        <w:rPr>
          <w:rFonts w:ascii="Arial" w:hAnsi="Arial" w:cs="Arial"/>
        </w:rPr>
        <w:t xml:space="preserve">, myeloma, </w:t>
      </w:r>
      <w:r w:rsidR="00E146AA">
        <w:rPr>
          <w:rFonts w:ascii="Arial" w:hAnsi="Arial" w:cs="Arial"/>
        </w:rPr>
        <w:t xml:space="preserve">and </w:t>
      </w:r>
      <w:r w:rsidRPr="000F4E5E">
        <w:rPr>
          <w:rFonts w:ascii="Arial" w:hAnsi="Arial" w:cs="Arial"/>
        </w:rPr>
        <w:t>hypothyroidism</w:t>
      </w:r>
      <w:r w:rsidR="00E52E36" w:rsidRPr="000F4E5E">
        <w:rPr>
          <w:rFonts w:ascii="Arial" w:hAnsi="Arial" w:cs="Arial"/>
        </w:rPr>
        <w:t>. During her hospital stay, she was</w:t>
      </w:r>
      <w:r w:rsidRPr="000F4E5E">
        <w:rPr>
          <w:rFonts w:ascii="Arial" w:hAnsi="Arial" w:cs="Arial"/>
        </w:rPr>
        <w:t xml:space="preserve"> AOx1</w:t>
      </w:r>
      <w:r w:rsidR="00E52E36" w:rsidRPr="000F4E5E">
        <w:rPr>
          <w:rFonts w:ascii="Arial" w:hAnsi="Arial" w:cs="Arial"/>
        </w:rPr>
        <w:t>, which is not very responsive</w:t>
      </w:r>
      <w:r w:rsidRPr="000F4E5E">
        <w:rPr>
          <w:rFonts w:ascii="Arial" w:hAnsi="Arial" w:cs="Arial"/>
        </w:rPr>
        <w:t>.</w:t>
      </w:r>
      <w:r w:rsidR="00E52E36" w:rsidRPr="000F4E5E">
        <w:rPr>
          <w:rFonts w:ascii="Arial" w:hAnsi="Arial" w:cs="Arial"/>
        </w:rPr>
        <w:t xml:space="preserve"> The medications taken while at the hospital </w:t>
      </w:r>
      <w:r w:rsidR="000C4CF6" w:rsidRPr="000F4E5E">
        <w:rPr>
          <w:rFonts w:ascii="Arial" w:hAnsi="Arial" w:cs="Arial"/>
        </w:rPr>
        <w:t>include</w:t>
      </w:r>
      <w:r w:rsidR="00B218D1">
        <w:rPr>
          <w:rFonts w:ascii="Arial" w:hAnsi="Arial" w:cs="Arial"/>
        </w:rPr>
        <w:t>d</w:t>
      </w:r>
      <w:r w:rsidR="00E52E36" w:rsidRPr="000F4E5E">
        <w:rPr>
          <w:rFonts w:ascii="Arial" w:hAnsi="Arial" w:cs="Arial"/>
        </w:rPr>
        <w:t xml:space="preserve"> Eliquis, Zosyn, Antibiotics, and </w:t>
      </w:r>
      <w:proofErr w:type="spellStart"/>
      <w:r w:rsidR="00E52E36" w:rsidRPr="000F4E5E">
        <w:rPr>
          <w:rFonts w:ascii="Arial" w:hAnsi="Arial" w:cs="Arial"/>
        </w:rPr>
        <w:t>Cefepine</w:t>
      </w:r>
      <w:proofErr w:type="spellEnd"/>
      <w:r w:rsidR="00E52E36" w:rsidRPr="000F4E5E">
        <w:rPr>
          <w:rFonts w:ascii="Arial" w:hAnsi="Arial" w:cs="Arial"/>
        </w:rPr>
        <w:t>. Due to her severe dysphagia</w:t>
      </w:r>
      <w:r w:rsidR="00541E7A" w:rsidRPr="000F4E5E">
        <w:rPr>
          <w:rFonts w:ascii="Arial" w:hAnsi="Arial" w:cs="Arial"/>
        </w:rPr>
        <w:t xml:space="preserve"> and aspiration </w:t>
      </w:r>
      <w:proofErr w:type="gramStart"/>
      <w:r w:rsidR="00541E7A" w:rsidRPr="000F4E5E">
        <w:rPr>
          <w:rFonts w:ascii="Arial" w:hAnsi="Arial" w:cs="Arial"/>
        </w:rPr>
        <w:t>of</w:t>
      </w:r>
      <w:proofErr w:type="gramEnd"/>
      <w:r w:rsidR="00541E7A" w:rsidRPr="000F4E5E">
        <w:rPr>
          <w:rFonts w:ascii="Arial" w:hAnsi="Arial" w:cs="Arial"/>
        </w:rPr>
        <w:t xml:space="preserve"> food and liquid</w:t>
      </w:r>
      <w:r w:rsidR="00E52E36" w:rsidRPr="000F4E5E">
        <w:rPr>
          <w:rFonts w:ascii="Arial" w:hAnsi="Arial" w:cs="Arial"/>
        </w:rPr>
        <w:t xml:space="preserve"> resulting from her stroke, a PEG was emplaced.</w:t>
      </w:r>
      <w:r w:rsidR="002051FE" w:rsidRPr="000F4E5E">
        <w:rPr>
          <w:rFonts w:ascii="Arial" w:hAnsi="Arial" w:cs="Arial"/>
        </w:rPr>
        <w:t xml:space="preserve"> E.F was </w:t>
      </w:r>
      <w:r w:rsidRPr="000F4E5E">
        <w:rPr>
          <w:rFonts w:ascii="Arial" w:hAnsi="Arial" w:cs="Arial"/>
        </w:rPr>
        <w:t xml:space="preserve">admitted to </w:t>
      </w:r>
      <w:r w:rsidR="002051FE" w:rsidRPr="000F4E5E">
        <w:rPr>
          <w:rFonts w:ascii="Arial" w:hAnsi="Arial" w:cs="Arial"/>
        </w:rPr>
        <w:t xml:space="preserve">the </w:t>
      </w:r>
      <w:r w:rsidRPr="000F4E5E">
        <w:rPr>
          <w:rFonts w:ascii="Arial" w:hAnsi="Arial" w:cs="Arial"/>
        </w:rPr>
        <w:t xml:space="preserve">Skilled Nursing Facility </w:t>
      </w:r>
      <w:r w:rsidR="002051FE" w:rsidRPr="000F4E5E">
        <w:rPr>
          <w:rFonts w:ascii="Arial" w:hAnsi="Arial" w:cs="Arial"/>
        </w:rPr>
        <w:t xml:space="preserve">on </w:t>
      </w:r>
      <w:r w:rsidRPr="000F4E5E">
        <w:rPr>
          <w:rFonts w:ascii="Arial" w:hAnsi="Arial" w:cs="Arial"/>
        </w:rPr>
        <w:t xml:space="preserve">1/1/25. </w:t>
      </w:r>
      <w:r w:rsidR="002051FE" w:rsidRPr="000F4E5E">
        <w:rPr>
          <w:rFonts w:ascii="Arial" w:hAnsi="Arial" w:cs="Arial"/>
        </w:rPr>
        <w:t>The c</w:t>
      </w:r>
      <w:r w:rsidRPr="000F4E5E">
        <w:rPr>
          <w:rFonts w:ascii="Arial" w:hAnsi="Arial" w:cs="Arial"/>
        </w:rPr>
        <w:t xml:space="preserve">hief complaint </w:t>
      </w:r>
      <w:r w:rsidR="002051FE" w:rsidRPr="000F4E5E">
        <w:rPr>
          <w:rFonts w:ascii="Arial" w:hAnsi="Arial" w:cs="Arial"/>
        </w:rPr>
        <w:t>wa</w:t>
      </w:r>
      <w:r w:rsidRPr="000F4E5E">
        <w:rPr>
          <w:rFonts w:ascii="Arial" w:hAnsi="Arial" w:cs="Arial"/>
        </w:rPr>
        <w:t xml:space="preserve">s dysphagia following cerebral infarction. </w:t>
      </w:r>
      <w:r w:rsidR="006501F1" w:rsidRPr="000F4E5E">
        <w:rPr>
          <w:rFonts w:ascii="Arial" w:hAnsi="Arial" w:cs="Arial"/>
        </w:rPr>
        <w:t>E.F ha</w:t>
      </w:r>
      <w:r w:rsidR="0052287F">
        <w:rPr>
          <w:rFonts w:ascii="Arial" w:hAnsi="Arial" w:cs="Arial"/>
        </w:rPr>
        <w:t>d</w:t>
      </w:r>
      <w:r w:rsidR="006501F1" w:rsidRPr="000F4E5E">
        <w:rPr>
          <w:rFonts w:ascii="Arial" w:hAnsi="Arial" w:cs="Arial"/>
        </w:rPr>
        <w:t xml:space="preserve"> a Stage 2 pressure ulcer on her sacrum</w:t>
      </w:r>
      <w:r w:rsidR="00E054A1" w:rsidRPr="000F4E5E">
        <w:rPr>
          <w:rFonts w:ascii="Arial" w:hAnsi="Arial" w:cs="Arial"/>
        </w:rPr>
        <w:t xml:space="preserve"> with partial thickness skin loss and exposed dermis measuring 1.9cm (length) x 1.5cm (width). She also</w:t>
      </w:r>
      <w:r w:rsidR="006501F1" w:rsidRPr="000F4E5E">
        <w:rPr>
          <w:rFonts w:ascii="Arial" w:hAnsi="Arial" w:cs="Arial"/>
        </w:rPr>
        <w:t xml:space="preserve"> </w:t>
      </w:r>
      <w:r w:rsidR="00E054A1" w:rsidRPr="000F4E5E">
        <w:rPr>
          <w:rFonts w:ascii="Arial" w:hAnsi="Arial" w:cs="Arial"/>
        </w:rPr>
        <w:t>ha</w:t>
      </w:r>
      <w:r w:rsidR="0052287F">
        <w:rPr>
          <w:rFonts w:ascii="Arial" w:hAnsi="Arial" w:cs="Arial"/>
        </w:rPr>
        <w:t>d</w:t>
      </w:r>
      <w:r w:rsidR="006501F1" w:rsidRPr="000F4E5E">
        <w:rPr>
          <w:rFonts w:ascii="Arial" w:hAnsi="Arial" w:cs="Arial"/>
        </w:rPr>
        <w:t xml:space="preserve"> a Stage 2 pressure ulcer on her right gluteus</w:t>
      </w:r>
      <w:r w:rsidR="00E054A1" w:rsidRPr="000F4E5E">
        <w:rPr>
          <w:rFonts w:ascii="Arial" w:hAnsi="Arial" w:cs="Arial"/>
        </w:rPr>
        <w:t xml:space="preserve"> measuring 1.2cm (length) x 3.5cm</w:t>
      </w:r>
      <w:r w:rsidR="0052287F">
        <w:rPr>
          <w:rFonts w:ascii="Arial" w:hAnsi="Arial" w:cs="Arial"/>
        </w:rPr>
        <w:t xml:space="preserve"> </w:t>
      </w:r>
      <w:r w:rsidR="00E054A1" w:rsidRPr="000F4E5E">
        <w:rPr>
          <w:rFonts w:ascii="Arial" w:hAnsi="Arial" w:cs="Arial"/>
        </w:rPr>
        <w:t>(width) as per skin and wound notes</w:t>
      </w:r>
      <w:r w:rsidR="006501F1" w:rsidRPr="000F4E5E">
        <w:rPr>
          <w:rFonts w:ascii="Arial" w:hAnsi="Arial" w:cs="Arial"/>
        </w:rPr>
        <w:t>.</w:t>
      </w:r>
      <w:r w:rsidR="00E054A1" w:rsidRPr="000F4E5E">
        <w:rPr>
          <w:rFonts w:ascii="Arial" w:hAnsi="Arial" w:cs="Arial"/>
        </w:rPr>
        <w:t xml:space="preserve"> </w:t>
      </w:r>
    </w:p>
    <w:p w14:paraId="735D2F4B" w14:textId="77777777" w:rsidR="00675AB9" w:rsidRDefault="00DC1602" w:rsidP="003C2A5E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>E. F’s</w:t>
      </w:r>
      <w:r w:rsidR="00E054A1" w:rsidRPr="000F4E5E">
        <w:rPr>
          <w:rFonts w:ascii="Arial" w:hAnsi="Arial" w:cs="Arial"/>
        </w:rPr>
        <w:t xml:space="preserve"> c</w:t>
      </w:r>
      <w:r w:rsidR="00A47D89" w:rsidRPr="000F4E5E">
        <w:rPr>
          <w:rFonts w:ascii="Arial" w:hAnsi="Arial" w:cs="Arial"/>
        </w:rPr>
        <w:t xml:space="preserve">urrent medication </w:t>
      </w:r>
      <w:r w:rsidR="002051FE" w:rsidRPr="000F4E5E">
        <w:rPr>
          <w:rFonts w:ascii="Arial" w:hAnsi="Arial" w:cs="Arial"/>
        </w:rPr>
        <w:t xml:space="preserve">while at the </w:t>
      </w:r>
      <w:r w:rsidR="00E054A1" w:rsidRPr="000F4E5E">
        <w:rPr>
          <w:rFonts w:ascii="Arial" w:hAnsi="Arial" w:cs="Arial"/>
        </w:rPr>
        <w:t xml:space="preserve">SNF </w:t>
      </w:r>
      <w:r w:rsidR="00A47D89" w:rsidRPr="000F4E5E">
        <w:rPr>
          <w:rFonts w:ascii="Arial" w:hAnsi="Arial" w:cs="Arial"/>
        </w:rPr>
        <w:t>include</w:t>
      </w:r>
      <w:r w:rsidR="00692644">
        <w:rPr>
          <w:rFonts w:ascii="Arial" w:hAnsi="Arial" w:cs="Arial"/>
        </w:rPr>
        <w:t>d</w:t>
      </w:r>
      <w:r w:rsidR="00A47D89" w:rsidRPr="000F4E5E">
        <w:rPr>
          <w:rFonts w:ascii="Arial" w:hAnsi="Arial" w:cs="Arial"/>
        </w:rPr>
        <w:t xml:space="preserve"> </w:t>
      </w:r>
      <w:r w:rsidR="002051FE" w:rsidRPr="000F4E5E">
        <w:rPr>
          <w:rFonts w:ascii="Arial" w:hAnsi="Arial" w:cs="Arial"/>
        </w:rPr>
        <w:t>R</w:t>
      </w:r>
      <w:r w:rsidR="00A47D89" w:rsidRPr="000F4E5E">
        <w:rPr>
          <w:rFonts w:ascii="Arial" w:hAnsi="Arial" w:cs="Arial"/>
        </w:rPr>
        <w:t xml:space="preserve">osuvastatin calcium, </w:t>
      </w:r>
      <w:proofErr w:type="spellStart"/>
      <w:r w:rsidR="002051FE" w:rsidRPr="000F4E5E">
        <w:rPr>
          <w:rFonts w:ascii="Arial" w:hAnsi="Arial" w:cs="Arial"/>
        </w:rPr>
        <w:t>d</w:t>
      </w:r>
      <w:r w:rsidR="00A47D89" w:rsidRPr="000F4E5E">
        <w:rPr>
          <w:rFonts w:ascii="Arial" w:hAnsi="Arial" w:cs="Arial"/>
        </w:rPr>
        <w:t>ilTIAZem</w:t>
      </w:r>
      <w:proofErr w:type="spellEnd"/>
      <w:r w:rsidR="00A47D89" w:rsidRPr="000F4E5E">
        <w:rPr>
          <w:rFonts w:ascii="Arial" w:hAnsi="Arial" w:cs="Arial"/>
        </w:rPr>
        <w:t xml:space="preserve"> HCl, </w:t>
      </w:r>
      <w:r w:rsidR="002051FE" w:rsidRPr="000F4E5E">
        <w:rPr>
          <w:rFonts w:ascii="Arial" w:hAnsi="Arial" w:cs="Arial"/>
        </w:rPr>
        <w:t>T</w:t>
      </w:r>
      <w:r w:rsidR="00A47D89" w:rsidRPr="000F4E5E">
        <w:rPr>
          <w:rFonts w:ascii="Arial" w:hAnsi="Arial" w:cs="Arial"/>
        </w:rPr>
        <w:t xml:space="preserve">orsemide, </w:t>
      </w:r>
      <w:r w:rsidR="002051FE" w:rsidRPr="000F4E5E">
        <w:rPr>
          <w:rFonts w:ascii="Arial" w:hAnsi="Arial" w:cs="Arial"/>
        </w:rPr>
        <w:t>M</w:t>
      </w:r>
      <w:r w:rsidR="00A47D89" w:rsidRPr="000F4E5E">
        <w:rPr>
          <w:rFonts w:ascii="Arial" w:hAnsi="Arial" w:cs="Arial"/>
        </w:rPr>
        <w:t xml:space="preserve">etoprolol, </w:t>
      </w:r>
      <w:r w:rsidR="002051FE" w:rsidRPr="000F4E5E">
        <w:rPr>
          <w:rFonts w:ascii="Arial" w:hAnsi="Arial" w:cs="Arial"/>
        </w:rPr>
        <w:t>C</w:t>
      </w:r>
      <w:r w:rsidR="00A47D89" w:rsidRPr="000F4E5E">
        <w:rPr>
          <w:rFonts w:ascii="Arial" w:hAnsi="Arial" w:cs="Arial"/>
        </w:rPr>
        <w:t xml:space="preserve">yanocobalamin, </w:t>
      </w:r>
      <w:r w:rsidR="002051FE" w:rsidRPr="000F4E5E">
        <w:rPr>
          <w:rFonts w:ascii="Arial" w:hAnsi="Arial" w:cs="Arial"/>
        </w:rPr>
        <w:t>A</w:t>
      </w:r>
      <w:r w:rsidR="00A47D89" w:rsidRPr="000F4E5E">
        <w:rPr>
          <w:rFonts w:ascii="Arial" w:hAnsi="Arial" w:cs="Arial"/>
        </w:rPr>
        <w:t xml:space="preserve">spirin, </w:t>
      </w:r>
      <w:r w:rsidR="002051FE" w:rsidRPr="000F4E5E">
        <w:rPr>
          <w:rFonts w:ascii="Arial" w:hAnsi="Arial" w:cs="Arial"/>
        </w:rPr>
        <w:t>L</w:t>
      </w:r>
      <w:r w:rsidR="00A47D89" w:rsidRPr="000F4E5E">
        <w:rPr>
          <w:rFonts w:ascii="Arial" w:hAnsi="Arial" w:cs="Arial"/>
        </w:rPr>
        <w:t xml:space="preserve">evothyroxine </w:t>
      </w:r>
    </w:p>
    <w:p w14:paraId="7C4A43EF" w14:textId="77777777" w:rsidR="00675AB9" w:rsidRDefault="00675AB9" w:rsidP="003C2A5E">
      <w:pPr>
        <w:spacing w:after="0" w:line="480" w:lineRule="auto"/>
        <w:ind w:firstLine="720"/>
        <w:rPr>
          <w:rFonts w:ascii="Arial" w:hAnsi="Arial" w:cs="Arial"/>
        </w:rPr>
      </w:pPr>
    </w:p>
    <w:p w14:paraId="5302CF94" w14:textId="19417A09" w:rsidR="00125D6D" w:rsidRDefault="00A47D89" w:rsidP="00675AB9">
      <w:pPr>
        <w:spacing w:after="0" w:line="480" w:lineRule="auto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sodium, </w:t>
      </w:r>
      <w:r w:rsidR="002051FE" w:rsidRPr="000F4E5E">
        <w:rPr>
          <w:rFonts w:ascii="Arial" w:hAnsi="Arial" w:cs="Arial"/>
        </w:rPr>
        <w:t>F</w:t>
      </w:r>
      <w:r w:rsidRPr="000F4E5E">
        <w:rPr>
          <w:rFonts w:ascii="Arial" w:hAnsi="Arial" w:cs="Arial"/>
        </w:rPr>
        <w:t xml:space="preserve">olic Acid, </w:t>
      </w:r>
      <w:r w:rsidR="00AD0EBB" w:rsidRPr="000F4E5E">
        <w:rPr>
          <w:rFonts w:ascii="Arial" w:hAnsi="Arial" w:cs="Arial"/>
        </w:rPr>
        <w:t>Eliquis,</w:t>
      </w:r>
      <w:r w:rsidR="00692644">
        <w:rPr>
          <w:rFonts w:ascii="Arial" w:hAnsi="Arial" w:cs="Arial"/>
        </w:rPr>
        <w:t xml:space="preserve"> </w:t>
      </w:r>
      <w:r w:rsidRPr="000F4E5E">
        <w:rPr>
          <w:rFonts w:ascii="Arial" w:hAnsi="Arial" w:cs="Arial"/>
        </w:rPr>
        <w:t xml:space="preserve">and </w:t>
      </w:r>
      <w:r w:rsidR="002051FE" w:rsidRPr="000F4E5E">
        <w:rPr>
          <w:rFonts w:ascii="Arial" w:hAnsi="Arial" w:cs="Arial"/>
        </w:rPr>
        <w:t>P</w:t>
      </w:r>
      <w:r w:rsidRPr="000F4E5E">
        <w:rPr>
          <w:rFonts w:ascii="Arial" w:hAnsi="Arial" w:cs="Arial"/>
        </w:rPr>
        <w:t>antoprazole sodiu</w:t>
      </w:r>
      <w:r w:rsidR="00484C81" w:rsidRPr="000F4E5E">
        <w:rPr>
          <w:rFonts w:ascii="Arial" w:hAnsi="Arial" w:cs="Arial"/>
        </w:rPr>
        <w:t>m with no food</w:t>
      </w:r>
      <w:r w:rsidR="00692644">
        <w:rPr>
          <w:rFonts w:ascii="Arial" w:hAnsi="Arial" w:cs="Arial"/>
        </w:rPr>
        <w:t xml:space="preserve"> or</w:t>
      </w:r>
      <w:r w:rsidR="00484C81" w:rsidRPr="000F4E5E">
        <w:rPr>
          <w:rFonts w:ascii="Arial" w:hAnsi="Arial" w:cs="Arial"/>
        </w:rPr>
        <w:t xml:space="preserve"> drug interactions</w:t>
      </w:r>
      <w:r w:rsidRPr="000F4E5E">
        <w:rPr>
          <w:rFonts w:ascii="Arial" w:hAnsi="Arial" w:cs="Arial"/>
        </w:rPr>
        <w:t xml:space="preserve">. </w:t>
      </w:r>
      <w:r w:rsidR="002051FE" w:rsidRPr="000F4E5E">
        <w:rPr>
          <w:rFonts w:ascii="Arial" w:hAnsi="Arial" w:cs="Arial"/>
        </w:rPr>
        <w:t xml:space="preserve">E.F </w:t>
      </w:r>
      <w:r w:rsidRPr="000F4E5E">
        <w:rPr>
          <w:rFonts w:ascii="Arial" w:hAnsi="Arial" w:cs="Arial"/>
        </w:rPr>
        <w:t>also receive</w:t>
      </w:r>
      <w:r w:rsidR="0004084C">
        <w:rPr>
          <w:rFonts w:ascii="Arial" w:hAnsi="Arial" w:cs="Arial"/>
        </w:rPr>
        <w:t>d</w:t>
      </w:r>
      <w:r w:rsidRPr="000F4E5E">
        <w:rPr>
          <w:rFonts w:ascii="Arial" w:hAnsi="Arial" w:cs="Arial"/>
        </w:rPr>
        <w:t xml:space="preserve"> GT (</w:t>
      </w:r>
      <w:proofErr w:type="spellStart"/>
      <w:r w:rsidRPr="000F4E5E">
        <w:rPr>
          <w:rFonts w:ascii="Arial" w:hAnsi="Arial" w:cs="Arial"/>
        </w:rPr>
        <w:t>Osmolite</w:t>
      </w:r>
      <w:proofErr w:type="spellEnd"/>
      <w:r w:rsidRPr="000F4E5E">
        <w:rPr>
          <w:rFonts w:ascii="Arial" w:hAnsi="Arial" w:cs="Arial"/>
        </w:rPr>
        <w:t xml:space="preserve"> 1.5) feeds as</w:t>
      </w:r>
      <w:r w:rsidR="0004084C">
        <w:rPr>
          <w:rFonts w:ascii="Arial" w:hAnsi="Arial" w:cs="Arial"/>
        </w:rPr>
        <w:t xml:space="preserve"> her</w:t>
      </w:r>
      <w:r w:rsidRPr="000F4E5E">
        <w:rPr>
          <w:rFonts w:ascii="Arial" w:hAnsi="Arial" w:cs="Arial"/>
        </w:rPr>
        <w:t xml:space="preserve"> sole source of nutrition. </w:t>
      </w:r>
      <w:r w:rsidR="002051FE" w:rsidRPr="000F4E5E">
        <w:rPr>
          <w:rFonts w:ascii="Arial" w:hAnsi="Arial" w:cs="Arial"/>
        </w:rPr>
        <w:t>Her f</w:t>
      </w:r>
      <w:r w:rsidRPr="000F4E5E">
        <w:rPr>
          <w:rFonts w:ascii="Arial" w:hAnsi="Arial" w:cs="Arial"/>
        </w:rPr>
        <w:t xml:space="preserve">eeding </w:t>
      </w:r>
      <w:r w:rsidR="0004084C">
        <w:rPr>
          <w:rFonts w:ascii="Arial" w:hAnsi="Arial" w:cs="Arial"/>
        </w:rPr>
        <w:t>has been</w:t>
      </w:r>
      <w:r w:rsidR="002051FE" w:rsidRPr="000F4E5E">
        <w:rPr>
          <w:rFonts w:ascii="Arial" w:hAnsi="Arial" w:cs="Arial"/>
        </w:rPr>
        <w:t xml:space="preserve"> </w:t>
      </w:r>
      <w:r w:rsidRPr="000F4E5E">
        <w:rPr>
          <w:rFonts w:ascii="Arial" w:hAnsi="Arial" w:cs="Arial"/>
        </w:rPr>
        <w:t>adequate to meet needs and provide</w:t>
      </w:r>
      <w:r w:rsidR="0004084C">
        <w:rPr>
          <w:rFonts w:ascii="Arial" w:hAnsi="Arial" w:cs="Arial"/>
        </w:rPr>
        <w:t>d</w:t>
      </w:r>
      <w:r w:rsidRPr="000F4E5E">
        <w:rPr>
          <w:rFonts w:ascii="Arial" w:hAnsi="Arial" w:cs="Arial"/>
        </w:rPr>
        <w:t xml:space="preserve"> 34 kcal/ kg, 1.4 gm/kg P</w:t>
      </w:r>
      <w:r w:rsidR="002051FE" w:rsidRPr="000F4E5E">
        <w:rPr>
          <w:rFonts w:ascii="Arial" w:hAnsi="Arial" w:cs="Arial"/>
        </w:rPr>
        <w:t>ro</w:t>
      </w:r>
      <w:r w:rsidRPr="000F4E5E">
        <w:rPr>
          <w:rFonts w:ascii="Arial" w:hAnsi="Arial" w:cs="Arial"/>
        </w:rPr>
        <w:t xml:space="preserve">, </w:t>
      </w:r>
      <w:r w:rsidR="002051FE" w:rsidRPr="000F4E5E">
        <w:rPr>
          <w:rFonts w:ascii="Arial" w:hAnsi="Arial" w:cs="Arial"/>
        </w:rPr>
        <w:t xml:space="preserve">and </w:t>
      </w:r>
      <w:r w:rsidRPr="000F4E5E">
        <w:rPr>
          <w:rFonts w:ascii="Arial" w:hAnsi="Arial" w:cs="Arial"/>
        </w:rPr>
        <w:t>26.5 mL/kg free water.</w:t>
      </w:r>
      <w:r w:rsidR="002051FE" w:rsidRPr="000F4E5E">
        <w:rPr>
          <w:rFonts w:ascii="Arial" w:hAnsi="Arial" w:cs="Arial"/>
        </w:rPr>
        <w:t xml:space="preserve"> Her</w:t>
      </w:r>
      <w:r w:rsidRPr="000F4E5E">
        <w:rPr>
          <w:rFonts w:ascii="Arial" w:hAnsi="Arial" w:cs="Arial"/>
        </w:rPr>
        <w:t xml:space="preserve"> HTN </w:t>
      </w:r>
      <w:r w:rsidR="0004084C">
        <w:rPr>
          <w:rFonts w:ascii="Arial" w:hAnsi="Arial" w:cs="Arial"/>
        </w:rPr>
        <w:t>ha</w:t>
      </w:r>
      <w:r w:rsidR="002051FE" w:rsidRPr="000F4E5E">
        <w:rPr>
          <w:rFonts w:ascii="Arial" w:hAnsi="Arial" w:cs="Arial"/>
        </w:rPr>
        <w:t>s</w:t>
      </w:r>
      <w:r w:rsidR="0004084C">
        <w:rPr>
          <w:rFonts w:ascii="Arial" w:hAnsi="Arial" w:cs="Arial"/>
        </w:rPr>
        <w:t xml:space="preserve"> been</w:t>
      </w:r>
      <w:r w:rsidR="002051FE" w:rsidRPr="000F4E5E">
        <w:rPr>
          <w:rFonts w:ascii="Arial" w:hAnsi="Arial" w:cs="Arial"/>
        </w:rPr>
        <w:t xml:space="preserve"> </w:t>
      </w:r>
      <w:r w:rsidRPr="000F4E5E">
        <w:rPr>
          <w:rFonts w:ascii="Arial" w:hAnsi="Arial" w:cs="Arial"/>
        </w:rPr>
        <w:t xml:space="preserve">possibly putting stress on </w:t>
      </w:r>
      <w:r w:rsidR="002051FE" w:rsidRPr="000F4E5E">
        <w:rPr>
          <w:rFonts w:ascii="Arial" w:hAnsi="Arial" w:cs="Arial"/>
        </w:rPr>
        <w:t xml:space="preserve">her </w:t>
      </w:r>
      <w:r w:rsidRPr="000F4E5E">
        <w:rPr>
          <w:rFonts w:ascii="Arial" w:hAnsi="Arial" w:cs="Arial"/>
        </w:rPr>
        <w:t xml:space="preserve">heart. </w:t>
      </w:r>
      <w:r w:rsidR="002051FE" w:rsidRPr="000F4E5E">
        <w:rPr>
          <w:rFonts w:ascii="Arial" w:hAnsi="Arial" w:cs="Arial"/>
        </w:rPr>
        <w:t>She is n</w:t>
      </w:r>
      <w:r w:rsidRPr="000F4E5E">
        <w:rPr>
          <w:rFonts w:ascii="Arial" w:hAnsi="Arial" w:cs="Arial"/>
        </w:rPr>
        <w:t>oted as receiving diuretics and on daily weights for heart failure</w:t>
      </w:r>
      <w:r w:rsidR="002051FE" w:rsidRPr="000F4E5E">
        <w:rPr>
          <w:rFonts w:ascii="Arial" w:hAnsi="Arial" w:cs="Arial"/>
        </w:rPr>
        <w:t xml:space="preserve"> as</w:t>
      </w:r>
      <w:r w:rsidRPr="000F4E5E">
        <w:rPr>
          <w:rFonts w:ascii="Arial" w:hAnsi="Arial" w:cs="Arial"/>
        </w:rPr>
        <w:t xml:space="preserve"> weight fluctuations a</w:t>
      </w:r>
      <w:r w:rsidR="002051FE" w:rsidRPr="000F4E5E">
        <w:rPr>
          <w:rFonts w:ascii="Arial" w:hAnsi="Arial" w:cs="Arial"/>
        </w:rPr>
        <w:t>re a</w:t>
      </w:r>
      <w:r w:rsidRPr="000F4E5E">
        <w:rPr>
          <w:rFonts w:ascii="Arial" w:hAnsi="Arial" w:cs="Arial"/>
        </w:rPr>
        <w:t xml:space="preserve">nticipated. </w:t>
      </w:r>
      <w:r w:rsidR="002051FE" w:rsidRPr="000F4E5E">
        <w:rPr>
          <w:rFonts w:ascii="Arial" w:hAnsi="Arial" w:cs="Arial"/>
        </w:rPr>
        <w:t>E.F</w:t>
      </w:r>
      <w:r w:rsidRPr="000F4E5E">
        <w:rPr>
          <w:rFonts w:ascii="Arial" w:hAnsi="Arial" w:cs="Arial"/>
        </w:rPr>
        <w:t xml:space="preserve"> is tolerating </w:t>
      </w:r>
      <w:r w:rsidR="002051FE" w:rsidRPr="000F4E5E">
        <w:rPr>
          <w:rFonts w:ascii="Arial" w:hAnsi="Arial" w:cs="Arial"/>
        </w:rPr>
        <w:t xml:space="preserve">her </w:t>
      </w:r>
      <w:r w:rsidRPr="000F4E5E">
        <w:rPr>
          <w:rFonts w:ascii="Arial" w:hAnsi="Arial" w:cs="Arial"/>
        </w:rPr>
        <w:t>current medication and tube feedings</w:t>
      </w:r>
      <w:r w:rsidR="00CC7BCB" w:rsidRPr="000F4E5E">
        <w:rPr>
          <w:rFonts w:ascii="Arial" w:hAnsi="Arial" w:cs="Arial"/>
        </w:rPr>
        <w:t xml:space="preserve">. </w:t>
      </w:r>
      <w:r w:rsidR="0004084C">
        <w:rPr>
          <w:rFonts w:ascii="Arial" w:hAnsi="Arial" w:cs="Arial"/>
        </w:rPr>
        <w:t>She</w:t>
      </w:r>
      <w:r w:rsidR="00A11CB2" w:rsidRPr="000F4E5E">
        <w:rPr>
          <w:rFonts w:ascii="Arial" w:hAnsi="Arial" w:cs="Arial"/>
        </w:rPr>
        <w:t xml:space="preserve"> experienced bowel movement incontinence 2x/day for three days and then had no bowel movements for two days as per </w:t>
      </w:r>
      <w:r w:rsidR="002772E6">
        <w:rPr>
          <w:rFonts w:ascii="Arial" w:hAnsi="Arial" w:cs="Arial"/>
        </w:rPr>
        <w:t xml:space="preserve">the </w:t>
      </w:r>
      <w:r w:rsidR="00A11CB2" w:rsidRPr="000F4E5E">
        <w:rPr>
          <w:rFonts w:ascii="Arial" w:hAnsi="Arial" w:cs="Arial"/>
        </w:rPr>
        <w:t xml:space="preserve">nurse’s note. No dehydration has been noted.  E.F appears frail </w:t>
      </w:r>
      <w:r w:rsidR="00125D6D">
        <w:rPr>
          <w:rFonts w:ascii="Arial" w:hAnsi="Arial" w:cs="Arial"/>
        </w:rPr>
        <w:t>and</w:t>
      </w:r>
      <w:r w:rsidR="00A11CB2" w:rsidRPr="000F4E5E">
        <w:rPr>
          <w:rFonts w:ascii="Arial" w:hAnsi="Arial" w:cs="Arial"/>
        </w:rPr>
        <w:t xml:space="preserve"> </w:t>
      </w:r>
      <w:r w:rsidR="00675AB9" w:rsidRPr="000F4E5E">
        <w:rPr>
          <w:rFonts w:ascii="Arial" w:hAnsi="Arial" w:cs="Arial"/>
        </w:rPr>
        <w:t>c</w:t>
      </w:r>
      <w:r w:rsidR="00675AB9">
        <w:rPr>
          <w:rFonts w:ascii="Arial" w:hAnsi="Arial" w:cs="Arial"/>
        </w:rPr>
        <w:t>ould</w:t>
      </w:r>
      <w:r w:rsidR="00A11CB2" w:rsidRPr="000F4E5E">
        <w:rPr>
          <w:rFonts w:ascii="Arial" w:hAnsi="Arial" w:cs="Arial"/>
        </w:rPr>
        <w:t xml:space="preserve"> have minimal communication.</w:t>
      </w:r>
    </w:p>
    <w:p w14:paraId="5A26DEC3" w14:textId="0EAE626E" w:rsidR="00BF0700" w:rsidRDefault="00A47D89" w:rsidP="00E52E36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Lab data include Hgb:10.4 g/dL (11.5-15.5), Hct: 31.75% (34.5-45.0), BUN: 15mg/dL (7-23), Creatinine: 0.85 mg/dL (0.50-1.30), Na: 145 mmol/L (135-145), Cl: 112 </w:t>
      </w:r>
    </w:p>
    <w:p w14:paraId="76001859" w14:textId="073FEC53" w:rsidR="00A47D89" w:rsidRPr="000F4E5E" w:rsidRDefault="00A47D89" w:rsidP="00BF0700">
      <w:pPr>
        <w:spacing w:after="0" w:line="480" w:lineRule="auto"/>
        <w:rPr>
          <w:rFonts w:ascii="Arial" w:hAnsi="Arial" w:cs="Arial"/>
        </w:rPr>
      </w:pPr>
      <w:r w:rsidRPr="000F4E5E">
        <w:rPr>
          <w:rFonts w:ascii="Arial" w:hAnsi="Arial" w:cs="Arial"/>
        </w:rPr>
        <w:t>mmol/L (96-108), K: 3.5 mmol/L (3.5-5.3), Glu: 148 mg/dL (70-99).  Lab interpretation: Hgb/Hct are both low</w:t>
      </w:r>
      <w:r w:rsidR="00125D6D">
        <w:rPr>
          <w:rFonts w:ascii="Arial" w:hAnsi="Arial" w:cs="Arial"/>
        </w:rPr>
        <w:t xml:space="preserve"> possibly due to anemia</w:t>
      </w:r>
      <w:r w:rsidRPr="000F4E5E">
        <w:rPr>
          <w:rFonts w:ascii="Arial" w:hAnsi="Arial" w:cs="Arial"/>
        </w:rPr>
        <w:t>, Glu is high</w:t>
      </w:r>
      <w:r w:rsidR="00125D6D">
        <w:rPr>
          <w:rFonts w:ascii="Arial" w:hAnsi="Arial" w:cs="Arial"/>
        </w:rPr>
        <w:t xml:space="preserve"> possibly due to blood work taken after meal</w:t>
      </w:r>
      <w:r w:rsidRPr="000F4E5E">
        <w:rPr>
          <w:rFonts w:ascii="Arial" w:hAnsi="Arial" w:cs="Arial"/>
        </w:rPr>
        <w:t xml:space="preserve">). </w:t>
      </w:r>
    </w:p>
    <w:p w14:paraId="2D3E0150" w14:textId="4233D11B" w:rsidR="00A10EC9" w:rsidRPr="000F4E5E" w:rsidRDefault="00BD78C4" w:rsidP="00A10EC9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Anthropometric data is as follows: </w:t>
      </w:r>
      <w:r w:rsidR="00A10EC9" w:rsidRPr="000F4E5E">
        <w:rPr>
          <w:rFonts w:ascii="Arial" w:hAnsi="Arial" w:cs="Arial"/>
        </w:rPr>
        <w:t xml:space="preserve">height (64”), weight (138.2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), BMI: 23.7 (normal). The weight trend for E.F is as follows: 1/3/25 (139.1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), 1/7/25 (137.7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), 1/22/25 (132.2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), 2/21/25 (138.6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), 2/22/25 (138.2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). Her weight has been stable overall, showing that her feeding is adequate and tolerable. Her IBW is 100 +(4 x </w:t>
      </w:r>
      <w:proofErr w:type="gramStart"/>
      <w:r w:rsidR="00A10EC9" w:rsidRPr="000F4E5E">
        <w:rPr>
          <w:rFonts w:ascii="Arial" w:hAnsi="Arial" w:cs="Arial"/>
        </w:rPr>
        <w:t>5)=</w:t>
      </w:r>
      <w:proofErr w:type="gramEnd"/>
      <w:r w:rsidR="00A10EC9" w:rsidRPr="000F4E5E">
        <w:rPr>
          <w:rFonts w:ascii="Arial" w:hAnsi="Arial" w:cs="Arial"/>
        </w:rPr>
        <w:t xml:space="preserve"> 120 </w:t>
      </w:r>
      <w:proofErr w:type="spellStart"/>
      <w:r w:rsidR="00A10EC9" w:rsidRPr="000F4E5E">
        <w:rPr>
          <w:rFonts w:ascii="Arial" w:hAnsi="Arial" w:cs="Arial"/>
        </w:rPr>
        <w:t>lbs</w:t>
      </w:r>
      <w:proofErr w:type="spellEnd"/>
      <w:r w:rsidR="00A10EC9" w:rsidRPr="000F4E5E">
        <w:rPr>
          <w:rFonts w:ascii="Arial" w:hAnsi="Arial" w:cs="Arial"/>
        </w:rPr>
        <w:t xml:space="preserve"> and percent IBW is (138.2/120) x 100 = 115%</w:t>
      </w:r>
      <w:r w:rsidR="00CC7BCB" w:rsidRPr="000F4E5E">
        <w:rPr>
          <w:rFonts w:ascii="Arial" w:hAnsi="Arial" w:cs="Arial"/>
        </w:rPr>
        <w:t>.</w:t>
      </w:r>
    </w:p>
    <w:p w14:paraId="5C101596" w14:textId="77777777" w:rsidR="00675AB9" w:rsidRDefault="00A47D89" w:rsidP="00CC7BCB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24-recall </w:t>
      </w:r>
      <w:r w:rsidR="00E52E36" w:rsidRPr="000F4E5E">
        <w:rPr>
          <w:rFonts w:ascii="Arial" w:hAnsi="Arial" w:cs="Arial"/>
        </w:rPr>
        <w:t xml:space="preserve">information before admission was </w:t>
      </w:r>
      <w:r w:rsidR="00484C81" w:rsidRPr="000F4E5E">
        <w:rPr>
          <w:rFonts w:ascii="Arial" w:hAnsi="Arial" w:cs="Arial"/>
        </w:rPr>
        <w:t>refused</w:t>
      </w:r>
      <w:r w:rsidR="00E52E36" w:rsidRPr="000F4E5E">
        <w:rPr>
          <w:rFonts w:ascii="Arial" w:hAnsi="Arial" w:cs="Arial"/>
        </w:rPr>
        <w:t xml:space="preserve"> by </w:t>
      </w:r>
      <w:proofErr w:type="gramStart"/>
      <w:r w:rsidR="00484C81" w:rsidRPr="000F4E5E">
        <w:rPr>
          <w:rFonts w:ascii="Arial" w:hAnsi="Arial" w:cs="Arial"/>
        </w:rPr>
        <w:t>E.F</w:t>
      </w:r>
      <w:r w:rsidR="00A10EC9" w:rsidRPr="000F4E5E">
        <w:rPr>
          <w:rFonts w:ascii="Arial" w:hAnsi="Arial" w:cs="Arial"/>
        </w:rPr>
        <w:t>’</w:t>
      </w:r>
      <w:r w:rsidR="00E52E36" w:rsidRPr="000F4E5E">
        <w:rPr>
          <w:rFonts w:ascii="Arial" w:hAnsi="Arial" w:cs="Arial"/>
        </w:rPr>
        <w:t>s</w:t>
      </w:r>
      <w:proofErr w:type="gramEnd"/>
      <w:r w:rsidR="00E52E36" w:rsidRPr="000F4E5E">
        <w:rPr>
          <w:rFonts w:ascii="Arial" w:hAnsi="Arial" w:cs="Arial"/>
        </w:rPr>
        <w:t xml:space="preserve"> proxy as </w:t>
      </w:r>
      <w:r w:rsidR="00A11CB2" w:rsidRPr="000F4E5E">
        <w:rPr>
          <w:rFonts w:ascii="Arial" w:hAnsi="Arial" w:cs="Arial"/>
        </w:rPr>
        <w:t>she</w:t>
      </w:r>
      <w:r w:rsidR="00E52E36" w:rsidRPr="000F4E5E">
        <w:rPr>
          <w:rFonts w:ascii="Arial" w:hAnsi="Arial" w:cs="Arial"/>
        </w:rPr>
        <w:t xml:space="preserve"> </w:t>
      </w:r>
      <w:r w:rsidR="00CC7BCB" w:rsidRPr="000F4E5E">
        <w:rPr>
          <w:rFonts w:ascii="Arial" w:hAnsi="Arial" w:cs="Arial"/>
        </w:rPr>
        <w:t>wa</w:t>
      </w:r>
      <w:r w:rsidR="00E52E36" w:rsidRPr="000F4E5E">
        <w:rPr>
          <w:rFonts w:ascii="Arial" w:hAnsi="Arial" w:cs="Arial"/>
        </w:rPr>
        <w:t>s unable to recall</w:t>
      </w:r>
      <w:r w:rsidR="00A11CB2" w:rsidRPr="000F4E5E">
        <w:rPr>
          <w:rFonts w:ascii="Arial" w:hAnsi="Arial" w:cs="Arial"/>
        </w:rPr>
        <w:t xml:space="preserve"> for herself</w:t>
      </w:r>
      <w:r w:rsidR="00E52E36" w:rsidRPr="000F4E5E">
        <w:rPr>
          <w:rFonts w:ascii="Arial" w:hAnsi="Arial" w:cs="Arial"/>
        </w:rPr>
        <w:t>.</w:t>
      </w:r>
      <w:r w:rsidR="00CC7BCB" w:rsidRPr="000F4E5E">
        <w:rPr>
          <w:rFonts w:ascii="Arial" w:hAnsi="Arial" w:cs="Arial"/>
        </w:rPr>
        <w:t xml:space="preserve"> Prior to hospital (at home), E. F’s proxy reported that she had a regular diet, regular texture, and thin consistency. </w:t>
      </w:r>
      <w:r w:rsidR="00E52E36" w:rsidRPr="000F4E5E">
        <w:rPr>
          <w:rFonts w:ascii="Arial" w:hAnsi="Arial" w:cs="Arial"/>
        </w:rPr>
        <w:t xml:space="preserve"> 24-hr recall while </w:t>
      </w:r>
      <w:r w:rsidR="00A11CB2" w:rsidRPr="000F4E5E">
        <w:rPr>
          <w:rFonts w:ascii="Arial" w:hAnsi="Arial" w:cs="Arial"/>
        </w:rPr>
        <w:t xml:space="preserve">at </w:t>
      </w:r>
      <w:r w:rsidR="00675AB9" w:rsidRPr="000F4E5E">
        <w:rPr>
          <w:rFonts w:ascii="Arial" w:hAnsi="Arial" w:cs="Arial"/>
        </w:rPr>
        <w:t>the Skilled</w:t>
      </w:r>
      <w:r w:rsidR="00E52E36" w:rsidRPr="000F4E5E">
        <w:rPr>
          <w:rFonts w:ascii="Arial" w:hAnsi="Arial" w:cs="Arial"/>
        </w:rPr>
        <w:t xml:space="preserve"> </w:t>
      </w:r>
    </w:p>
    <w:p w14:paraId="37383599" w14:textId="77777777" w:rsidR="00675AB9" w:rsidRDefault="00675AB9" w:rsidP="00675AB9">
      <w:pPr>
        <w:spacing w:after="0" w:line="480" w:lineRule="auto"/>
        <w:rPr>
          <w:rFonts w:ascii="Arial" w:hAnsi="Arial" w:cs="Arial"/>
        </w:rPr>
      </w:pPr>
    </w:p>
    <w:p w14:paraId="10C33CAF" w14:textId="0B542C68" w:rsidR="00541E7A" w:rsidRPr="000F4E5E" w:rsidRDefault="00E52E36" w:rsidP="00675AB9">
      <w:pPr>
        <w:spacing w:after="0" w:line="480" w:lineRule="auto"/>
        <w:rPr>
          <w:rFonts w:ascii="Arial" w:hAnsi="Arial" w:cs="Arial"/>
        </w:rPr>
      </w:pPr>
      <w:proofErr w:type="gramStart"/>
      <w:r w:rsidRPr="000F4E5E">
        <w:rPr>
          <w:rFonts w:ascii="Arial" w:hAnsi="Arial" w:cs="Arial"/>
        </w:rPr>
        <w:t>Nursing</w:t>
      </w:r>
      <w:proofErr w:type="gramEnd"/>
      <w:r w:rsidRPr="000F4E5E">
        <w:rPr>
          <w:rFonts w:ascii="Arial" w:hAnsi="Arial" w:cs="Arial"/>
        </w:rPr>
        <w:t xml:space="preserve"> Facility </w:t>
      </w:r>
      <w:r w:rsidR="00A47D89" w:rsidRPr="000F4E5E">
        <w:rPr>
          <w:rFonts w:ascii="Arial" w:hAnsi="Arial" w:cs="Arial"/>
        </w:rPr>
        <w:t>include</w:t>
      </w:r>
      <w:r w:rsidR="00A11CB2" w:rsidRPr="000F4E5E">
        <w:rPr>
          <w:rFonts w:ascii="Arial" w:hAnsi="Arial" w:cs="Arial"/>
        </w:rPr>
        <w:t>d</w:t>
      </w:r>
      <w:r w:rsidR="00A47D89" w:rsidRPr="000F4E5E">
        <w:rPr>
          <w:rFonts w:ascii="Arial" w:hAnsi="Arial" w:cs="Arial"/>
        </w:rPr>
        <w:t xml:space="preserve"> </w:t>
      </w:r>
      <w:r w:rsidR="00484C81" w:rsidRPr="000F4E5E">
        <w:rPr>
          <w:rFonts w:ascii="Arial" w:hAnsi="Arial" w:cs="Arial"/>
        </w:rPr>
        <w:t xml:space="preserve">the </w:t>
      </w:r>
      <w:r w:rsidR="00A47D89" w:rsidRPr="000F4E5E">
        <w:rPr>
          <w:rFonts w:ascii="Arial" w:hAnsi="Arial" w:cs="Arial"/>
        </w:rPr>
        <w:t xml:space="preserve">continuous tube feeds of </w:t>
      </w:r>
      <w:proofErr w:type="spellStart"/>
      <w:r w:rsidR="00A47D89" w:rsidRPr="000F4E5E">
        <w:rPr>
          <w:rFonts w:ascii="Arial" w:hAnsi="Arial" w:cs="Arial"/>
        </w:rPr>
        <w:t>Osmolite</w:t>
      </w:r>
      <w:proofErr w:type="spellEnd"/>
      <w:r w:rsidR="00A47D89" w:rsidRPr="000F4E5E">
        <w:rPr>
          <w:rFonts w:ascii="Arial" w:hAnsi="Arial" w:cs="Arial"/>
        </w:rPr>
        <w:t xml:space="preserve"> 1.5 at 60 ml/</w:t>
      </w:r>
      <w:proofErr w:type="spellStart"/>
      <w:r w:rsidR="00A47D89" w:rsidRPr="000F4E5E">
        <w:rPr>
          <w:rFonts w:ascii="Arial" w:hAnsi="Arial" w:cs="Arial"/>
        </w:rPr>
        <w:t>hr</w:t>
      </w:r>
      <w:proofErr w:type="spellEnd"/>
      <w:r w:rsidR="00A47D89" w:rsidRPr="000F4E5E">
        <w:rPr>
          <w:rFonts w:ascii="Arial" w:hAnsi="Arial" w:cs="Arial"/>
        </w:rPr>
        <w:t xml:space="preserve"> with 40 ml water flush until complete (16.7 hours). </w:t>
      </w:r>
      <w:r w:rsidR="00484C81" w:rsidRPr="000F4E5E">
        <w:rPr>
          <w:rFonts w:ascii="Arial" w:hAnsi="Arial" w:cs="Arial"/>
        </w:rPr>
        <w:t>E.F</w:t>
      </w:r>
      <w:r w:rsidR="00A47D89" w:rsidRPr="000F4E5E">
        <w:rPr>
          <w:rFonts w:ascii="Arial" w:hAnsi="Arial" w:cs="Arial"/>
        </w:rPr>
        <w:t xml:space="preserve"> tolerates tube feeding well with no n</w:t>
      </w:r>
      <w:r w:rsidR="00484C81" w:rsidRPr="000F4E5E">
        <w:rPr>
          <w:rFonts w:ascii="Arial" w:hAnsi="Arial" w:cs="Arial"/>
        </w:rPr>
        <w:t>ausea, vomiting, diarrhea, or constipation. There are also no know</w:t>
      </w:r>
      <w:r w:rsidR="00A10EC9" w:rsidRPr="000F4E5E">
        <w:rPr>
          <w:rFonts w:ascii="Arial" w:hAnsi="Arial" w:cs="Arial"/>
        </w:rPr>
        <w:t>n</w:t>
      </w:r>
      <w:r w:rsidR="00484C81" w:rsidRPr="000F4E5E">
        <w:rPr>
          <w:rFonts w:ascii="Arial" w:hAnsi="Arial" w:cs="Arial"/>
        </w:rPr>
        <w:t xml:space="preserve"> food allergies</w:t>
      </w:r>
      <w:r w:rsidR="00A47D89" w:rsidRPr="000F4E5E">
        <w:rPr>
          <w:rFonts w:ascii="Arial" w:hAnsi="Arial" w:cs="Arial"/>
        </w:rPr>
        <w:t xml:space="preserve">. </w:t>
      </w:r>
      <w:r w:rsidR="00484C81" w:rsidRPr="000F4E5E">
        <w:rPr>
          <w:rFonts w:ascii="Arial" w:hAnsi="Arial" w:cs="Arial"/>
        </w:rPr>
        <w:t>Her e</w:t>
      </w:r>
      <w:r w:rsidR="00A47D89" w:rsidRPr="000F4E5E">
        <w:rPr>
          <w:rFonts w:ascii="Arial" w:hAnsi="Arial" w:cs="Arial"/>
        </w:rPr>
        <w:t>stimated needs are: 1650 kcal (34 kcal/kg) per day, 69 g pro (1.4 gm/kg) per day, and 1278 ml free water (26.5 mL/kg) daily. The recommendation</w:t>
      </w:r>
      <w:r w:rsidR="00541E7A" w:rsidRPr="000F4E5E">
        <w:rPr>
          <w:rFonts w:ascii="Arial" w:hAnsi="Arial" w:cs="Arial"/>
        </w:rPr>
        <w:t xml:space="preserve"> of</w:t>
      </w:r>
      <w:r w:rsidR="00A47D89" w:rsidRPr="000F4E5E">
        <w:rPr>
          <w:rFonts w:ascii="Arial" w:hAnsi="Arial" w:cs="Arial"/>
        </w:rPr>
        <w:t xml:space="preserve"> </w:t>
      </w:r>
      <w:r w:rsidR="00541E7A" w:rsidRPr="000F4E5E">
        <w:rPr>
          <w:rFonts w:ascii="Arial" w:hAnsi="Arial" w:cs="Arial"/>
        </w:rPr>
        <w:t xml:space="preserve">long-term </w:t>
      </w:r>
      <w:r w:rsidR="00A47D89" w:rsidRPr="000F4E5E">
        <w:rPr>
          <w:rFonts w:ascii="Arial" w:hAnsi="Arial" w:cs="Arial"/>
        </w:rPr>
        <w:t>tube feeding</w:t>
      </w:r>
      <w:r w:rsidR="00541E7A" w:rsidRPr="000F4E5E">
        <w:rPr>
          <w:rFonts w:ascii="Arial" w:hAnsi="Arial" w:cs="Arial"/>
        </w:rPr>
        <w:t xml:space="preserve"> is</w:t>
      </w:r>
      <w:r w:rsidR="00A47D89" w:rsidRPr="000F4E5E">
        <w:rPr>
          <w:rFonts w:ascii="Arial" w:hAnsi="Arial" w:cs="Arial"/>
        </w:rPr>
        <w:t xml:space="preserve"> to ensure </w:t>
      </w:r>
      <w:r w:rsidR="002B56D4" w:rsidRPr="000F4E5E">
        <w:rPr>
          <w:rFonts w:ascii="Arial" w:hAnsi="Arial" w:cs="Arial"/>
        </w:rPr>
        <w:t xml:space="preserve">she </w:t>
      </w:r>
      <w:r w:rsidR="00A47D89" w:rsidRPr="000F4E5E">
        <w:rPr>
          <w:rFonts w:ascii="Arial" w:hAnsi="Arial" w:cs="Arial"/>
        </w:rPr>
        <w:t xml:space="preserve">is receiving adequate calories and nutrition. </w:t>
      </w:r>
    </w:p>
    <w:p w14:paraId="7643C034" w14:textId="4D3CBC38" w:rsidR="00D40336" w:rsidRDefault="00B147D6" w:rsidP="003C2A5E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 xml:space="preserve">A suitable </w:t>
      </w:r>
      <w:r w:rsidR="00A47D89" w:rsidRPr="000F4E5E">
        <w:rPr>
          <w:rFonts w:ascii="Arial" w:hAnsi="Arial" w:cs="Arial"/>
        </w:rPr>
        <w:t>PES</w:t>
      </w:r>
      <w:r w:rsidRPr="000F4E5E">
        <w:rPr>
          <w:rFonts w:ascii="Arial" w:hAnsi="Arial" w:cs="Arial"/>
        </w:rPr>
        <w:t xml:space="preserve"> for E.F is:</w:t>
      </w:r>
      <w:r w:rsidR="00A47D89" w:rsidRPr="000F4E5E">
        <w:rPr>
          <w:rFonts w:ascii="Arial" w:hAnsi="Arial" w:cs="Arial"/>
        </w:rPr>
        <w:t xml:space="preserve"> Increased nutrient needs related to wound healing as evidenced by stage 2 pressure ulcer on sacrum, and stage 2 pressure ulcer on right gluteus.</w:t>
      </w:r>
    </w:p>
    <w:p w14:paraId="6F6F6ADE" w14:textId="2A13B0F3" w:rsidR="00A47D89" w:rsidRPr="000F4E5E" w:rsidRDefault="00A47D89" w:rsidP="00A47D89">
      <w:pPr>
        <w:spacing w:after="0" w:line="480" w:lineRule="auto"/>
        <w:ind w:firstLine="720"/>
        <w:rPr>
          <w:rFonts w:ascii="Arial" w:hAnsi="Arial" w:cs="Arial"/>
        </w:rPr>
      </w:pPr>
      <w:r w:rsidRPr="000F4E5E">
        <w:rPr>
          <w:rFonts w:ascii="Arial" w:hAnsi="Arial" w:cs="Arial"/>
        </w:rPr>
        <w:t>Prosource</w:t>
      </w:r>
      <w:r w:rsidR="00D913F0">
        <w:rPr>
          <w:rFonts w:ascii="Arial" w:hAnsi="Arial" w:cs="Arial"/>
        </w:rPr>
        <w:t xml:space="preserve"> 1x/day</w:t>
      </w:r>
      <w:r w:rsidRPr="000F4E5E">
        <w:rPr>
          <w:rFonts w:ascii="Arial" w:hAnsi="Arial" w:cs="Arial"/>
        </w:rPr>
        <w:t xml:space="preserve"> (60kcal, 15g pro)</w:t>
      </w:r>
      <w:r w:rsidR="00B147D6" w:rsidRPr="000F4E5E">
        <w:rPr>
          <w:rFonts w:ascii="Arial" w:hAnsi="Arial" w:cs="Arial"/>
        </w:rPr>
        <w:t xml:space="preserve"> is recommended</w:t>
      </w:r>
      <w:r w:rsidRPr="000F4E5E">
        <w:rPr>
          <w:rFonts w:ascii="Arial" w:hAnsi="Arial" w:cs="Arial"/>
        </w:rPr>
        <w:t xml:space="preserve"> to promote wound healing</w:t>
      </w:r>
      <w:r w:rsidR="00B147D6" w:rsidRPr="000F4E5E">
        <w:rPr>
          <w:rFonts w:ascii="Arial" w:hAnsi="Arial" w:cs="Arial"/>
        </w:rPr>
        <w:t xml:space="preserve"> </w:t>
      </w:r>
      <w:r w:rsidR="004B4BB3">
        <w:rPr>
          <w:rFonts w:ascii="Arial" w:hAnsi="Arial" w:cs="Arial"/>
        </w:rPr>
        <w:t>for</w:t>
      </w:r>
      <w:r w:rsidR="00B147D6" w:rsidRPr="000F4E5E">
        <w:rPr>
          <w:rFonts w:ascii="Arial" w:hAnsi="Arial" w:cs="Arial"/>
        </w:rPr>
        <w:t xml:space="preserve"> </w:t>
      </w:r>
      <w:r w:rsidR="00F072F5" w:rsidRPr="000F4E5E">
        <w:rPr>
          <w:rFonts w:ascii="Arial" w:hAnsi="Arial" w:cs="Arial"/>
        </w:rPr>
        <w:t>E. F’s</w:t>
      </w:r>
      <w:r w:rsidR="00B147D6" w:rsidRPr="000F4E5E">
        <w:rPr>
          <w:rFonts w:ascii="Arial" w:hAnsi="Arial" w:cs="Arial"/>
        </w:rPr>
        <w:t xml:space="preserve"> pressure ulcers. I</w:t>
      </w:r>
      <w:r w:rsidRPr="000F4E5E">
        <w:rPr>
          <w:rFonts w:ascii="Arial" w:hAnsi="Arial" w:cs="Arial"/>
        </w:rPr>
        <w:t xml:space="preserve"> </w:t>
      </w:r>
      <w:r w:rsidR="00B147D6" w:rsidRPr="000F4E5E">
        <w:rPr>
          <w:rFonts w:ascii="Arial" w:hAnsi="Arial" w:cs="Arial"/>
        </w:rPr>
        <w:t xml:space="preserve">recommend that </w:t>
      </w:r>
      <w:proofErr w:type="gramStart"/>
      <w:r w:rsidR="00B147D6" w:rsidRPr="000F4E5E">
        <w:rPr>
          <w:rFonts w:ascii="Arial" w:hAnsi="Arial" w:cs="Arial"/>
        </w:rPr>
        <w:t>E.</w:t>
      </w:r>
      <w:proofErr w:type="gramEnd"/>
      <w:r w:rsidR="00B147D6" w:rsidRPr="000F4E5E">
        <w:rPr>
          <w:rFonts w:ascii="Arial" w:hAnsi="Arial" w:cs="Arial"/>
        </w:rPr>
        <w:t>F continues</w:t>
      </w:r>
      <w:r w:rsidR="004B4BB3">
        <w:rPr>
          <w:rFonts w:ascii="Arial" w:hAnsi="Arial" w:cs="Arial"/>
        </w:rPr>
        <w:t xml:space="preserve"> her</w:t>
      </w:r>
      <w:r w:rsidR="00B147D6" w:rsidRPr="000F4E5E">
        <w:rPr>
          <w:rFonts w:ascii="Arial" w:hAnsi="Arial" w:cs="Arial"/>
        </w:rPr>
        <w:t xml:space="preserve"> tube feeding regimen and add 100 mL</w:t>
      </w:r>
      <w:r w:rsidR="00F072F5">
        <w:rPr>
          <w:rFonts w:ascii="Arial" w:hAnsi="Arial" w:cs="Arial"/>
        </w:rPr>
        <w:t xml:space="preserve"> H20</w:t>
      </w:r>
      <w:r w:rsidR="00B147D6" w:rsidRPr="000F4E5E">
        <w:rPr>
          <w:rFonts w:ascii="Arial" w:hAnsi="Arial" w:cs="Arial"/>
        </w:rPr>
        <w:t xml:space="preserve"> AC/PC to flush tube before and after feeding</w:t>
      </w:r>
      <w:r w:rsidR="00A12F87">
        <w:rPr>
          <w:rFonts w:ascii="Arial" w:hAnsi="Arial" w:cs="Arial"/>
        </w:rPr>
        <w:t xml:space="preserve"> and for additional hydration</w:t>
      </w:r>
      <w:r w:rsidR="00B147D6" w:rsidRPr="000F4E5E">
        <w:rPr>
          <w:rFonts w:ascii="Arial" w:hAnsi="Arial" w:cs="Arial"/>
        </w:rPr>
        <w:t>. I will</w:t>
      </w:r>
      <w:r w:rsidRPr="000F4E5E">
        <w:rPr>
          <w:rFonts w:ascii="Arial" w:hAnsi="Arial" w:cs="Arial"/>
        </w:rPr>
        <w:t xml:space="preserve"> follow up with </w:t>
      </w:r>
      <w:r w:rsidR="00F072F5">
        <w:rPr>
          <w:rFonts w:ascii="Arial" w:hAnsi="Arial" w:cs="Arial"/>
        </w:rPr>
        <w:t xml:space="preserve">the </w:t>
      </w:r>
      <w:r w:rsidR="00B147D6" w:rsidRPr="000F4E5E">
        <w:rPr>
          <w:rFonts w:ascii="Arial" w:hAnsi="Arial" w:cs="Arial"/>
        </w:rPr>
        <w:t xml:space="preserve">SLP </w:t>
      </w:r>
      <w:r w:rsidRPr="000F4E5E">
        <w:rPr>
          <w:rFonts w:ascii="Arial" w:hAnsi="Arial" w:cs="Arial"/>
        </w:rPr>
        <w:t xml:space="preserve">team regarding </w:t>
      </w:r>
      <w:r w:rsidR="00F072F5">
        <w:rPr>
          <w:rFonts w:ascii="Arial" w:hAnsi="Arial" w:cs="Arial"/>
        </w:rPr>
        <w:t xml:space="preserve">E. F’s </w:t>
      </w:r>
      <w:r w:rsidRPr="000F4E5E">
        <w:rPr>
          <w:rFonts w:ascii="Arial" w:hAnsi="Arial" w:cs="Arial"/>
        </w:rPr>
        <w:t>current NPO status</w:t>
      </w:r>
      <w:r w:rsidR="00B147D6" w:rsidRPr="000F4E5E">
        <w:rPr>
          <w:rFonts w:ascii="Arial" w:hAnsi="Arial" w:cs="Arial"/>
        </w:rPr>
        <w:t xml:space="preserve"> and monitor </w:t>
      </w:r>
      <w:r w:rsidR="00F072F5">
        <w:rPr>
          <w:rFonts w:ascii="Arial" w:hAnsi="Arial" w:cs="Arial"/>
        </w:rPr>
        <w:t xml:space="preserve">her </w:t>
      </w:r>
      <w:r w:rsidR="00B147D6" w:rsidRPr="000F4E5E">
        <w:rPr>
          <w:rFonts w:ascii="Arial" w:hAnsi="Arial" w:cs="Arial"/>
        </w:rPr>
        <w:t>swallow progression</w:t>
      </w:r>
      <w:r w:rsidRPr="000F4E5E">
        <w:rPr>
          <w:rFonts w:ascii="Arial" w:hAnsi="Arial" w:cs="Arial"/>
        </w:rPr>
        <w:t xml:space="preserve">. </w:t>
      </w:r>
      <w:r w:rsidR="00B147D6" w:rsidRPr="000F4E5E">
        <w:rPr>
          <w:rFonts w:ascii="Arial" w:hAnsi="Arial" w:cs="Arial"/>
        </w:rPr>
        <w:t xml:space="preserve">I recommend monitoring tube feeding intake, tube feeding tolerance, skin integrity, </w:t>
      </w:r>
      <w:r w:rsidR="00F072F5">
        <w:rPr>
          <w:rFonts w:ascii="Arial" w:hAnsi="Arial" w:cs="Arial"/>
        </w:rPr>
        <w:t xml:space="preserve">daily </w:t>
      </w:r>
      <w:r w:rsidR="00B147D6" w:rsidRPr="000F4E5E">
        <w:rPr>
          <w:rFonts w:ascii="Arial" w:hAnsi="Arial" w:cs="Arial"/>
        </w:rPr>
        <w:t xml:space="preserve">weights, labs, </w:t>
      </w:r>
      <w:r w:rsidR="00F072F5">
        <w:rPr>
          <w:rFonts w:ascii="Arial" w:hAnsi="Arial" w:cs="Arial"/>
        </w:rPr>
        <w:t xml:space="preserve">and will </w:t>
      </w:r>
      <w:r w:rsidR="00D737CA" w:rsidRPr="000F4E5E">
        <w:rPr>
          <w:rFonts w:ascii="Arial" w:hAnsi="Arial" w:cs="Arial"/>
        </w:rPr>
        <w:t>provid</w:t>
      </w:r>
      <w:r w:rsidR="00F072F5">
        <w:rPr>
          <w:rFonts w:ascii="Arial" w:hAnsi="Arial" w:cs="Arial"/>
        </w:rPr>
        <w:t>e</w:t>
      </w:r>
      <w:r w:rsidR="00B147D6" w:rsidRPr="000F4E5E">
        <w:rPr>
          <w:rFonts w:ascii="Arial" w:hAnsi="Arial" w:cs="Arial"/>
        </w:rPr>
        <w:t xml:space="preserve"> nutrition intervention as warranted. </w:t>
      </w:r>
      <w:r w:rsidRPr="000F4E5E">
        <w:rPr>
          <w:rFonts w:ascii="Arial" w:hAnsi="Arial" w:cs="Arial"/>
        </w:rPr>
        <w:t xml:space="preserve">No discharge diet </w:t>
      </w:r>
      <w:r w:rsidR="00B147D6" w:rsidRPr="000F4E5E">
        <w:rPr>
          <w:rFonts w:ascii="Arial" w:hAnsi="Arial" w:cs="Arial"/>
        </w:rPr>
        <w:t xml:space="preserve">has been </w:t>
      </w:r>
      <w:r w:rsidRPr="000F4E5E">
        <w:rPr>
          <w:rFonts w:ascii="Arial" w:hAnsi="Arial" w:cs="Arial"/>
        </w:rPr>
        <w:t>discussed a</w:t>
      </w:r>
      <w:r w:rsidR="00B147D6" w:rsidRPr="000F4E5E">
        <w:rPr>
          <w:rFonts w:ascii="Arial" w:hAnsi="Arial" w:cs="Arial"/>
        </w:rPr>
        <w:t xml:space="preserve">t </w:t>
      </w:r>
      <w:r w:rsidRPr="000F4E5E">
        <w:rPr>
          <w:rFonts w:ascii="Arial" w:hAnsi="Arial" w:cs="Arial"/>
        </w:rPr>
        <w:t>this time.</w:t>
      </w:r>
      <w:r w:rsidR="002779AA" w:rsidRPr="000F4E5E">
        <w:rPr>
          <w:rFonts w:ascii="Arial" w:hAnsi="Arial" w:cs="Arial"/>
        </w:rPr>
        <w:t xml:space="preserve"> Nutrition care goals are as follows: E.F will maintain 138.2 </w:t>
      </w:r>
      <w:proofErr w:type="spellStart"/>
      <w:r w:rsidR="002779AA" w:rsidRPr="000F4E5E">
        <w:rPr>
          <w:rFonts w:ascii="Arial" w:hAnsi="Arial" w:cs="Arial"/>
        </w:rPr>
        <w:t>lbs</w:t>
      </w:r>
      <w:proofErr w:type="spellEnd"/>
      <w:r w:rsidR="002779AA" w:rsidRPr="000F4E5E">
        <w:rPr>
          <w:rFonts w:ascii="Arial" w:hAnsi="Arial" w:cs="Arial"/>
        </w:rPr>
        <w:t xml:space="preserve"> +/- 5 </w:t>
      </w:r>
      <w:proofErr w:type="spellStart"/>
      <w:r w:rsidR="002779AA" w:rsidRPr="000F4E5E">
        <w:rPr>
          <w:rFonts w:ascii="Arial" w:hAnsi="Arial" w:cs="Arial"/>
        </w:rPr>
        <w:t>lbs</w:t>
      </w:r>
      <w:proofErr w:type="spellEnd"/>
      <w:r w:rsidR="002779AA" w:rsidRPr="000F4E5E">
        <w:rPr>
          <w:rFonts w:ascii="Arial" w:hAnsi="Arial" w:cs="Arial"/>
        </w:rPr>
        <w:t xml:space="preserve"> x 90 days while at the SNF.</w:t>
      </w:r>
      <w:r w:rsidR="00496AD6" w:rsidRPr="000F4E5E">
        <w:rPr>
          <w:rFonts w:ascii="Arial" w:hAnsi="Arial" w:cs="Arial"/>
        </w:rPr>
        <w:t xml:space="preserve"> E.F will not be dehydrated x 90 days. E.F will </w:t>
      </w:r>
      <w:r w:rsidR="00F072F5">
        <w:rPr>
          <w:rFonts w:ascii="Arial" w:hAnsi="Arial" w:cs="Arial"/>
        </w:rPr>
        <w:t xml:space="preserve">continue to </w:t>
      </w:r>
      <w:r w:rsidR="00496AD6" w:rsidRPr="000F4E5E">
        <w:rPr>
          <w:rFonts w:ascii="Arial" w:hAnsi="Arial" w:cs="Arial"/>
        </w:rPr>
        <w:t xml:space="preserve">tolerate tube feeding as prescribed with recommendations applied. </w:t>
      </w:r>
      <w:r w:rsidR="00C15587" w:rsidRPr="000F4E5E">
        <w:rPr>
          <w:rFonts w:ascii="Arial" w:hAnsi="Arial" w:cs="Arial"/>
        </w:rPr>
        <w:t>E. F’s</w:t>
      </w:r>
      <w:r w:rsidR="00496AD6" w:rsidRPr="000F4E5E">
        <w:rPr>
          <w:rFonts w:ascii="Arial" w:hAnsi="Arial" w:cs="Arial"/>
        </w:rPr>
        <w:t xml:space="preserve"> wounds will heal with improvement using </w:t>
      </w:r>
      <w:r w:rsidR="00170F87" w:rsidRPr="000F4E5E">
        <w:rPr>
          <w:rFonts w:ascii="Arial" w:hAnsi="Arial" w:cs="Arial"/>
        </w:rPr>
        <w:t xml:space="preserve">supplement of ProSource </w:t>
      </w:r>
      <w:r w:rsidR="00496AD6" w:rsidRPr="000F4E5E">
        <w:rPr>
          <w:rFonts w:ascii="Arial" w:hAnsi="Arial" w:cs="Arial"/>
        </w:rPr>
        <w:t>as recommended x 90 days.</w:t>
      </w:r>
    </w:p>
    <w:p w14:paraId="3F6FF219" w14:textId="77777777" w:rsidR="00C15587" w:rsidRDefault="00C15587" w:rsidP="00A47D89">
      <w:pPr>
        <w:spacing w:after="0" w:line="480" w:lineRule="auto"/>
        <w:ind w:firstLine="720"/>
        <w:rPr>
          <w:rFonts w:ascii="Arial" w:hAnsi="Arial" w:cs="Arial"/>
        </w:rPr>
      </w:pPr>
    </w:p>
    <w:p w14:paraId="04A59C1F" w14:textId="77777777" w:rsidR="008438C4" w:rsidRDefault="008438C4" w:rsidP="00A47D89">
      <w:pPr>
        <w:spacing w:after="0" w:line="480" w:lineRule="auto"/>
        <w:ind w:firstLine="720"/>
        <w:rPr>
          <w:rFonts w:ascii="Arial" w:hAnsi="Arial" w:cs="Arial"/>
        </w:rPr>
      </w:pPr>
    </w:p>
    <w:p w14:paraId="6552C78C" w14:textId="77777777" w:rsidR="008438C4" w:rsidRDefault="008438C4" w:rsidP="008438C4">
      <w:pPr>
        <w:spacing w:after="0" w:line="480" w:lineRule="auto"/>
        <w:ind w:firstLine="720"/>
        <w:jc w:val="center"/>
        <w:rPr>
          <w:rFonts w:ascii="Arial" w:hAnsi="Arial" w:cs="Arial"/>
        </w:rPr>
      </w:pPr>
    </w:p>
    <w:p w14:paraId="6D59DA5F" w14:textId="77777777" w:rsidR="00E20DAA" w:rsidRDefault="00E20DAA" w:rsidP="008438C4">
      <w:pPr>
        <w:spacing w:after="0" w:line="480" w:lineRule="auto"/>
        <w:ind w:firstLine="720"/>
        <w:jc w:val="center"/>
        <w:rPr>
          <w:rFonts w:ascii="Arial" w:hAnsi="Arial" w:cs="Arial"/>
        </w:rPr>
      </w:pPr>
    </w:p>
    <w:p w14:paraId="519719E2" w14:textId="77CC22A4" w:rsidR="008438C4" w:rsidRDefault="008438C4" w:rsidP="008438C4">
      <w:pPr>
        <w:spacing w:after="0" w:line="48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 w14:paraId="24EE7D7C" w14:textId="0A9057DD" w:rsidR="00072FB5" w:rsidRPr="00072FB5" w:rsidRDefault="00072FB5" w:rsidP="00072FB5">
      <w:pPr>
        <w:tabs>
          <w:tab w:val="left" w:pos="2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82F34" w:rsidRPr="00072FB5">
        <w:rPr>
          <w:rFonts w:ascii="Arial" w:hAnsi="Arial" w:cs="Arial"/>
        </w:rPr>
        <w:t>Kuriakose, D., Xiao, Z. (2020).</w:t>
      </w:r>
      <w:r w:rsidR="00382F34" w:rsidRPr="00382F34">
        <w:t xml:space="preserve"> </w:t>
      </w:r>
      <w:r w:rsidR="00382F34" w:rsidRPr="00072FB5">
        <w:rPr>
          <w:rFonts w:ascii="Arial" w:hAnsi="Arial" w:cs="Arial"/>
        </w:rPr>
        <w:t>Pathophysiology and treatment of stroke: present</w:t>
      </w:r>
      <w:r w:rsidRPr="00072FB5">
        <w:rPr>
          <w:rFonts w:ascii="Arial" w:hAnsi="Arial" w:cs="Arial"/>
        </w:rPr>
        <w:t xml:space="preserve"> </w:t>
      </w:r>
    </w:p>
    <w:p w14:paraId="320F4539" w14:textId="526B3D67" w:rsidR="00072FB5" w:rsidRPr="00072FB5" w:rsidRDefault="00072FB5" w:rsidP="00072FB5">
      <w:pPr>
        <w:tabs>
          <w:tab w:val="left" w:pos="2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82F34" w:rsidRPr="00072FB5">
        <w:rPr>
          <w:rFonts w:ascii="Arial" w:hAnsi="Arial" w:cs="Arial"/>
        </w:rPr>
        <w:t xml:space="preserve">status </w:t>
      </w:r>
      <w:r w:rsidR="00382F34">
        <w:rPr>
          <w:rFonts w:ascii="Arial" w:hAnsi="Arial" w:cs="Arial"/>
        </w:rPr>
        <w:t xml:space="preserve">and future perspectives. </w:t>
      </w:r>
      <w:r w:rsidR="00382F34">
        <w:rPr>
          <w:rFonts w:ascii="Arial" w:hAnsi="Arial" w:cs="Arial"/>
          <w:i/>
          <w:iCs/>
        </w:rPr>
        <w:t>Journal of Molecular Sciences</w:t>
      </w:r>
      <w:r w:rsidR="00382F34">
        <w:rPr>
          <w:color w:val="3A3A3A"/>
          <w:sz w:val="23"/>
          <w:szCs w:val="23"/>
          <w:highlight w:val="white"/>
        </w:rPr>
        <w:t xml:space="preserve">. </w:t>
      </w:r>
      <w:r w:rsidR="003C67FB">
        <w:rPr>
          <w:rFonts w:ascii="Arial" w:hAnsi="Arial" w:cs="Arial"/>
          <w:color w:val="3A3A3A"/>
          <w:highlight w:val="white"/>
        </w:rPr>
        <w:t>21(7609),1-24.</w:t>
      </w:r>
    </w:p>
    <w:p w14:paraId="3F6CDB86" w14:textId="11443299" w:rsidR="00382F34" w:rsidRPr="00382F34" w:rsidRDefault="00072FB5" w:rsidP="00072FB5">
      <w:pPr>
        <w:tabs>
          <w:tab w:val="left" w:pos="270"/>
        </w:tabs>
        <w:spacing w:after="0"/>
        <w:rPr>
          <w:rFonts w:ascii="Arial" w:hAnsi="Arial" w:cs="Arial"/>
          <w:color w:val="3A3A3A"/>
          <w:highlight w:val="white"/>
        </w:rPr>
      </w:pPr>
      <w:r>
        <w:rPr>
          <w:rFonts w:ascii="Arial" w:hAnsi="Arial" w:cs="Arial"/>
          <w:color w:val="3A3A3A"/>
          <w:highlight w:val="white"/>
        </w:rPr>
        <w:t xml:space="preserve">      https://</w:t>
      </w:r>
      <w:r w:rsidRPr="00072FB5">
        <w:t xml:space="preserve"> </w:t>
      </w:r>
      <w:r w:rsidRPr="00072FB5">
        <w:rPr>
          <w:rFonts w:ascii="Arial" w:hAnsi="Arial" w:cs="Arial"/>
          <w:color w:val="3A3A3A"/>
        </w:rPr>
        <w:t>doi.org/10.3390/ijms21207609</w:t>
      </w:r>
    </w:p>
    <w:p w14:paraId="67B1F313" w14:textId="0AB97BE0" w:rsidR="00382F34" w:rsidRDefault="00382F34" w:rsidP="00072FB5">
      <w:pPr>
        <w:tabs>
          <w:tab w:val="left" w:pos="0"/>
        </w:tabs>
        <w:rPr>
          <w:color w:val="3A3A3A"/>
          <w:sz w:val="23"/>
          <w:szCs w:val="23"/>
          <w:highlight w:val="white"/>
        </w:rPr>
      </w:pPr>
      <w:r>
        <w:rPr>
          <w:color w:val="3A3A3A"/>
          <w:sz w:val="23"/>
          <w:szCs w:val="23"/>
          <w:highlight w:val="white"/>
        </w:rPr>
        <w:t xml:space="preserve">        </w:t>
      </w:r>
    </w:p>
    <w:p w14:paraId="6DE36149" w14:textId="77777777" w:rsidR="00E3517B" w:rsidRDefault="00072FB5" w:rsidP="00E351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438C4" w:rsidRPr="00072FB5">
        <w:rPr>
          <w:rFonts w:ascii="Arial" w:hAnsi="Arial" w:cs="Arial"/>
        </w:rPr>
        <w:t>Hasan</w:t>
      </w:r>
      <w:r>
        <w:rPr>
          <w:rFonts w:ascii="Arial" w:hAnsi="Arial" w:cs="Arial"/>
        </w:rPr>
        <w:t xml:space="preserve">, T., </w:t>
      </w:r>
      <w:proofErr w:type="spellStart"/>
      <w:r>
        <w:rPr>
          <w:rFonts w:ascii="Arial" w:hAnsi="Arial" w:cs="Arial"/>
        </w:rPr>
        <w:t>Rabinstein</w:t>
      </w:r>
      <w:proofErr w:type="spellEnd"/>
      <w:r>
        <w:rPr>
          <w:rFonts w:ascii="Arial" w:hAnsi="Arial" w:cs="Arial"/>
        </w:rPr>
        <w:t xml:space="preserve">, A., Middlebrooks, E., </w:t>
      </w:r>
      <w:proofErr w:type="spellStart"/>
      <w:r>
        <w:rPr>
          <w:rFonts w:ascii="Arial" w:hAnsi="Arial" w:cs="Arial"/>
        </w:rPr>
        <w:t>Haranhalli</w:t>
      </w:r>
      <w:proofErr w:type="spellEnd"/>
      <w:r>
        <w:rPr>
          <w:rFonts w:ascii="Arial" w:hAnsi="Arial" w:cs="Arial"/>
        </w:rPr>
        <w:t xml:space="preserve">, N., Silliman, S., Meschia, J., </w:t>
      </w:r>
    </w:p>
    <w:p w14:paraId="5EA95436" w14:textId="77777777" w:rsidR="00E3517B" w:rsidRDefault="00E3517B" w:rsidP="00E3517B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</w:t>
      </w:r>
      <w:proofErr w:type="spellStart"/>
      <w:r w:rsidR="00072FB5">
        <w:rPr>
          <w:rFonts w:ascii="Arial" w:hAnsi="Arial" w:cs="Arial"/>
        </w:rPr>
        <w:t>Tawk</w:t>
      </w:r>
      <w:proofErr w:type="spellEnd"/>
      <w:r w:rsidR="00072FB5">
        <w:rPr>
          <w:rFonts w:ascii="Arial" w:hAnsi="Arial" w:cs="Arial"/>
        </w:rPr>
        <w:t xml:space="preserve">, R. (2018). Diagnoses and management of acute ischemic stroke. </w:t>
      </w:r>
      <w:r w:rsidR="00072FB5">
        <w:rPr>
          <w:rFonts w:ascii="Arial" w:hAnsi="Arial" w:cs="Arial"/>
          <w:i/>
          <w:iCs/>
        </w:rPr>
        <w:t xml:space="preserve">Mayo </w:t>
      </w:r>
    </w:p>
    <w:p w14:paraId="75964D86" w14:textId="77777777" w:rsidR="00E3517B" w:rsidRDefault="00E3517B" w:rsidP="00E351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</w:t>
      </w:r>
      <w:r w:rsidR="00072FB5">
        <w:rPr>
          <w:rFonts w:ascii="Arial" w:hAnsi="Arial" w:cs="Arial"/>
          <w:i/>
          <w:iCs/>
        </w:rPr>
        <w:t>Foundation for Medical Education.</w:t>
      </w:r>
      <w:r w:rsidR="00072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93(4), 523-538. </w:t>
      </w:r>
    </w:p>
    <w:p w14:paraId="79CAAF18" w14:textId="353073BF" w:rsidR="008438C4" w:rsidRPr="00072FB5" w:rsidRDefault="00E3517B" w:rsidP="00E351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https://doi.org/10.1016/j.mayocp.2018.02.013</w:t>
      </w:r>
    </w:p>
    <w:p w14:paraId="7BDAE107" w14:textId="77777777" w:rsidR="00E3517B" w:rsidRDefault="00E3517B" w:rsidP="00E3517B">
      <w:pPr>
        <w:spacing w:after="0" w:line="480" w:lineRule="auto"/>
        <w:ind w:left="360"/>
        <w:rPr>
          <w:rFonts w:ascii="Arial" w:hAnsi="Arial" w:cs="Arial"/>
        </w:rPr>
      </w:pPr>
    </w:p>
    <w:p w14:paraId="35E2F932" w14:textId="77777777" w:rsidR="00E3517B" w:rsidRPr="00D24236" w:rsidRDefault="00E3517B" w:rsidP="00E351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E58C5" w:rsidRPr="00D24236">
        <w:rPr>
          <w:rFonts w:ascii="Arial" w:hAnsi="Arial" w:cs="Arial"/>
        </w:rPr>
        <w:t>Crary</w:t>
      </w:r>
      <w:r w:rsidRPr="00D24236">
        <w:rPr>
          <w:rFonts w:ascii="Arial" w:hAnsi="Arial" w:cs="Arial"/>
        </w:rPr>
        <w:t xml:space="preserve">, M., </w:t>
      </w:r>
      <w:proofErr w:type="spellStart"/>
      <w:r w:rsidRPr="00D24236">
        <w:rPr>
          <w:rFonts w:ascii="Arial" w:hAnsi="Arial" w:cs="Arial"/>
        </w:rPr>
        <w:t>Groher</w:t>
      </w:r>
      <w:proofErr w:type="spellEnd"/>
      <w:r w:rsidRPr="00D24236">
        <w:rPr>
          <w:rFonts w:ascii="Arial" w:hAnsi="Arial" w:cs="Arial"/>
        </w:rPr>
        <w:t xml:space="preserve">, M. (2006). Reinstituting oral feeding in tube-fed adult patients with </w:t>
      </w:r>
    </w:p>
    <w:p w14:paraId="31132675" w14:textId="77777777" w:rsidR="00E3517B" w:rsidRPr="00D24236" w:rsidRDefault="00E3517B" w:rsidP="00E3517B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D24236">
        <w:rPr>
          <w:rFonts w:ascii="Arial" w:hAnsi="Arial" w:cs="Arial"/>
        </w:rPr>
        <w:t xml:space="preserve">     dysphagia. </w:t>
      </w:r>
      <w:r w:rsidRPr="00D24236">
        <w:rPr>
          <w:rFonts w:ascii="Arial" w:hAnsi="Arial" w:cs="Arial"/>
          <w:i/>
          <w:iCs/>
        </w:rPr>
        <w:t>American Society for Parenteral and Enteral Nutrition.</w:t>
      </w:r>
      <w:r w:rsidRPr="00D24236">
        <w:rPr>
          <w:rFonts w:ascii="Arial" w:hAnsi="Arial" w:cs="Arial"/>
        </w:rPr>
        <w:t xml:space="preserve"> 21(6), 576-586.</w:t>
      </w:r>
      <w:r w:rsidRPr="00D24236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2FAC753E" w14:textId="533AC4B9" w:rsidR="008438C4" w:rsidRPr="00D24236" w:rsidRDefault="00E3517B" w:rsidP="00E3517B">
      <w:pPr>
        <w:spacing w:after="0" w:line="240" w:lineRule="auto"/>
        <w:rPr>
          <w:rFonts w:ascii="Arial" w:hAnsi="Arial" w:cs="Arial"/>
        </w:rPr>
      </w:pPr>
      <w:r w:rsidRPr="00D24236">
        <w:rPr>
          <w:rFonts w:ascii="Arial" w:hAnsi="Arial" w:cs="Arial"/>
          <w:color w:val="212121"/>
          <w:shd w:val="clear" w:color="auto" w:fill="FFFFFF"/>
        </w:rPr>
        <w:t xml:space="preserve">     </w:t>
      </w:r>
      <w:r w:rsidR="00D24236" w:rsidRPr="00D24236">
        <w:rPr>
          <w:rFonts w:ascii="Arial" w:hAnsi="Arial" w:cs="Arial"/>
          <w:color w:val="212121"/>
          <w:shd w:val="clear" w:color="auto" w:fill="FFFFFF"/>
        </w:rPr>
        <w:t>https://</w:t>
      </w:r>
      <w:r w:rsidRPr="00D24236">
        <w:rPr>
          <w:rFonts w:ascii="Arial" w:hAnsi="Arial" w:cs="Arial"/>
        </w:rPr>
        <w:t>doi:10.1177/0115426506021006576</w:t>
      </w:r>
    </w:p>
    <w:p w14:paraId="1B0C0022" w14:textId="77777777" w:rsidR="00E3517B" w:rsidRDefault="00E3517B" w:rsidP="00E3517B">
      <w:pPr>
        <w:pStyle w:val="ListParagraph"/>
        <w:spacing w:after="0" w:line="480" w:lineRule="auto"/>
        <w:rPr>
          <w:rFonts w:ascii="Arial" w:hAnsi="Arial" w:cs="Arial"/>
        </w:rPr>
      </w:pPr>
    </w:p>
    <w:p w14:paraId="743F68C6" w14:textId="77777777" w:rsidR="00D24236" w:rsidRDefault="00E3517B" w:rsidP="00D242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E58C5" w:rsidRPr="00E3517B">
        <w:rPr>
          <w:rFonts w:ascii="Arial" w:hAnsi="Arial" w:cs="Arial"/>
        </w:rPr>
        <w:t>Juan</w:t>
      </w:r>
      <w:r w:rsidR="00860E1E">
        <w:rPr>
          <w:rFonts w:ascii="Arial" w:hAnsi="Arial" w:cs="Arial"/>
        </w:rPr>
        <w:t xml:space="preserve">, W., Zhen, H., Yan-Ying, F., Hui-Xian, Y., Tao, Z., Pei-Fen, G., Jian-Tian, H. </w:t>
      </w:r>
    </w:p>
    <w:p w14:paraId="5A43C1ED" w14:textId="77777777" w:rsidR="00D24236" w:rsidRDefault="00D24236" w:rsidP="00D242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60E1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2020). </w:t>
      </w:r>
      <w:r w:rsidRPr="00D2423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</w:t>
      </w:r>
      <w:r w:rsidRPr="00D24236">
        <w:rPr>
          <w:rFonts w:ascii="Arial" w:hAnsi="Arial" w:cs="Arial"/>
        </w:rPr>
        <w:t xml:space="preserve">omparative </w:t>
      </w:r>
      <w:r>
        <w:rPr>
          <w:rFonts w:ascii="Arial" w:hAnsi="Arial" w:cs="Arial"/>
        </w:rPr>
        <w:t>s</w:t>
      </w:r>
      <w:r w:rsidRPr="00D24236">
        <w:rPr>
          <w:rFonts w:ascii="Arial" w:hAnsi="Arial" w:cs="Arial"/>
        </w:rPr>
        <w:t xml:space="preserve">tudy of </w:t>
      </w:r>
      <w:r>
        <w:rPr>
          <w:rFonts w:ascii="Arial" w:hAnsi="Arial" w:cs="Arial"/>
        </w:rPr>
        <w:t>t</w:t>
      </w:r>
      <w:r w:rsidRPr="00D24236">
        <w:rPr>
          <w:rFonts w:ascii="Arial" w:hAnsi="Arial" w:cs="Arial"/>
        </w:rPr>
        <w:t>wo</w:t>
      </w:r>
      <w:r>
        <w:rPr>
          <w:rFonts w:ascii="Arial" w:hAnsi="Arial" w:cs="Arial"/>
        </w:rPr>
        <w:t xml:space="preserve"> t</w:t>
      </w:r>
      <w:r w:rsidRPr="00D24236">
        <w:rPr>
          <w:rFonts w:ascii="Arial" w:hAnsi="Arial" w:cs="Arial"/>
        </w:rPr>
        <w:t>ube</w:t>
      </w:r>
      <w:r>
        <w:rPr>
          <w:rFonts w:ascii="Arial" w:hAnsi="Arial" w:cs="Arial"/>
        </w:rPr>
        <w:t xml:space="preserve"> f</w:t>
      </w:r>
      <w:r w:rsidRPr="00D24236">
        <w:rPr>
          <w:rFonts w:ascii="Arial" w:hAnsi="Arial" w:cs="Arial"/>
        </w:rPr>
        <w:t>eeding</w:t>
      </w:r>
      <w:r>
        <w:rPr>
          <w:rFonts w:ascii="Arial" w:hAnsi="Arial" w:cs="Arial"/>
        </w:rPr>
        <w:t xml:space="preserve"> m</w:t>
      </w:r>
      <w:r w:rsidRPr="00D24236">
        <w:rPr>
          <w:rFonts w:ascii="Arial" w:hAnsi="Arial" w:cs="Arial"/>
        </w:rPr>
        <w:t xml:space="preserve">ethods in </w:t>
      </w:r>
      <w:r>
        <w:rPr>
          <w:rFonts w:ascii="Arial" w:hAnsi="Arial" w:cs="Arial"/>
        </w:rPr>
        <w:t>p</w:t>
      </w:r>
      <w:r w:rsidRPr="00D24236">
        <w:rPr>
          <w:rFonts w:ascii="Arial" w:hAnsi="Arial" w:cs="Arial"/>
        </w:rPr>
        <w:t xml:space="preserve">atients with </w:t>
      </w:r>
      <w:r>
        <w:rPr>
          <w:rFonts w:ascii="Arial" w:hAnsi="Arial" w:cs="Arial"/>
        </w:rPr>
        <w:t>d</w:t>
      </w:r>
      <w:r w:rsidRPr="00D24236">
        <w:rPr>
          <w:rFonts w:ascii="Arial" w:hAnsi="Arial" w:cs="Arial"/>
        </w:rPr>
        <w:t xml:space="preserve">ysphagia </w:t>
      </w:r>
    </w:p>
    <w:p w14:paraId="33EA8B33" w14:textId="77777777" w:rsidR="00D24236" w:rsidRDefault="00D24236" w:rsidP="00D24236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a</w:t>
      </w:r>
      <w:r w:rsidRPr="00D24236">
        <w:rPr>
          <w:rFonts w:ascii="Arial" w:hAnsi="Arial" w:cs="Arial"/>
        </w:rPr>
        <w:t xml:space="preserve">fter </w:t>
      </w:r>
      <w:r>
        <w:rPr>
          <w:rFonts w:ascii="Arial" w:hAnsi="Arial" w:cs="Arial"/>
        </w:rPr>
        <w:t>s</w:t>
      </w:r>
      <w:r w:rsidRPr="00D24236">
        <w:rPr>
          <w:rFonts w:ascii="Arial" w:hAnsi="Arial" w:cs="Arial"/>
        </w:rPr>
        <w:t xml:space="preserve">troke: </w:t>
      </w:r>
      <w:r>
        <w:rPr>
          <w:rFonts w:ascii="Arial" w:hAnsi="Arial" w:cs="Arial"/>
        </w:rPr>
        <w:t>a</w:t>
      </w:r>
      <w:r w:rsidRPr="00D24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D24236">
        <w:rPr>
          <w:rFonts w:ascii="Arial" w:hAnsi="Arial" w:cs="Arial"/>
        </w:rPr>
        <w:t xml:space="preserve">andomized </w:t>
      </w:r>
      <w:r>
        <w:rPr>
          <w:rFonts w:ascii="Arial" w:hAnsi="Arial" w:cs="Arial"/>
        </w:rPr>
        <w:t>c</w:t>
      </w:r>
      <w:r w:rsidRPr="00D24236">
        <w:rPr>
          <w:rFonts w:ascii="Arial" w:hAnsi="Arial" w:cs="Arial"/>
        </w:rPr>
        <w:t xml:space="preserve">ontrolled </w:t>
      </w:r>
      <w:r>
        <w:rPr>
          <w:rFonts w:ascii="Arial" w:hAnsi="Arial" w:cs="Arial"/>
        </w:rPr>
        <w:t>t</w:t>
      </w:r>
      <w:r w:rsidRPr="00D24236">
        <w:rPr>
          <w:rFonts w:ascii="Arial" w:hAnsi="Arial" w:cs="Arial"/>
        </w:rPr>
        <w:t>rial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 xml:space="preserve">Journal of Stroke and Cerebrovascular </w:t>
      </w:r>
    </w:p>
    <w:p w14:paraId="25F9AAEF" w14:textId="6DA0E702" w:rsidR="00EE58C5" w:rsidRPr="00D24236" w:rsidRDefault="00D24236" w:rsidP="00D242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Diseases.</w:t>
      </w:r>
      <w:r>
        <w:rPr>
          <w:rFonts w:ascii="Arial" w:hAnsi="Arial" w:cs="Arial"/>
        </w:rPr>
        <w:t xml:space="preserve"> 29(3)</w:t>
      </w:r>
      <w:r w:rsidR="00970F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1-9. </w:t>
      </w:r>
      <w:r w:rsidRPr="00D24236">
        <w:rPr>
          <w:rFonts w:ascii="Arial" w:hAnsi="Arial" w:cs="Arial"/>
        </w:rPr>
        <w:t>https://doi.org/10.1016/j.jstrokecerebrovasdis.2019.104602</w:t>
      </w:r>
    </w:p>
    <w:p w14:paraId="0E268D49" w14:textId="77777777" w:rsidR="00D24236" w:rsidRDefault="00D24236" w:rsidP="00D24236">
      <w:pPr>
        <w:spacing w:after="0" w:line="480" w:lineRule="auto"/>
        <w:rPr>
          <w:rFonts w:ascii="Arial" w:hAnsi="Arial" w:cs="Arial"/>
        </w:rPr>
      </w:pPr>
    </w:p>
    <w:p w14:paraId="5C3D871A" w14:textId="77777777" w:rsidR="00970FDA" w:rsidRDefault="00D24236" w:rsidP="00970F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E58C5" w:rsidRPr="00D24236">
        <w:rPr>
          <w:rFonts w:ascii="Arial" w:hAnsi="Arial" w:cs="Arial"/>
        </w:rPr>
        <w:t>Ojo</w:t>
      </w:r>
      <w:r>
        <w:rPr>
          <w:rFonts w:ascii="Arial" w:hAnsi="Arial" w:cs="Arial"/>
        </w:rPr>
        <w:t xml:space="preserve">, O., Booke, J. (2016). </w:t>
      </w:r>
      <w:r w:rsidRPr="00D2423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</w:t>
      </w:r>
      <w:r w:rsidRPr="00D24236">
        <w:rPr>
          <w:rFonts w:ascii="Arial" w:hAnsi="Arial" w:cs="Arial"/>
        </w:rPr>
        <w:t xml:space="preserve">se of </w:t>
      </w:r>
      <w:r>
        <w:rPr>
          <w:rFonts w:ascii="Arial" w:hAnsi="Arial" w:cs="Arial"/>
        </w:rPr>
        <w:t>e</w:t>
      </w:r>
      <w:r w:rsidRPr="00D24236">
        <w:rPr>
          <w:rFonts w:ascii="Arial" w:hAnsi="Arial" w:cs="Arial"/>
        </w:rPr>
        <w:t xml:space="preserve">nteral </w:t>
      </w:r>
      <w:r>
        <w:rPr>
          <w:rFonts w:ascii="Arial" w:hAnsi="Arial" w:cs="Arial"/>
        </w:rPr>
        <w:t>n</w:t>
      </w:r>
      <w:r w:rsidRPr="00D24236">
        <w:rPr>
          <w:rFonts w:ascii="Arial" w:hAnsi="Arial" w:cs="Arial"/>
        </w:rPr>
        <w:t xml:space="preserve">utrition in the </w:t>
      </w:r>
      <w:r>
        <w:rPr>
          <w:rFonts w:ascii="Arial" w:hAnsi="Arial" w:cs="Arial"/>
        </w:rPr>
        <w:t>m</w:t>
      </w:r>
      <w:r w:rsidRPr="00D24236">
        <w:rPr>
          <w:rFonts w:ascii="Arial" w:hAnsi="Arial" w:cs="Arial"/>
        </w:rPr>
        <w:t xml:space="preserve">anagement of </w:t>
      </w:r>
      <w:r>
        <w:rPr>
          <w:rFonts w:ascii="Arial" w:hAnsi="Arial" w:cs="Arial"/>
        </w:rPr>
        <w:t>s</w:t>
      </w:r>
      <w:r w:rsidRPr="00D24236">
        <w:rPr>
          <w:rFonts w:ascii="Arial" w:hAnsi="Arial" w:cs="Arial"/>
        </w:rPr>
        <w:t>troke</w:t>
      </w:r>
      <w:r>
        <w:rPr>
          <w:rFonts w:ascii="Arial" w:hAnsi="Arial" w:cs="Arial"/>
        </w:rPr>
        <w:t xml:space="preserve">. </w:t>
      </w:r>
    </w:p>
    <w:p w14:paraId="210AF810" w14:textId="50CB2293" w:rsidR="00EE58C5" w:rsidRPr="00D24236" w:rsidRDefault="00970FDA" w:rsidP="00970F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24236">
        <w:rPr>
          <w:rFonts w:ascii="Arial" w:hAnsi="Arial" w:cs="Arial"/>
          <w:i/>
          <w:iCs/>
        </w:rPr>
        <w:t>Nutrients.</w:t>
      </w:r>
      <w:r w:rsidR="00D24236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(12), </w:t>
      </w:r>
      <w:r w:rsidR="00D24236">
        <w:rPr>
          <w:rFonts w:ascii="Arial" w:hAnsi="Arial" w:cs="Arial"/>
        </w:rPr>
        <w:t>827</w:t>
      </w:r>
      <w:r>
        <w:rPr>
          <w:rFonts w:ascii="Arial" w:hAnsi="Arial" w:cs="Arial"/>
        </w:rPr>
        <w:t xml:space="preserve">-832. </w:t>
      </w:r>
      <w:r w:rsidR="00D24236">
        <w:rPr>
          <w:rFonts w:ascii="Arial" w:hAnsi="Arial" w:cs="Arial"/>
        </w:rPr>
        <w:t>https://</w:t>
      </w:r>
      <w:r w:rsidR="00D24236" w:rsidRPr="00D24236">
        <w:rPr>
          <w:rFonts w:ascii="Arial" w:hAnsi="Arial" w:cs="Arial"/>
        </w:rPr>
        <w:t>doi:10.3390/nu8120827</w:t>
      </w:r>
    </w:p>
    <w:p w14:paraId="0AFD0336" w14:textId="77777777" w:rsidR="00D24236" w:rsidRDefault="00D24236" w:rsidP="00D24236">
      <w:pPr>
        <w:pStyle w:val="ListParagraph"/>
        <w:spacing w:after="0" w:line="480" w:lineRule="auto"/>
        <w:rPr>
          <w:rFonts w:ascii="Arial" w:hAnsi="Arial" w:cs="Arial"/>
        </w:rPr>
      </w:pPr>
    </w:p>
    <w:p w14:paraId="6ACE9F58" w14:textId="77777777" w:rsidR="00970FDA" w:rsidRDefault="00970FDA" w:rsidP="00970F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EE58C5" w:rsidRPr="00970FDA">
        <w:rPr>
          <w:rFonts w:ascii="Arial" w:hAnsi="Arial" w:cs="Arial"/>
        </w:rPr>
        <w:t>Wilmskoetter</w:t>
      </w:r>
      <w:r>
        <w:rPr>
          <w:rFonts w:ascii="Arial" w:hAnsi="Arial" w:cs="Arial"/>
        </w:rPr>
        <w:t xml:space="preserve">, J. Simpson, A., Logan, S., Simpson, K., Bonilha, H. (2018). </w:t>
      </w:r>
      <w:r w:rsidRPr="00970FDA">
        <w:rPr>
          <w:rFonts w:ascii="Arial" w:hAnsi="Arial" w:cs="Arial"/>
        </w:rPr>
        <w:t xml:space="preserve">Impact of </w:t>
      </w:r>
    </w:p>
    <w:p w14:paraId="2EC20785" w14:textId="77777777" w:rsidR="00970FDA" w:rsidRDefault="00970FDA" w:rsidP="00970F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g</w:t>
      </w:r>
      <w:r w:rsidRPr="00970FDA">
        <w:rPr>
          <w:rFonts w:ascii="Arial" w:hAnsi="Arial" w:cs="Arial"/>
        </w:rPr>
        <w:t xml:space="preserve">astrostomy </w:t>
      </w:r>
      <w:r>
        <w:rPr>
          <w:rFonts w:ascii="Arial" w:hAnsi="Arial" w:cs="Arial"/>
        </w:rPr>
        <w:t>f</w:t>
      </w:r>
      <w:r w:rsidRPr="00970FDA">
        <w:rPr>
          <w:rFonts w:ascii="Arial" w:hAnsi="Arial" w:cs="Arial"/>
        </w:rPr>
        <w:t xml:space="preserve">eeding </w:t>
      </w:r>
      <w:r>
        <w:rPr>
          <w:rFonts w:ascii="Arial" w:hAnsi="Arial" w:cs="Arial"/>
        </w:rPr>
        <w:t>t</w:t>
      </w:r>
      <w:r w:rsidRPr="00970FDA">
        <w:rPr>
          <w:rFonts w:ascii="Arial" w:hAnsi="Arial" w:cs="Arial"/>
        </w:rPr>
        <w:t xml:space="preserve">ube </w:t>
      </w:r>
      <w:r>
        <w:rPr>
          <w:rFonts w:ascii="Arial" w:hAnsi="Arial" w:cs="Arial"/>
        </w:rPr>
        <w:t>p</w:t>
      </w:r>
      <w:r w:rsidRPr="00970FDA">
        <w:rPr>
          <w:rFonts w:ascii="Arial" w:hAnsi="Arial" w:cs="Arial"/>
        </w:rPr>
        <w:t>lacement on the 1-</w:t>
      </w:r>
      <w:r>
        <w:rPr>
          <w:rFonts w:ascii="Arial" w:hAnsi="Arial" w:cs="Arial"/>
        </w:rPr>
        <w:t>y</w:t>
      </w:r>
      <w:r w:rsidRPr="00970FDA">
        <w:rPr>
          <w:rFonts w:ascii="Arial" w:hAnsi="Arial" w:cs="Arial"/>
        </w:rPr>
        <w:t xml:space="preserve">ear </w:t>
      </w:r>
      <w:r>
        <w:rPr>
          <w:rFonts w:ascii="Arial" w:hAnsi="Arial" w:cs="Arial"/>
        </w:rPr>
        <w:t>t</w:t>
      </w:r>
      <w:r w:rsidRPr="00970FDA">
        <w:rPr>
          <w:rFonts w:ascii="Arial" w:hAnsi="Arial" w:cs="Arial"/>
        </w:rPr>
        <w:t xml:space="preserve">rajectory of </w:t>
      </w:r>
      <w:r>
        <w:rPr>
          <w:rFonts w:ascii="Arial" w:hAnsi="Arial" w:cs="Arial"/>
        </w:rPr>
        <w:t>c</w:t>
      </w:r>
      <w:r w:rsidRPr="00970FDA">
        <w:rPr>
          <w:rFonts w:ascii="Arial" w:hAnsi="Arial" w:cs="Arial"/>
        </w:rPr>
        <w:t xml:space="preserve">are in </w:t>
      </w:r>
      <w:r>
        <w:rPr>
          <w:rFonts w:ascii="Arial" w:hAnsi="Arial" w:cs="Arial"/>
        </w:rPr>
        <w:t>p</w:t>
      </w:r>
      <w:r w:rsidRPr="00970FDA">
        <w:rPr>
          <w:rFonts w:ascii="Arial" w:hAnsi="Arial" w:cs="Arial"/>
        </w:rPr>
        <w:t xml:space="preserve">atients </w:t>
      </w:r>
      <w:r>
        <w:rPr>
          <w:rFonts w:ascii="Arial" w:hAnsi="Arial" w:cs="Arial"/>
        </w:rPr>
        <w:t>a</w:t>
      </w:r>
      <w:r w:rsidRPr="00970FDA">
        <w:rPr>
          <w:rFonts w:ascii="Arial" w:hAnsi="Arial" w:cs="Arial"/>
        </w:rPr>
        <w:t xml:space="preserve">fter </w:t>
      </w:r>
    </w:p>
    <w:p w14:paraId="2029B810" w14:textId="00762CF4" w:rsidR="00EE58C5" w:rsidRPr="00970FDA" w:rsidRDefault="00970FDA" w:rsidP="00970F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s</w:t>
      </w:r>
      <w:r w:rsidRPr="00970FDA">
        <w:rPr>
          <w:rFonts w:ascii="Arial" w:hAnsi="Arial" w:cs="Arial"/>
        </w:rPr>
        <w:t>troke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 xml:space="preserve">Nutrition in Clinical Practice. </w:t>
      </w:r>
      <w:r>
        <w:rPr>
          <w:rFonts w:ascii="Arial" w:hAnsi="Arial" w:cs="Arial"/>
        </w:rPr>
        <w:t>33(4), 553-566. https://doi:10.1002/ncp.10015</w:t>
      </w:r>
    </w:p>
    <w:p w14:paraId="56B758C4" w14:textId="77777777" w:rsidR="00C15587" w:rsidRPr="000F4E5E" w:rsidRDefault="00C15587" w:rsidP="00A47D89">
      <w:pPr>
        <w:spacing w:after="0" w:line="480" w:lineRule="auto"/>
        <w:ind w:firstLine="720"/>
        <w:rPr>
          <w:rFonts w:ascii="Arial" w:hAnsi="Arial" w:cs="Arial"/>
        </w:rPr>
      </w:pPr>
    </w:p>
    <w:sectPr w:rsidR="00C15587" w:rsidRPr="000F4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FDE1" w14:textId="77777777" w:rsidR="005747B2" w:rsidRDefault="005747B2" w:rsidP="00100ACD">
      <w:pPr>
        <w:spacing w:after="0" w:line="240" w:lineRule="auto"/>
      </w:pPr>
      <w:r>
        <w:separator/>
      </w:r>
    </w:p>
  </w:endnote>
  <w:endnote w:type="continuationSeparator" w:id="0">
    <w:p w14:paraId="7C23BA8C" w14:textId="77777777" w:rsidR="005747B2" w:rsidRDefault="005747B2" w:rsidP="0010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07EB" w14:textId="77777777" w:rsidR="00491F88" w:rsidRDefault="00491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655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91A4F" w14:textId="0D01F1C6" w:rsidR="00100ACD" w:rsidRDefault="00100A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6D98E" w14:textId="77777777" w:rsidR="00100ACD" w:rsidRDefault="00100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1D05" w14:textId="77777777" w:rsidR="00491F88" w:rsidRDefault="00491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2485" w14:textId="77777777" w:rsidR="005747B2" w:rsidRDefault="005747B2" w:rsidP="00100ACD">
      <w:pPr>
        <w:spacing w:after="0" w:line="240" w:lineRule="auto"/>
      </w:pPr>
      <w:r>
        <w:separator/>
      </w:r>
    </w:p>
  </w:footnote>
  <w:footnote w:type="continuationSeparator" w:id="0">
    <w:p w14:paraId="00066E80" w14:textId="77777777" w:rsidR="005747B2" w:rsidRDefault="005747B2" w:rsidP="0010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284A" w14:textId="77777777" w:rsidR="00491F88" w:rsidRDefault="00491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022B" w14:textId="4BB3392F" w:rsidR="00100ACD" w:rsidRPr="000C1A48" w:rsidRDefault="00100ACD">
    <w:pPr>
      <w:pStyle w:val="Header"/>
      <w:rPr>
        <w:rFonts w:ascii="Arial" w:hAnsi="Arial" w:cs="Arial"/>
      </w:rPr>
    </w:pPr>
    <w:r w:rsidRPr="000C1A48">
      <w:rPr>
        <w:rFonts w:ascii="Arial" w:hAnsi="Arial" w:cs="Arial"/>
      </w:rPr>
      <w:t>Tiffany Mitchell</w:t>
    </w:r>
  </w:p>
  <w:p w14:paraId="747472A7" w14:textId="601D4329" w:rsidR="00100ACD" w:rsidRPr="000C1A48" w:rsidRDefault="00100ACD">
    <w:pPr>
      <w:pStyle w:val="Header"/>
      <w:rPr>
        <w:rFonts w:ascii="Arial" w:hAnsi="Arial" w:cs="Arial"/>
      </w:rPr>
    </w:pPr>
    <w:r w:rsidRPr="000C1A48">
      <w:rPr>
        <w:rFonts w:ascii="Arial" w:hAnsi="Arial" w:cs="Arial"/>
      </w:rPr>
      <w:t>HNSC 720</w:t>
    </w:r>
    <w:r w:rsidR="001F0DAC">
      <w:rPr>
        <w:rFonts w:ascii="Arial" w:hAnsi="Arial" w:cs="Arial"/>
      </w:rPr>
      <w:t>1</w:t>
    </w:r>
    <w:r w:rsidRPr="000C1A48">
      <w:rPr>
        <w:rFonts w:ascii="Arial" w:hAnsi="Arial" w:cs="Arial"/>
      </w:rPr>
      <w:t>X</w:t>
    </w:r>
  </w:p>
  <w:p w14:paraId="2E7E6721" w14:textId="4A2874E6" w:rsidR="00100ACD" w:rsidRPr="000C1A48" w:rsidRDefault="00100ACD">
    <w:pPr>
      <w:pStyle w:val="Header"/>
      <w:rPr>
        <w:rFonts w:ascii="Arial" w:hAnsi="Arial" w:cs="Arial"/>
      </w:rPr>
    </w:pPr>
    <w:r w:rsidRPr="000C1A48">
      <w:rPr>
        <w:rFonts w:ascii="Arial" w:hAnsi="Arial" w:cs="Arial"/>
      </w:rPr>
      <w:t xml:space="preserve">MNT 3: MNT Case Study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C741" w14:textId="77777777" w:rsidR="00491F88" w:rsidRDefault="00491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1361"/>
    <w:multiLevelType w:val="hybridMultilevel"/>
    <w:tmpl w:val="674E8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921B8"/>
    <w:multiLevelType w:val="hybridMultilevel"/>
    <w:tmpl w:val="9C5A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384B"/>
    <w:multiLevelType w:val="hybridMultilevel"/>
    <w:tmpl w:val="81C24E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A6830"/>
    <w:multiLevelType w:val="hybridMultilevel"/>
    <w:tmpl w:val="1D3A8B2A"/>
    <w:lvl w:ilvl="0" w:tplc="103C4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54152F"/>
    <w:multiLevelType w:val="hybridMultilevel"/>
    <w:tmpl w:val="D0365210"/>
    <w:lvl w:ilvl="0" w:tplc="726657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8391B"/>
    <w:multiLevelType w:val="hybridMultilevel"/>
    <w:tmpl w:val="262A83F0"/>
    <w:lvl w:ilvl="0" w:tplc="949234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29763">
    <w:abstractNumId w:val="3"/>
  </w:num>
  <w:num w:numId="2" w16cid:durableId="154230584">
    <w:abstractNumId w:val="4"/>
  </w:num>
  <w:num w:numId="3" w16cid:durableId="589705077">
    <w:abstractNumId w:val="5"/>
  </w:num>
  <w:num w:numId="4" w16cid:durableId="1504974160">
    <w:abstractNumId w:val="1"/>
  </w:num>
  <w:num w:numId="5" w16cid:durableId="1258291941">
    <w:abstractNumId w:val="2"/>
  </w:num>
  <w:num w:numId="6" w16cid:durableId="98312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CD"/>
    <w:rsid w:val="0004084C"/>
    <w:rsid w:val="00072FB5"/>
    <w:rsid w:val="000C1A48"/>
    <w:rsid w:val="000C4CF6"/>
    <w:rsid w:val="000C58C3"/>
    <w:rsid w:val="000D446A"/>
    <w:rsid w:val="000F4E5E"/>
    <w:rsid w:val="00100ACD"/>
    <w:rsid w:val="00125D6D"/>
    <w:rsid w:val="001507B6"/>
    <w:rsid w:val="00170F87"/>
    <w:rsid w:val="001A5C7A"/>
    <w:rsid w:val="001C5172"/>
    <w:rsid w:val="001F0DAC"/>
    <w:rsid w:val="002051FE"/>
    <w:rsid w:val="00234285"/>
    <w:rsid w:val="002772E6"/>
    <w:rsid w:val="002779AA"/>
    <w:rsid w:val="002B56D4"/>
    <w:rsid w:val="00302711"/>
    <w:rsid w:val="00382F34"/>
    <w:rsid w:val="003930DA"/>
    <w:rsid w:val="003C2A5E"/>
    <w:rsid w:val="003C67FB"/>
    <w:rsid w:val="00484C81"/>
    <w:rsid w:val="00491F88"/>
    <w:rsid w:val="00496AD6"/>
    <w:rsid w:val="004B4BB3"/>
    <w:rsid w:val="005219EC"/>
    <w:rsid w:val="0052287F"/>
    <w:rsid w:val="00540229"/>
    <w:rsid w:val="00541E7A"/>
    <w:rsid w:val="0056054C"/>
    <w:rsid w:val="005747B2"/>
    <w:rsid w:val="005A0F78"/>
    <w:rsid w:val="006501F1"/>
    <w:rsid w:val="00675AB9"/>
    <w:rsid w:val="00692644"/>
    <w:rsid w:val="006A01A2"/>
    <w:rsid w:val="006D2AA6"/>
    <w:rsid w:val="006E0F8A"/>
    <w:rsid w:val="008438C4"/>
    <w:rsid w:val="00860E1E"/>
    <w:rsid w:val="00867321"/>
    <w:rsid w:val="008D7358"/>
    <w:rsid w:val="00970FDA"/>
    <w:rsid w:val="009974A7"/>
    <w:rsid w:val="009F1A51"/>
    <w:rsid w:val="00A10EC9"/>
    <w:rsid w:val="00A11CB2"/>
    <w:rsid w:val="00A12F87"/>
    <w:rsid w:val="00A17E38"/>
    <w:rsid w:val="00A205C5"/>
    <w:rsid w:val="00A47D89"/>
    <w:rsid w:val="00A77094"/>
    <w:rsid w:val="00AD0EBB"/>
    <w:rsid w:val="00AD76D7"/>
    <w:rsid w:val="00B147D6"/>
    <w:rsid w:val="00B218D1"/>
    <w:rsid w:val="00BD78C4"/>
    <w:rsid w:val="00BF0700"/>
    <w:rsid w:val="00C15587"/>
    <w:rsid w:val="00C231CA"/>
    <w:rsid w:val="00C627C8"/>
    <w:rsid w:val="00CC7BCB"/>
    <w:rsid w:val="00D24236"/>
    <w:rsid w:val="00D36649"/>
    <w:rsid w:val="00D40336"/>
    <w:rsid w:val="00D737CA"/>
    <w:rsid w:val="00D74E67"/>
    <w:rsid w:val="00D82ADE"/>
    <w:rsid w:val="00D83503"/>
    <w:rsid w:val="00D913F0"/>
    <w:rsid w:val="00DC1602"/>
    <w:rsid w:val="00DD2F44"/>
    <w:rsid w:val="00DF251D"/>
    <w:rsid w:val="00DF2778"/>
    <w:rsid w:val="00E054A1"/>
    <w:rsid w:val="00E146AA"/>
    <w:rsid w:val="00E20DAA"/>
    <w:rsid w:val="00E3517B"/>
    <w:rsid w:val="00E52E36"/>
    <w:rsid w:val="00E73F8E"/>
    <w:rsid w:val="00EE58C5"/>
    <w:rsid w:val="00F072F5"/>
    <w:rsid w:val="00F15CD1"/>
    <w:rsid w:val="00F36C37"/>
    <w:rsid w:val="00F73FA9"/>
    <w:rsid w:val="00F91B1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1050"/>
  <w15:chartTrackingRefBased/>
  <w15:docId w15:val="{545F8164-1572-4134-91B0-DA5D1160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A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ACD"/>
  </w:style>
  <w:style w:type="paragraph" w:styleId="Footer">
    <w:name w:val="footer"/>
    <w:basedOn w:val="Normal"/>
    <w:link w:val="FooterChar"/>
    <w:uiPriority w:val="99"/>
    <w:unhideWhenUsed/>
    <w:rsid w:val="0010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Moore</dc:creator>
  <cp:keywords/>
  <dc:description/>
  <cp:lastModifiedBy>Mario Moore</cp:lastModifiedBy>
  <cp:revision>74</cp:revision>
  <dcterms:created xsi:type="dcterms:W3CDTF">2025-02-20T15:25:00Z</dcterms:created>
  <dcterms:modified xsi:type="dcterms:W3CDTF">2025-03-11T15:23:00Z</dcterms:modified>
</cp:coreProperties>
</file>