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26BD" w14:textId="77777777" w:rsidR="004A02D0" w:rsidRPr="00026A87" w:rsidRDefault="004A02D0" w:rsidP="00026A87">
      <w:pPr>
        <w:pStyle w:val="Title"/>
      </w:pPr>
      <w:bookmarkStart w:id="0" w:name="_Toc206737732"/>
      <w:r w:rsidRPr="00026A87">
        <w:t>Tensile Strength of Metals Analysis Assignment</w:t>
      </w:r>
      <w:bookmarkEnd w:id="0"/>
    </w:p>
    <w:p w14:paraId="778CEA89" w14:textId="77777777" w:rsidR="004A02D0" w:rsidRDefault="004A02D0" w:rsidP="004A02D0"/>
    <w:p w14:paraId="740E8DB7" w14:textId="77777777" w:rsidR="004A02D0" w:rsidRDefault="004A02D0" w:rsidP="004A02D0">
      <w:pPr>
        <w:pStyle w:val="Heading1"/>
      </w:pPr>
      <w:bookmarkStart w:id="1" w:name="_Toc206737733"/>
      <w:r>
        <w:t>Information for Instructors</w:t>
      </w:r>
      <w:bookmarkEnd w:id="1"/>
    </w:p>
    <w:p w14:paraId="6D5FA0BC" w14:textId="77777777" w:rsidR="004A02D0" w:rsidRDefault="004A02D0" w:rsidP="004A02D0">
      <w:pPr>
        <w:rPr>
          <w:color w:val="2F5597"/>
          <w:sz w:val="28"/>
          <w:szCs w:val="28"/>
        </w:rPr>
      </w:pPr>
      <w:r>
        <w:rPr>
          <w:color w:val="2F5597"/>
          <w:sz w:val="28"/>
          <w:szCs w:val="28"/>
        </w:rPr>
        <w:t>Tensile Strength of Metals Analysis Assignment</w:t>
      </w:r>
    </w:p>
    <w:p w14:paraId="08A644DC" w14:textId="77777777" w:rsidR="004A02D0" w:rsidRDefault="004A02D0" w:rsidP="004A02D0">
      <w:pPr>
        <w:pStyle w:val="Heading2"/>
      </w:pPr>
      <w:bookmarkStart w:id="2" w:name="_Toc206737734"/>
      <w:r>
        <w:t>Overview</w:t>
      </w:r>
      <w:bookmarkEnd w:id="2"/>
    </w:p>
    <w:p w14:paraId="6DAC696F" w14:textId="77777777" w:rsidR="004A02D0" w:rsidRDefault="004A02D0" w:rsidP="004A02D0">
      <w:pPr>
        <w:rPr>
          <w:rFonts w:eastAsia="Calibri" w:cs="Calibri"/>
        </w:rPr>
      </w:pPr>
      <w:r>
        <w:rPr>
          <w:rFonts w:eastAsia="Calibri" w:cs="Calibri"/>
        </w:rPr>
        <w:t>This activity addresses the Pathways outcome: Gather, analyze, and interpret data and present it in an effective written laboratory or fieldwork report.</w:t>
      </w:r>
    </w:p>
    <w:p w14:paraId="0A55CC67" w14:textId="77777777" w:rsidR="004A02D0" w:rsidRDefault="004A02D0" w:rsidP="004A02D0">
      <w:pPr>
        <w:rPr>
          <w:rFonts w:eastAsia="Calibri" w:cs="Calibri"/>
        </w:rPr>
      </w:pPr>
    </w:p>
    <w:p w14:paraId="188F2F50" w14:textId="77777777" w:rsidR="004A02D0" w:rsidRDefault="004A02D0" w:rsidP="004A02D0">
      <w:pPr>
        <w:rPr>
          <w:rFonts w:eastAsia="Calibri" w:cs="Calibri"/>
        </w:rPr>
      </w:pPr>
      <w:r>
        <w:rPr>
          <w:rFonts w:eastAsia="Calibri" w:cs="Calibri"/>
        </w:rPr>
        <w:t>In this assignment, students will evaluate the mechanical properties, specifically tensile strength, of five metals commonly used in engineering. They will analyze a data set resulting from tensile tests and produce a formal lab report interpreting the material behaviors. This assignment emphasizes data interpretation and effective disciplinary communication.</w:t>
      </w:r>
    </w:p>
    <w:p w14:paraId="4816C3C3" w14:textId="77777777" w:rsidR="004A02D0" w:rsidRDefault="004A02D0" w:rsidP="004A02D0">
      <w:pPr>
        <w:rPr>
          <w:rFonts w:eastAsia="Calibri" w:cs="Calibri"/>
        </w:rPr>
      </w:pPr>
    </w:p>
    <w:p w14:paraId="2C60F66B" w14:textId="77777777" w:rsidR="004A02D0" w:rsidRDefault="004A02D0" w:rsidP="004A02D0">
      <w:pPr>
        <w:rPr>
          <w:rFonts w:eastAsia="Calibri" w:cs="Calibri"/>
        </w:rPr>
      </w:pPr>
    </w:p>
    <w:p w14:paraId="1EDA33E6" w14:textId="77777777" w:rsidR="004A02D0" w:rsidRDefault="004A02D0" w:rsidP="004A02D0">
      <w:pPr>
        <w:pStyle w:val="Heading1"/>
      </w:pPr>
      <w:bookmarkStart w:id="3" w:name="_Toc206737735"/>
      <w:r>
        <w:t>Information for Students</w:t>
      </w:r>
      <w:bookmarkEnd w:id="3"/>
    </w:p>
    <w:p w14:paraId="3405CDE8" w14:textId="77777777" w:rsidR="004A02D0" w:rsidRDefault="004A02D0" w:rsidP="004A02D0">
      <w:pPr>
        <w:rPr>
          <w:color w:val="2F5597"/>
          <w:sz w:val="28"/>
          <w:szCs w:val="28"/>
        </w:rPr>
      </w:pPr>
      <w:r>
        <w:rPr>
          <w:color w:val="2F5597"/>
          <w:sz w:val="28"/>
          <w:szCs w:val="28"/>
        </w:rPr>
        <w:t>Tensile Strength of Metals Analysis Assignment</w:t>
      </w:r>
    </w:p>
    <w:p w14:paraId="5DB8FE78" w14:textId="77777777" w:rsidR="004A02D0" w:rsidRDefault="004A02D0" w:rsidP="004A02D0">
      <w:pPr>
        <w:pStyle w:val="Heading2"/>
      </w:pPr>
      <w:bookmarkStart w:id="4" w:name="_Toc206737736"/>
      <w:r>
        <w:t>Overview</w:t>
      </w:r>
      <w:bookmarkEnd w:id="4"/>
    </w:p>
    <w:p w14:paraId="1D071C7C" w14:textId="77777777" w:rsidR="004A02D0" w:rsidRDefault="004A02D0" w:rsidP="004A02D0">
      <w:pPr>
        <w:contextualSpacing/>
        <w:rPr>
          <w:rFonts w:eastAsia="Calibri" w:cs="Calibri"/>
        </w:rPr>
      </w:pPr>
      <w:r>
        <w:rPr>
          <w:rFonts w:eastAsia="Calibri" w:cs="Calibri"/>
        </w:rPr>
        <w:t>In this assignment you will analyze a data set resulting from tensile strength testing of five metals. You will use your knowledge about yield strength, tensile strength and Young’s modulus. Using the dataset provided below, you will analyze mechanical properties and write a formal laboratory report.</w:t>
      </w:r>
    </w:p>
    <w:p w14:paraId="34DC8130" w14:textId="77777777" w:rsidR="004A02D0" w:rsidRDefault="004A02D0" w:rsidP="004A02D0">
      <w:pPr>
        <w:rPr>
          <w:rFonts w:eastAsia="Calibri" w:cs="Calibri"/>
        </w:rPr>
      </w:pPr>
    </w:p>
    <w:tbl>
      <w:tblPr>
        <w:tblStyle w:val="TableGrid10"/>
        <w:tblW w:w="0" w:type="auto"/>
        <w:tblInd w:w="720" w:type="dxa"/>
        <w:tblLook w:val="04A0" w:firstRow="1" w:lastRow="0" w:firstColumn="1" w:lastColumn="0" w:noHBand="0" w:noVBand="1"/>
      </w:tblPr>
      <w:tblGrid>
        <w:gridCol w:w="2160"/>
        <w:gridCol w:w="2160"/>
        <w:gridCol w:w="2160"/>
        <w:gridCol w:w="2160"/>
      </w:tblGrid>
      <w:tr w:rsidR="004A02D0" w14:paraId="379F481F"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0A54D480" w14:textId="77777777" w:rsidR="004A02D0" w:rsidRDefault="004A02D0">
            <w:pPr>
              <w:rPr>
                <w:rFonts w:eastAsia="Calibri" w:cs="Calibri"/>
              </w:rPr>
            </w:pPr>
            <w:r>
              <w:rPr>
                <w:rFonts w:eastAsia="Calibri" w:cs="Calibri"/>
              </w:rPr>
              <w:t>Metal</w:t>
            </w:r>
          </w:p>
        </w:tc>
        <w:tc>
          <w:tcPr>
            <w:tcW w:w="2160" w:type="dxa"/>
            <w:tcBorders>
              <w:top w:val="single" w:sz="4" w:space="0" w:color="auto"/>
              <w:left w:val="single" w:sz="4" w:space="0" w:color="auto"/>
              <w:bottom w:val="single" w:sz="4" w:space="0" w:color="auto"/>
              <w:right w:val="single" w:sz="4" w:space="0" w:color="auto"/>
            </w:tcBorders>
            <w:hideMark/>
          </w:tcPr>
          <w:p w14:paraId="7368DF9B" w14:textId="77777777" w:rsidR="004A02D0" w:rsidRDefault="004A02D0">
            <w:pPr>
              <w:rPr>
                <w:rFonts w:eastAsia="Calibri" w:cs="Calibri"/>
              </w:rPr>
            </w:pPr>
            <w:r>
              <w:rPr>
                <w:rFonts w:eastAsia="Calibri" w:cs="Calibri"/>
              </w:rPr>
              <w:t>Yield Strength (MPa)</w:t>
            </w:r>
          </w:p>
        </w:tc>
        <w:tc>
          <w:tcPr>
            <w:tcW w:w="2160" w:type="dxa"/>
            <w:tcBorders>
              <w:top w:val="single" w:sz="4" w:space="0" w:color="auto"/>
              <w:left w:val="single" w:sz="4" w:space="0" w:color="auto"/>
              <w:bottom w:val="single" w:sz="4" w:space="0" w:color="auto"/>
              <w:right w:val="single" w:sz="4" w:space="0" w:color="auto"/>
            </w:tcBorders>
            <w:hideMark/>
          </w:tcPr>
          <w:p w14:paraId="1957247D" w14:textId="77777777" w:rsidR="004A02D0" w:rsidRDefault="004A02D0">
            <w:pPr>
              <w:rPr>
                <w:rFonts w:eastAsia="Calibri" w:cs="Calibri"/>
              </w:rPr>
            </w:pPr>
            <w:r>
              <w:rPr>
                <w:rFonts w:eastAsia="Calibri" w:cs="Calibri"/>
              </w:rPr>
              <w:t>Ultimate Tensile Strength (MPa)</w:t>
            </w:r>
          </w:p>
        </w:tc>
        <w:tc>
          <w:tcPr>
            <w:tcW w:w="2160" w:type="dxa"/>
            <w:tcBorders>
              <w:top w:val="single" w:sz="4" w:space="0" w:color="auto"/>
              <w:left w:val="single" w:sz="4" w:space="0" w:color="auto"/>
              <w:bottom w:val="single" w:sz="4" w:space="0" w:color="auto"/>
              <w:right w:val="single" w:sz="4" w:space="0" w:color="auto"/>
            </w:tcBorders>
            <w:hideMark/>
          </w:tcPr>
          <w:p w14:paraId="3F1F8788" w14:textId="77777777" w:rsidR="004A02D0" w:rsidRDefault="004A02D0">
            <w:pPr>
              <w:rPr>
                <w:rFonts w:eastAsia="Calibri" w:cs="Calibri"/>
              </w:rPr>
            </w:pPr>
            <w:r>
              <w:rPr>
                <w:rFonts w:eastAsia="Calibri" w:cs="Calibri"/>
              </w:rPr>
              <w:t>Young’s Modulus (</w:t>
            </w:r>
            <w:proofErr w:type="spellStart"/>
            <w:r>
              <w:rPr>
                <w:rFonts w:eastAsia="Calibri" w:cs="Calibri"/>
              </w:rPr>
              <w:t>GPa</w:t>
            </w:r>
            <w:proofErr w:type="spellEnd"/>
            <w:r>
              <w:rPr>
                <w:rFonts w:eastAsia="Calibri" w:cs="Calibri"/>
              </w:rPr>
              <w:t>)</w:t>
            </w:r>
          </w:p>
        </w:tc>
      </w:tr>
      <w:tr w:rsidR="004A02D0" w14:paraId="7FC1A945"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749E8D53" w14:textId="77777777" w:rsidR="004A02D0" w:rsidRDefault="004A02D0">
            <w:pPr>
              <w:rPr>
                <w:rFonts w:eastAsia="Calibri" w:cs="Calibri"/>
              </w:rPr>
            </w:pPr>
            <w:r>
              <w:rPr>
                <w:rFonts w:eastAsia="Calibri" w:cs="Calibri"/>
              </w:rPr>
              <w:t>Aluminum 6061-T6</w:t>
            </w:r>
          </w:p>
        </w:tc>
        <w:tc>
          <w:tcPr>
            <w:tcW w:w="2160" w:type="dxa"/>
            <w:tcBorders>
              <w:top w:val="single" w:sz="4" w:space="0" w:color="auto"/>
              <w:left w:val="single" w:sz="4" w:space="0" w:color="auto"/>
              <w:bottom w:val="single" w:sz="4" w:space="0" w:color="auto"/>
              <w:right w:val="single" w:sz="4" w:space="0" w:color="auto"/>
            </w:tcBorders>
            <w:hideMark/>
          </w:tcPr>
          <w:p w14:paraId="01A08E9C" w14:textId="77777777" w:rsidR="004A02D0" w:rsidRDefault="004A02D0">
            <w:pPr>
              <w:rPr>
                <w:rFonts w:eastAsia="Calibri" w:cs="Calibri"/>
              </w:rPr>
            </w:pPr>
            <w:r>
              <w:rPr>
                <w:rFonts w:eastAsia="Calibri" w:cs="Calibri"/>
              </w:rPr>
              <w:t>276</w:t>
            </w:r>
          </w:p>
        </w:tc>
        <w:tc>
          <w:tcPr>
            <w:tcW w:w="2160" w:type="dxa"/>
            <w:tcBorders>
              <w:top w:val="single" w:sz="4" w:space="0" w:color="auto"/>
              <w:left w:val="single" w:sz="4" w:space="0" w:color="auto"/>
              <w:bottom w:val="single" w:sz="4" w:space="0" w:color="auto"/>
              <w:right w:val="single" w:sz="4" w:space="0" w:color="auto"/>
            </w:tcBorders>
            <w:hideMark/>
          </w:tcPr>
          <w:p w14:paraId="078BA80E" w14:textId="77777777" w:rsidR="004A02D0" w:rsidRDefault="004A02D0">
            <w:pPr>
              <w:rPr>
                <w:rFonts w:eastAsia="Calibri" w:cs="Calibri"/>
              </w:rPr>
            </w:pPr>
            <w:r>
              <w:rPr>
                <w:rFonts w:eastAsia="Calibri" w:cs="Calibri"/>
              </w:rPr>
              <w:t>310</w:t>
            </w:r>
          </w:p>
        </w:tc>
        <w:tc>
          <w:tcPr>
            <w:tcW w:w="2160" w:type="dxa"/>
            <w:tcBorders>
              <w:top w:val="single" w:sz="4" w:space="0" w:color="auto"/>
              <w:left w:val="single" w:sz="4" w:space="0" w:color="auto"/>
              <w:bottom w:val="single" w:sz="4" w:space="0" w:color="auto"/>
              <w:right w:val="single" w:sz="4" w:space="0" w:color="auto"/>
            </w:tcBorders>
            <w:hideMark/>
          </w:tcPr>
          <w:p w14:paraId="13BAC91A" w14:textId="77777777" w:rsidR="004A02D0" w:rsidRDefault="004A02D0">
            <w:pPr>
              <w:rPr>
                <w:rFonts w:eastAsia="Calibri" w:cs="Calibri"/>
              </w:rPr>
            </w:pPr>
            <w:r>
              <w:rPr>
                <w:rFonts w:eastAsia="Calibri" w:cs="Calibri"/>
              </w:rPr>
              <w:t>69</w:t>
            </w:r>
          </w:p>
        </w:tc>
      </w:tr>
      <w:tr w:rsidR="004A02D0" w14:paraId="302738EB"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4387B4D0" w14:textId="77777777" w:rsidR="004A02D0" w:rsidRDefault="004A02D0">
            <w:pPr>
              <w:rPr>
                <w:rFonts w:eastAsia="Calibri" w:cs="Calibri"/>
              </w:rPr>
            </w:pPr>
            <w:r>
              <w:rPr>
                <w:rFonts w:eastAsia="Calibri" w:cs="Calibri"/>
              </w:rPr>
              <w:t>Mild Steel</w:t>
            </w:r>
          </w:p>
        </w:tc>
        <w:tc>
          <w:tcPr>
            <w:tcW w:w="2160" w:type="dxa"/>
            <w:tcBorders>
              <w:top w:val="single" w:sz="4" w:space="0" w:color="auto"/>
              <w:left w:val="single" w:sz="4" w:space="0" w:color="auto"/>
              <w:bottom w:val="single" w:sz="4" w:space="0" w:color="auto"/>
              <w:right w:val="single" w:sz="4" w:space="0" w:color="auto"/>
            </w:tcBorders>
            <w:hideMark/>
          </w:tcPr>
          <w:p w14:paraId="483071A5" w14:textId="77777777" w:rsidR="004A02D0" w:rsidRDefault="004A02D0">
            <w:pPr>
              <w:rPr>
                <w:rFonts w:eastAsia="Calibri" w:cs="Calibri"/>
              </w:rPr>
            </w:pPr>
            <w:r>
              <w:rPr>
                <w:rFonts w:eastAsia="Calibri" w:cs="Calibri"/>
              </w:rPr>
              <w:t>250</w:t>
            </w:r>
          </w:p>
        </w:tc>
        <w:tc>
          <w:tcPr>
            <w:tcW w:w="2160" w:type="dxa"/>
            <w:tcBorders>
              <w:top w:val="single" w:sz="4" w:space="0" w:color="auto"/>
              <w:left w:val="single" w:sz="4" w:space="0" w:color="auto"/>
              <w:bottom w:val="single" w:sz="4" w:space="0" w:color="auto"/>
              <w:right w:val="single" w:sz="4" w:space="0" w:color="auto"/>
            </w:tcBorders>
            <w:hideMark/>
          </w:tcPr>
          <w:p w14:paraId="058497DE" w14:textId="77777777" w:rsidR="004A02D0" w:rsidRDefault="004A02D0">
            <w:pPr>
              <w:rPr>
                <w:rFonts w:eastAsia="Calibri" w:cs="Calibri"/>
              </w:rPr>
            </w:pPr>
            <w:r>
              <w:rPr>
                <w:rFonts w:eastAsia="Calibri" w:cs="Calibri"/>
              </w:rPr>
              <w:t>400</w:t>
            </w:r>
          </w:p>
        </w:tc>
        <w:tc>
          <w:tcPr>
            <w:tcW w:w="2160" w:type="dxa"/>
            <w:tcBorders>
              <w:top w:val="single" w:sz="4" w:space="0" w:color="auto"/>
              <w:left w:val="single" w:sz="4" w:space="0" w:color="auto"/>
              <w:bottom w:val="single" w:sz="4" w:space="0" w:color="auto"/>
              <w:right w:val="single" w:sz="4" w:space="0" w:color="auto"/>
            </w:tcBorders>
            <w:hideMark/>
          </w:tcPr>
          <w:p w14:paraId="4AC2D9B8" w14:textId="77777777" w:rsidR="004A02D0" w:rsidRDefault="004A02D0">
            <w:pPr>
              <w:rPr>
                <w:rFonts w:eastAsia="Calibri" w:cs="Calibri"/>
              </w:rPr>
            </w:pPr>
            <w:r>
              <w:rPr>
                <w:rFonts w:eastAsia="Calibri" w:cs="Calibri"/>
              </w:rPr>
              <w:t>200</w:t>
            </w:r>
          </w:p>
        </w:tc>
      </w:tr>
      <w:tr w:rsidR="004A02D0" w14:paraId="4325B3F7"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6BBF5760" w14:textId="77777777" w:rsidR="004A02D0" w:rsidRDefault="004A02D0">
            <w:pPr>
              <w:rPr>
                <w:rFonts w:eastAsia="Calibri" w:cs="Calibri"/>
              </w:rPr>
            </w:pPr>
            <w:r>
              <w:rPr>
                <w:rFonts w:eastAsia="Calibri" w:cs="Calibri"/>
              </w:rPr>
              <w:t>Brass</w:t>
            </w:r>
          </w:p>
        </w:tc>
        <w:tc>
          <w:tcPr>
            <w:tcW w:w="2160" w:type="dxa"/>
            <w:tcBorders>
              <w:top w:val="single" w:sz="4" w:space="0" w:color="auto"/>
              <w:left w:val="single" w:sz="4" w:space="0" w:color="auto"/>
              <w:bottom w:val="single" w:sz="4" w:space="0" w:color="auto"/>
              <w:right w:val="single" w:sz="4" w:space="0" w:color="auto"/>
            </w:tcBorders>
            <w:hideMark/>
          </w:tcPr>
          <w:p w14:paraId="2687ED12" w14:textId="77777777" w:rsidR="004A02D0" w:rsidRDefault="004A02D0">
            <w:pPr>
              <w:rPr>
                <w:rFonts w:eastAsia="Calibri" w:cs="Calibri"/>
              </w:rPr>
            </w:pPr>
            <w:r>
              <w:rPr>
                <w:rFonts w:eastAsia="Calibri" w:cs="Calibri"/>
              </w:rPr>
              <w:t>200</w:t>
            </w:r>
          </w:p>
        </w:tc>
        <w:tc>
          <w:tcPr>
            <w:tcW w:w="2160" w:type="dxa"/>
            <w:tcBorders>
              <w:top w:val="single" w:sz="4" w:space="0" w:color="auto"/>
              <w:left w:val="single" w:sz="4" w:space="0" w:color="auto"/>
              <w:bottom w:val="single" w:sz="4" w:space="0" w:color="auto"/>
              <w:right w:val="single" w:sz="4" w:space="0" w:color="auto"/>
            </w:tcBorders>
            <w:hideMark/>
          </w:tcPr>
          <w:p w14:paraId="479E944B" w14:textId="77777777" w:rsidR="004A02D0" w:rsidRDefault="004A02D0">
            <w:pPr>
              <w:rPr>
                <w:rFonts w:eastAsia="Calibri" w:cs="Calibri"/>
              </w:rPr>
            </w:pPr>
            <w:r>
              <w:rPr>
                <w:rFonts w:eastAsia="Calibri" w:cs="Calibri"/>
              </w:rPr>
              <w:t>350</w:t>
            </w:r>
          </w:p>
        </w:tc>
        <w:tc>
          <w:tcPr>
            <w:tcW w:w="2160" w:type="dxa"/>
            <w:tcBorders>
              <w:top w:val="single" w:sz="4" w:space="0" w:color="auto"/>
              <w:left w:val="single" w:sz="4" w:space="0" w:color="auto"/>
              <w:bottom w:val="single" w:sz="4" w:space="0" w:color="auto"/>
              <w:right w:val="single" w:sz="4" w:space="0" w:color="auto"/>
            </w:tcBorders>
            <w:hideMark/>
          </w:tcPr>
          <w:p w14:paraId="29ABE966" w14:textId="77777777" w:rsidR="004A02D0" w:rsidRDefault="004A02D0">
            <w:pPr>
              <w:rPr>
                <w:rFonts w:eastAsia="Calibri" w:cs="Calibri"/>
              </w:rPr>
            </w:pPr>
            <w:r>
              <w:rPr>
                <w:rFonts w:eastAsia="Calibri" w:cs="Calibri"/>
              </w:rPr>
              <w:t>100</w:t>
            </w:r>
          </w:p>
        </w:tc>
      </w:tr>
      <w:tr w:rsidR="004A02D0" w14:paraId="0E8C6AA4"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1875D044" w14:textId="77777777" w:rsidR="004A02D0" w:rsidRDefault="004A02D0">
            <w:pPr>
              <w:rPr>
                <w:rFonts w:eastAsia="Calibri" w:cs="Calibri"/>
              </w:rPr>
            </w:pPr>
            <w:r>
              <w:rPr>
                <w:rFonts w:eastAsia="Calibri" w:cs="Calibri"/>
              </w:rPr>
              <w:t>Copper</w:t>
            </w:r>
          </w:p>
        </w:tc>
        <w:tc>
          <w:tcPr>
            <w:tcW w:w="2160" w:type="dxa"/>
            <w:tcBorders>
              <w:top w:val="single" w:sz="4" w:space="0" w:color="auto"/>
              <w:left w:val="single" w:sz="4" w:space="0" w:color="auto"/>
              <w:bottom w:val="single" w:sz="4" w:space="0" w:color="auto"/>
              <w:right w:val="single" w:sz="4" w:space="0" w:color="auto"/>
            </w:tcBorders>
            <w:hideMark/>
          </w:tcPr>
          <w:p w14:paraId="7AC389C1" w14:textId="77777777" w:rsidR="004A02D0" w:rsidRDefault="004A02D0">
            <w:pPr>
              <w:rPr>
                <w:rFonts w:eastAsia="Calibri" w:cs="Calibri"/>
              </w:rPr>
            </w:pPr>
            <w:r>
              <w:rPr>
                <w:rFonts w:eastAsia="Calibri" w:cs="Calibri"/>
              </w:rPr>
              <w:t>70</w:t>
            </w:r>
          </w:p>
        </w:tc>
        <w:tc>
          <w:tcPr>
            <w:tcW w:w="2160" w:type="dxa"/>
            <w:tcBorders>
              <w:top w:val="single" w:sz="4" w:space="0" w:color="auto"/>
              <w:left w:val="single" w:sz="4" w:space="0" w:color="auto"/>
              <w:bottom w:val="single" w:sz="4" w:space="0" w:color="auto"/>
              <w:right w:val="single" w:sz="4" w:space="0" w:color="auto"/>
            </w:tcBorders>
            <w:hideMark/>
          </w:tcPr>
          <w:p w14:paraId="3A88B523" w14:textId="77777777" w:rsidR="004A02D0" w:rsidRDefault="004A02D0">
            <w:pPr>
              <w:rPr>
                <w:rFonts w:eastAsia="Calibri" w:cs="Calibri"/>
              </w:rPr>
            </w:pPr>
            <w:r>
              <w:rPr>
                <w:rFonts w:eastAsia="Calibri" w:cs="Calibri"/>
              </w:rPr>
              <w:t>210</w:t>
            </w:r>
          </w:p>
        </w:tc>
        <w:tc>
          <w:tcPr>
            <w:tcW w:w="2160" w:type="dxa"/>
            <w:tcBorders>
              <w:top w:val="single" w:sz="4" w:space="0" w:color="auto"/>
              <w:left w:val="single" w:sz="4" w:space="0" w:color="auto"/>
              <w:bottom w:val="single" w:sz="4" w:space="0" w:color="auto"/>
              <w:right w:val="single" w:sz="4" w:space="0" w:color="auto"/>
            </w:tcBorders>
            <w:hideMark/>
          </w:tcPr>
          <w:p w14:paraId="2999DBA7" w14:textId="77777777" w:rsidR="004A02D0" w:rsidRDefault="004A02D0">
            <w:pPr>
              <w:rPr>
                <w:rFonts w:eastAsia="Calibri" w:cs="Calibri"/>
              </w:rPr>
            </w:pPr>
            <w:r>
              <w:rPr>
                <w:rFonts w:eastAsia="Calibri" w:cs="Calibri"/>
              </w:rPr>
              <w:t>110</w:t>
            </w:r>
          </w:p>
        </w:tc>
      </w:tr>
      <w:tr w:rsidR="004A02D0" w14:paraId="61A7AB96"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3BE3C84E" w14:textId="77777777" w:rsidR="004A02D0" w:rsidRDefault="004A02D0">
            <w:pPr>
              <w:rPr>
                <w:rFonts w:eastAsia="Calibri" w:cs="Calibri"/>
              </w:rPr>
            </w:pPr>
            <w:r>
              <w:rPr>
                <w:rFonts w:eastAsia="Calibri" w:cs="Calibri"/>
              </w:rPr>
              <w:t>Stainless Steel 304</w:t>
            </w:r>
          </w:p>
        </w:tc>
        <w:tc>
          <w:tcPr>
            <w:tcW w:w="2160" w:type="dxa"/>
            <w:tcBorders>
              <w:top w:val="single" w:sz="4" w:space="0" w:color="auto"/>
              <w:left w:val="single" w:sz="4" w:space="0" w:color="auto"/>
              <w:bottom w:val="single" w:sz="4" w:space="0" w:color="auto"/>
              <w:right w:val="single" w:sz="4" w:space="0" w:color="auto"/>
            </w:tcBorders>
            <w:hideMark/>
          </w:tcPr>
          <w:p w14:paraId="2C88310D" w14:textId="77777777" w:rsidR="004A02D0" w:rsidRDefault="004A02D0">
            <w:pPr>
              <w:rPr>
                <w:rFonts w:eastAsia="Calibri" w:cs="Calibri"/>
              </w:rPr>
            </w:pPr>
            <w:r>
              <w:rPr>
                <w:rFonts w:eastAsia="Calibri" w:cs="Calibri"/>
              </w:rPr>
              <w:t>290</w:t>
            </w:r>
          </w:p>
        </w:tc>
        <w:tc>
          <w:tcPr>
            <w:tcW w:w="2160" w:type="dxa"/>
            <w:tcBorders>
              <w:top w:val="single" w:sz="4" w:space="0" w:color="auto"/>
              <w:left w:val="single" w:sz="4" w:space="0" w:color="auto"/>
              <w:bottom w:val="single" w:sz="4" w:space="0" w:color="auto"/>
              <w:right w:val="single" w:sz="4" w:space="0" w:color="auto"/>
            </w:tcBorders>
            <w:hideMark/>
          </w:tcPr>
          <w:p w14:paraId="7FCE9BF5" w14:textId="77777777" w:rsidR="004A02D0" w:rsidRDefault="004A02D0">
            <w:pPr>
              <w:rPr>
                <w:rFonts w:eastAsia="Calibri" w:cs="Calibri"/>
              </w:rPr>
            </w:pPr>
            <w:r>
              <w:rPr>
                <w:rFonts w:eastAsia="Calibri" w:cs="Calibri"/>
              </w:rPr>
              <w:t>620</w:t>
            </w:r>
          </w:p>
        </w:tc>
        <w:tc>
          <w:tcPr>
            <w:tcW w:w="2160" w:type="dxa"/>
            <w:tcBorders>
              <w:top w:val="single" w:sz="4" w:space="0" w:color="auto"/>
              <w:left w:val="single" w:sz="4" w:space="0" w:color="auto"/>
              <w:bottom w:val="single" w:sz="4" w:space="0" w:color="auto"/>
              <w:right w:val="single" w:sz="4" w:space="0" w:color="auto"/>
            </w:tcBorders>
            <w:hideMark/>
          </w:tcPr>
          <w:p w14:paraId="3441F6D9" w14:textId="77777777" w:rsidR="004A02D0" w:rsidRDefault="004A02D0">
            <w:pPr>
              <w:rPr>
                <w:rFonts w:eastAsia="Calibri" w:cs="Calibri"/>
              </w:rPr>
            </w:pPr>
            <w:r>
              <w:rPr>
                <w:rFonts w:eastAsia="Calibri" w:cs="Calibri"/>
              </w:rPr>
              <w:t>193</w:t>
            </w:r>
          </w:p>
        </w:tc>
      </w:tr>
    </w:tbl>
    <w:p w14:paraId="786E81A4" w14:textId="77777777" w:rsidR="004A02D0" w:rsidRDefault="004A02D0" w:rsidP="004A02D0">
      <w:pPr>
        <w:rPr>
          <w:rFonts w:eastAsia="Calibri" w:cs="Calibri"/>
        </w:rPr>
      </w:pPr>
    </w:p>
    <w:p w14:paraId="42705CDA" w14:textId="77777777" w:rsidR="004A02D0" w:rsidRDefault="004A02D0" w:rsidP="004A02D0">
      <w:pPr>
        <w:rPr>
          <w:rFonts w:eastAsia="Calibri" w:cs="Calibri"/>
        </w:rPr>
      </w:pPr>
      <w:r>
        <w:rPr>
          <w:rFonts w:eastAsia="Calibri" w:cs="Calibri"/>
        </w:rPr>
        <w:t>As you work on this assignment, you will:</w:t>
      </w:r>
    </w:p>
    <w:p w14:paraId="6BA6DCCD" w14:textId="77777777" w:rsidR="004A02D0" w:rsidRDefault="004A02D0" w:rsidP="004A02D0">
      <w:pPr>
        <w:numPr>
          <w:ilvl w:val="0"/>
          <w:numId w:val="1"/>
        </w:numPr>
        <w:rPr>
          <w:rFonts w:eastAsia="Calibri" w:cs="Calibri"/>
        </w:rPr>
      </w:pPr>
      <w:r>
        <w:rPr>
          <w:rFonts w:eastAsia="Calibri" w:cs="Calibri"/>
        </w:rPr>
        <w:t>Interpret stress-strain data.</w:t>
      </w:r>
    </w:p>
    <w:p w14:paraId="7B719ADB" w14:textId="77777777" w:rsidR="004A02D0" w:rsidRDefault="004A02D0" w:rsidP="004A02D0">
      <w:pPr>
        <w:numPr>
          <w:ilvl w:val="0"/>
          <w:numId w:val="1"/>
        </w:numPr>
        <w:rPr>
          <w:rFonts w:eastAsia="Calibri" w:cs="Calibri"/>
        </w:rPr>
      </w:pPr>
      <w:r>
        <w:rPr>
          <w:rFonts w:eastAsia="Calibri" w:cs="Calibri"/>
        </w:rPr>
        <w:t>Calculate mechanical properties (e.g., yield strength, tensile strength, Young’s modulus).</w:t>
      </w:r>
    </w:p>
    <w:p w14:paraId="504EC376" w14:textId="77777777" w:rsidR="004A02D0" w:rsidRDefault="004A02D0" w:rsidP="004A02D0">
      <w:pPr>
        <w:numPr>
          <w:ilvl w:val="0"/>
          <w:numId w:val="1"/>
        </w:numPr>
        <w:rPr>
          <w:rFonts w:eastAsia="Calibri" w:cs="Calibri"/>
        </w:rPr>
      </w:pPr>
      <w:r>
        <w:rPr>
          <w:rFonts w:eastAsia="Calibri" w:cs="Calibri"/>
        </w:rPr>
        <w:t>Compare materials based on performance.</w:t>
      </w:r>
    </w:p>
    <w:p w14:paraId="78AD621A" w14:textId="77777777" w:rsidR="004A02D0" w:rsidRDefault="004A02D0" w:rsidP="004A02D0">
      <w:pPr>
        <w:numPr>
          <w:ilvl w:val="0"/>
          <w:numId w:val="1"/>
        </w:numPr>
        <w:rPr>
          <w:rFonts w:eastAsia="Calibri" w:cs="Calibri"/>
        </w:rPr>
      </w:pPr>
      <w:r>
        <w:rPr>
          <w:rFonts w:eastAsia="Calibri" w:cs="Calibri"/>
        </w:rPr>
        <w:t>Draw reasoned engineering conclusions.</w:t>
      </w:r>
    </w:p>
    <w:p w14:paraId="2E99704A" w14:textId="77777777" w:rsidR="004A02D0" w:rsidRDefault="004A02D0" w:rsidP="004A02D0">
      <w:pPr>
        <w:numPr>
          <w:ilvl w:val="0"/>
          <w:numId w:val="1"/>
        </w:numPr>
        <w:rPr>
          <w:rFonts w:eastAsia="Calibri" w:cs="Calibri"/>
        </w:rPr>
      </w:pPr>
      <w:r>
        <w:rPr>
          <w:rFonts w:eastAsia="Calibri" w:cs="Calibri"/>
        </w:rPr>
        <w:t>Communicate findings clearly and professionally in a written lab report.</w:t>
      </w:r>
    </w:p>
    <w:p w14:paraId="4F758FA3" w14:textId="77777777" w:rsidR="004A02D0" w:rsidRDefault="004A02D0" w:rsidP="004A02D0">
      <w:pPr>
        <w:rPr>
          <w:rFonts w:eastAsia="Calibri" w:cs="Times New Roman"/>
        </w:rPr>
      </w:pPr>
    </w:p>
    <w:p w14:paraId="6C14485D" w14:textId="77777777" w:rsidR="004A02D0" w:rsidRDefault="004A02D0" w:rsidP="004A02D0">
      <w:pPr>
        <w:pStyle w:val="Heading1"/>
      </w:pPr>
      <w:bookmarkStart w:id="5" w:name="_Toc206737737"/>
      <w:r>
        <w:t>Assignment Format &amp; Guidelines</w:t>
      </w:r>
      <w:bookmarkEnd w:id="5"/>
    </w:p>
    <w:p w14:paraId="6129040E" w14:textId="77777777" w:rsidR="004A02D0" w:rsidRDefault="004A02D0" w:rsidP="004A02D0">
      <w:pPr>
        <w:rPr>
          <w:rFonts w:eastAsia="Calibri" w:cs="Calibri"/>
        </w:rPr>
      </w:pPr>
      <w:r>
        <w:rPr>
          <w:rFonts w:eastAsia="Calibri" w:cs="Calibri"/>
        </w:rPr>
        <w:t xml:space="preserve">Your report will: </w:t>
      </w:r>
    </w:p>
    <w:p w14:paraId="7D8D790E" w14:textId="77777777" w:rsidR="004A02D0" w:rsidRDefault="004A02D0" w:rsidP="004A02D0">
      <w:pPr>
        <w:numPr>
          <w:ilvl w:val="0"/>
          <w:numId w:val="2"/>
        </w:numPr>
        <w:rPr>
          <w:rFonts w:eastAsia="Calibri" w:cs="Calibri"/>
        </w:rPr>
      </w:pPr>
      <w:r>
        <w:rPr>
          <w:rFonts w:eastAsia="Calibri" w:cs="Calibri"/>
        </w:rPr>
        <w:t>Be 3-4 pages in length, typed, double spaced, using 12-point font.</w:t>
      </w:r>
    </w:p>
    <w:p w14:paraId="376A0479" w14:textId="77777777" w:rsidR="004A02D0" w:rsidRDefault="004A02D0" w:rsidP="004A02D0">
      <w:pPr>
        <w:numPr>
          <w:ilvl w:val="0"/>
          <w:numId w:val="2"/>
        </w:numPr>
        <w:rPr>
          <w:rFonts w:eastAsia="Calibri" w:cs="Calibri"/>
        </w:rPr>
      </w:pPr>
      <w:r>
        <w:rPr>
          <w:rFonts w:eastAsia="Calibri" w:cs="Calibri"/>
        </w:rPr>
        <w:t xml:space="preserve">Include the following sections: </w:t>
      </w:r>
    </w:p>
    <w:p w14:paraId="793A6F7E" w14:textId="77777777" w:rsidR="004A02D0" w:rsidRDefault="004A02D0" w:rsidP="004A02D0">
      <w:pPr>
        <w:numPr>
          <w:ilvl w:val="1"/>
          <w:numId w:val="2"/>
        </w:numPr>
        <w:rPr>
          <w:rFonts w:eastAsia="Calibri" w:cs="Calibri"/>
        </w:rPr>
      </w:pPr>
      <w:r>
        <w:rPr>
          <w:rFonts w:eastAsia="Calibri" w:cs="Calibri"/>
        </w:rPr>
        <w:t>Introduction</w:t>
      </w:r>
    </w:p>
    <w:p w14:paraId="51D4374C" w14:textId="77777777" w:rsidR="004A02D0" w:rsidRDefault="004A02D0" w:rsidP="004A02D0">
      <w:pPr>
        <w:numPr>
          <w:ilvl w:val="1"/>
          <w:numId w:val="2"/>
        </w:numPr>
        <w:rPr>
          <w:rFonts w:eastAsia="Calibri" w:cs="Calibri"/>
        </w:rPr>
      </w:pPr>
      <w:r>
        <w:rPr>
          <w:rFonts w:eastAsia="Calibri" w:cs="Calibri"/>
        </w:rPr>
        <w:t>Methodology- description of the methods used</w:t>
      </w:r>
    </w:p>
    <w:p w14:paraId="555A48A2" w14:textId="77777777" w:rsidR="004A02D0" w:rsidRDefault="004A02D0" w:rsidP="004A02D0">
      <w:pPr>
        <w:numPr>
          <w:ilvl w:val="1"/>
          <w:numId w:val="2"/>
        </w:numPr>
        <w:rPr>
          <w:rFonts w:eastAsia="Calibri" w:cs="Calibri"/>
        </w:rPr>
      </w:pPr>
      <w:r>
        <w:rPr>
          <w:rFonts w:eastAsia="Calibri" w:cs="Calibri"/>
        </w:rPr>
        <w:t xml:space="preserve">Data analysis, including a graph of the results </w:t>
      </w:r>
    </w:p>
    <w:p w14:paraId="03A14985" w14:textId="77777777" w:rsidR="004A02D0" w:rsidRDefault="004A02D0" w:rsidP="004A02D0">
      <w:pPr>
        <w:numPr>
          <w:ilvl w:val="1"/>
          <w:numId w:val="2"/>
        </w:numPr>
        <w:rPr>
          <w:rFonts w:eastAsia="Calibri" w:cs="Calibri"/>
        </w:rPr>
      </w:pPr>
      <w:r>
        <w:rPr>
          <w:rFonts w:eastAsia="Calibri" w:cs="Calibri"/>
        </w:rPr>
        <w:lastRenderedPageBreak/>
        <w:t>Discussion</w:t>
      </w:r>
    </w:p>
    <w:p w14:paraId="5D8E1E8C" w14:textId="77777777" w:rsidR="004A02D0" w:rsidRDefault="004A02D0" w:rsidP="004A02D0">
      <w:pPr>
        <w:numPr>
          <w:ilvl w:val="1"/>
          <w:numId w:val="2"/>
        </w:numPr>
        <w:rPr>
          <w:rFonts w:eastAsia="Calibri" w:cs="Calibri"/>
        </w:rPr>
      </w:pPr>
      <w:r>
        <w:rPr>
          <w:rFonts w:eastAsia="Calibri" w:cs="Calibri"/>
        </w:rPr>
        <w:t>Conclusion</w:t>
      </w:r>
    </w:p>
    <w:p w14:paraId="3036D9A5" w14:textId="77777777" w:rsidR="004A02D0" w:rsidRDefault="004A02D0" w:rsidP="004A02D0">
      <w:pPr>
        <w:numPr>
          <w:ilvl w:val="1"/>
          <w:numId w:val="2"/>
        </w:numPr>
        <w:rPr>
          <w:rFonts w:eastAsia="Calibri" w:cs="Calibri"/>
        </w:rPr>
      </w:pPr>
      <w:r>
        <w:rPr>
          <w:rFonts w:eastAsia="Calibri" w:cs="Calibri"/>
        </w:rPr>
        <w:t>References</w:t>
      </w:r>
    </w:p>
    <w:p w14:paraId="4348614A" w14:textId="77777777" w:rsidR="004A02D0" w:rsidRDefault="004A02D0" w:rsidP="004A02D0"/>
    <w:p w14:paraId="4AC91F43" w14:textId="77777777" w:rsidR="004A02D0" w:rsidRDefault="004A02D0" w:rsidP="004A02D0">
      <w:pPr>
        <w:pStyle w:val="Heading1"/>
      </w:pPr>
      <w:bookmarkStart w:id="6" w:name="_Toc206737738"/>
      <w:r>
        <w:t>Assessment Criteria</w:t>
      </w:r>
      <w:bookmarkEnd w:id="6"/>
    </w:p>
    <w:p w14:paraId="20C11CD7" w14:textId="77777777" w:rsidR="004A02D0" w:rsidRDefault="004A02D0" w:rsidP="004A02D0">
      <w:pPr>
        <w:rPr>
          <w:rFonts w:eastAsia="Calibri" w:cs="Calibri"/>
        </w:rPr>
      </w:pPr>
      <w:r>
        <w:rPr>
          <w:rFonts w:eastAsia="Calibri" w:cs="Calibri"/>
        </w:rPr>
        <w:t>Your assignment will be graded on your:</w:t>
      </w:r>
    </w:p>
    <w:p w14:paraId="2B7C333B" w14:textId="77777777" w:rsidR="004A02D0" w:rsidRDefault="004A02D0" w:rsidP="004A02D0">
      <w:pPr>
        <w:numPr>
          <w:ilvl w:val="0"/>
          <w:numId w:val="3"/>
        </w:numPr>
        <w:rPr>
          <w:rFonts w:eastAsia="Calibri" w:cs="Calibri"/>
        </w:rPr>
      </w:pPr>
      <w:r>
        <w:rPr>
          <w:rFonts w:eastAsia="Calibri" w:cs="Calibri"/>
        </w:rPr>
        <w:t>Accuracy and completeness of data analysis.</w:t>
      </w:r>
    </w:p>
    <w:p w14:paraId="56C63114" w14:textId="77777777" w:rsidR="004A02D0" w:rsidRDefault="004A02D0" w:rsidP="004A02D0">
      <w:pPr>
        <w:numPr>
          <w:ilvl w:val="0"/>
          <w:numId w:val="3"/>
        </w:numPr>
        <w:rPr>
          <w:rFonts w:eastAsia="Calibri" w:cs="Calibri"/>
        </w:rPr>
      </w:pPr>
      <w:r>
        <w:rPr>
          <w:rFonts w:eastAsia="Calibri" w:cs="Calibri"/>
        </w:rPr>
        <w:t>Interpretation and comparison of material properties.</w:t>
      </w:r>
    </w:p>
    <w:p w14:paraId="0C55B385" w14:textId="77777777" w:rsidR="004A02D0" w:rsidRDefault="004A02D0" w:rsidP="004A02D0">
      <w:pPr>
        <w:numPr>
          <w:ilvl w:val="0"/>
          <w:numId w:val="3"/>
        </w:numPr>
        <w:rPr>
          <w:rFonts w:eastAsia="Calibri" w:cs="Calibri"/>
        </w:rPr>
      </w:pPr>
      <w:r>
        <w:rPr>
          <w:rFonts w:eastAsia="Calibri" w:cs="Calibri"/>
        </w:rPr>
        <w:t>Quality of graphs and tables.</w:t>
      </w:r>
    </w:p>
    <w:p w14:paraId="4ED4B455" w14:textId="77777777" w:rsidR="004A02D0" w:rsidRDefault="004A02D0" w:rsidP="004A02D0">
      <w:pPr>
        <w:numPr>
          <w:ilvl w:val="0"/>
          <w:numId w:val="3"/>
        </w:numPr>
        <w:rPr>
          <w:rFonts w:eastAsia="Calibri" w:cs="Calibri"/>
        </w:rPr>
      </w:pPr>
      <w:r>
        <w:rPr>
          <w:rFonts w:eastAsia="Calibri" w:cs="Calibri"/>
        </w:rPr>
        <w:t>Organization, clarity, and professional tone of the report.</w:t>
      </w:r>
    </w:p>
    <w:p w14:paraId="5116F180" w14:textId="77777777" w:rsidR="004A02D0" w:rsidRDefault="004A02D0" w:rsidP="004A02D0">
      <w:pPr>
        <w:numPr>
          <w:ilvl w:val="0"/>
          <w:numId w:val="3"/>
        </w:numPr>
        <w:rPr>
          <w:rFonts w:eastAsia="Calibri" w:cs="Calibri"/>
        </w:rPr>
      </w:pPr>
      <w:r>
        <w:rPr>
          <w:rFonts w:eastAsia="Calibri" w:cs="Calibri"/>
        </w:rPr>
        <w:t>Use of engineering terminology and concepts.</w:t>
      </w:r>
    </w:p>
    <w:p w14:paraId="783BA66B" w14:textId="77777777" w:rsidR="004A02D0" w:rsidRDefault="004A02D0" w:rsidP="004A02D0"/>
    <w:tbl>
      <w:tblPr>
        <w:tblW w:w="0" w:type="auto"/>
        <w:tblLayout w:type="fixed"/>
        <w:tblLook w:val="04A0" w:firstRow="1" w:lastRow="0" w:firstColumn="1" w:lastColumn="0" w:noHBand="0" w:noVBand="1"/>
      </w:tblPr>
      <w:tblGrid>
        <w:gridCol w:w="1818"/>
        <w:gridCol w:w="2070"/>
        <w:gridCol w:w="1890"/>
        <w:gridCol w:w="2160"/>
        <w:gridCol w:w="2070"/>
      </w:tblGrid>
      <w:tr w:rsidR="006C2C68" w14:paraId="0C4A2021" w14:textId="77777777" w:rsidTr="00694868">
        <w:tc>
          <w:tcPr>
            <w:tcW w:w="10008" w:type="dxa"/>
            <w:gridSpan w:val="5"/>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49E90AA4" w14:textId="77777777" w:rsidR="006C2C68" w:rsidRDefault="006C2C68" w:rsidP="00694868">
            <w:pPr>
              <w:contextualSpacing/>
              <w:jc w:val="center"/>
            </w:pPr>
            <w:r>
              <w:rPr>
                <w:b/>
                <w:color w:val="FFFFFF"/>
                <w:sz w:val="28"/>
              </w:rPr>
              <w:t>Tensile Strength of Metals Assignment Grading Rubric</w:t>
            </w:r>
          </w:p>
        </w:tc>
      </w:tr>
      <w:tr w:rsidR="006C2C68" w14:paraId="093FDC24" w14:textId="77777777" w:rsidTr="00694868">
        <w:trPr>
          <w:trHeight w:val="692"/>
        </w:trPr>
        <w:tc>
          <w:tcPr>
            <w:tcW w:w="181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12BF50B5" w14:textId="77777777" w:rsidR="006C2C68" w:rsidRDefault="006C2C68" w:rsidP="00694868">
            <w:pPr>
              <w:contextualSpacing/>
              <w:jc w:val="center"/>
            </w:pPr>
            <w:r>
              <w:rPr>
                <w:b/>
                <w:color w:val="FFFFFF"/>
              </w:rPr>
              <w:t>Criteria</w:t>
            </w:r>
          </w:p>
        </w:tc>
        <w:tc>
          <w:tcPr>
            <w:tcW w:w="20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5087E481" w14:textId="77777777" w:rsidR="006C2C68" w:rsidRDefault="006C2C68" w:rsidP="00694868">
            <w:pPr>
              <w:contextualSpacing/>
              <w:jc w:val="center"/>
            </w:pPr>
            <w:r>
              <w:rPr>
                <w:b/>
                <w:color w:val="FFFFFF"/>
              </w:rPr>
              <w:t>Exceeds Expectations</w:t>
            </w:r>
          </w:p>
        </w:tc>
        <w:tc>
          <w:tcPr>
            <w:tcW w:w="189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0855FDE9" w14:textId="77777777" w:rsidR="006C2C68" w:rsidRDefault="006C2C68" w:rsidP="00694868">
            <w:pPr>
              <w:contextualSpacing/>
              <w:jc w:val="center"/>
            </w:pPr>
            <w:r>
              <w:rPr>
                <w:b/>
                <w:color w:val="FFFFFF"/>
              </w:rPr>
              <w:t>Meets Expectations</w:t>
            </w:r>
          </w:p>
        </w:tc>
        <w:tc>
          <w:tcPr>
            <w:tcW w:w="21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65FA8D56" w14:textId="77777777" w:rsidR="006C2C68" w:rsidRDefault="006C2C68" w:rsidP="00694868">
            <w:pPr>
              <w:contextualSpacing/>
              <w:jc w:val="center"/>
            </w:pPr>
            <w:r>
              <w:rPr>
                <w:b/>
                <w:color w:val="FFFFFF"/>
              </w:rPr>
              <w:t>Approaches Expectations</w:t>
            </w:r>
          </w:p>
        </w:tc>
        <w:tc>
          <w:tcPr>
            <w:tcW w:w="20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0000"/>
          </w:tcPr>
          <w:p w14:paraId="580D1733" w14:textId="77777777" w:rsidR="006C2C68" w:rsidRDefault="006C2C68" w:rsidP="00694868">
            <w:pPr>
              <w:contextualSpacing/>
              <w:jc w:val="center"/>
            </w:pPr>
            <w:r>
              <w:rPr>
                <w:b/>
                <w:color w:val="FFFFFF"/>
              </w:rPr>
              <w:t>Developing</w:t>
            </w:r>
          </w:p>
        </w:tc>
      </w:tr>
      <w:tr w:rsidR="006C2C68" w14:paraId="360460FD" w14:textId="77777777" w:rsidTr="00694868">
        <w:tc>
          <w:tcPr>
            <w:tcW w:w="1818" w:type="dxa"/>
            <w:tcBorders>
              <w:top w:val="single" w:sz="4" w:space="0" w:color="F2F2F2" w:themeColor="background1" w:themeShade="F2"/>
              <w:left w:val="single" w:sz="4" w:space="0" w:color="000000"/>
              <w:bottom w:val="single" w:sz="4" w:space="0" w:color="000000"/>
              <w:right w:val="single" w:sz="4" w:space="0" w:color="000000"/>
            </w:tcBorders>
          </w:tcPr>
          <w:p w14:paraId="71ED1808" w14:textId="77777777" w:rsidR="006C2C68" w:rsidRDefault="006C2C68" w:rsidP="00694868">
            <w:pPr>
              <w:contextualSpacing/>
            </w:pPr>
            <w:r>
              <w:rPr>
                <w:b/>
              </w:rPr>
              <w:t>Data Analysis (30 points)</w:t>
            </w:r>
          </w:p>
        </w:tc>
        <w:tc>
          <w:tcPr>
            <w:tcW w:w="2070" w:type="dxa"/>
            <w:tcBorders>
              <w:top w:val="single" w:sz="4" w:space="0" w:color="F2F2F2" w:themeColor="background1" w:themeShade="F2"/>
              <w:left w:val="single" w:sz="4" w:space="0" w:color="000000"/>
              <w:bottom w:val="single" w:sz="4" w:space="0" w:color="000000"/>
              <w:right w:val="single" w:sz="4" w:space="0" w:color="000000"/>
            </w:tcBorders>
          </w:tcPr>
          <w:p w14:paraId="2FBFEBA2" w14:textId="77777777" w:rsidR="006C2C68" w:rsidRDefault="006C2C68" w:rsidP="00694868">
            <w:pPr>
              <w:contextualSpacing/>
            </w:pPr>
            <w:r>
              <w:t xml:space="preserve">Data analysis is fully accurate; all required values are included with correct units and appropriate methods. </w:t>
            </w:r>
          </w:p>
          <w:p w14:paraId="70BF81F0" w14:textId="77777777" w:rsidR="006C2C68" w:rsidRDefault="006C2C68" w:rsidP="00694868">
            <w:pPr>
              <w:contextualSpacing/>
            </w:pPr>
            <w:r>
              <w:t>(27–30 points)</w:t>
            </w:r>
          </w:p>
        </w:tc>
        <w:tc>
          <w:tcPr>
            <w:tcW w:w="1890" w:type="dxa"/>
            <w:tcBorders>
              <w:top w:val="single" w:sz="4" w:space="0" w:color="F2F2F2" w:themeColor="background1" w:themeShade="F2"/>
              <w:left w:val="single" w:sz="4" w:space="0" w:color="000000"/>
              <w:bottom w:val="single" w:sz="4" w:space="0" w:color="000000"/>
              <w:right w:val="single" w:sz="4" w:space="0" w:color="000000"/>
            </w:tcBorders>
          </w:tcPr>
          <w:p w14:paraId="7DE8B717" w14:textId="77777777" w:rsidR="006C2C68" w:rsidRDefault="006C2C68" w:rsidP="00694868">
            <w:pPr>
              <w:contextualSpacing/>
            </w:pPr>
            <w:r>
              <w:t xml:space="preserve">Data analysis is mostly accurate; most values are included with appropriate units and methods, with minor errors. </w:t>
            </w:r>
          </w:p>
          <w:p w14:paraId="63C4E491" w14:textId="77777777" w:rsidR="006C2C68" w:rsidRDefault="006C2C68" w:rsidP="00694868">
            <w:pPr>
              <w:contextualSpacing/>
            </w:pPr>
            <w:r>
              <w:t>(21–26 points)</w:t>
            </w:r>
          </w:p>
        </w:tc>
        <w:tc>
          <w:tcPr>
            <w:tcW w:w="2160" w:type="dxa"/>
            <w:tcBorders>
              <w:top w:val="single" w:sz="4" w:space="0" w:color="F2F2F2" w:themeColor="background1" w:themeShade="F2"/>
              <w:left w:val="single" w:sz="4" w:space="0" w:color="000000"/>
              <w:bottom w:val="single" w:sz="4" w:space="0" w:color="000000"/>
              <w:right w:val="single" w:sz="4" w:space="0" w:color="000000"/>
            </w:tcBorders>
          </w:tcPr>
          <w:p w14:paraId="13816838" w14:textId="77777777" w:rsidR="006C2C68" w:rsidRDefault="006C2C68" w:rsidP="00694868">
            <w:pPr>
              <w:contextualSpacing/>
            </w:pPr>
            <w:r>
              <w:t xml:space="preserve">Data analysis is partially accurate; some values, units, or methods are missing or inconsistently applied. </w:t>
            </w:r>
          </w:p>
          <w:p w14:paraId="6687E224" w14:textId="77777777" w:rsidR="006C2C68" w:rsidRDefault="006C2C68" w:rsidP="00694868">
            <w:pPr>
              <w:contextualSpacing/>
            </w:pPr>
            <w:r>
              <w:t>(15–20 points)</w:t>
            </w:r>
          </w:p>
        </w:tc>
        <w:tc>
          <w:tcPr>
            <w:tcW w:w="2070" w:type="dxa"/>
            <w:tcBorders>
              <w:top w:val="single" w:sz="4" w:space="0" w:color="F2F2F2" w:themeColor="background1" w:themeShade="F2"/>
              <w:left w:val="single" w:sz="4" w:space="0" w:color="000000"/>
              <w:bottom w:val="single" w:sz="4" w:space="0" w:color="000000"/>
              <w:right w:val="single" w:sz="4" w:space="0" w:color="000000"/>
            </w:tcBorders>
          </w:tcPr>
          <w:p w14:paraId="05FB68F5" w14:textId="77777777" w:rsidR="006C2C68" w:rsidRDefault="006C2C68" w:rsidP="00694868">
            <w:pPr>
              <w:contextualSpacing/>
            </w:pPr>
            <w:r>
              <w:t xml:space="preserve">Data analysis is inaccurate or </w:t>
            </w:r>
            <w:proofErr w:type="gramStart"/>
            <w:r>
              <w:t>missing;</w:t>
            </w:r>
            <w:proofErr w:type="gramEnd"/>
            <w:r>
              <w:t xml:space="preserve"> multiple errors in units, calculations, and presentation. </w:t>
            </w:r>
          </w:p>
          <w:p w14:paraId="18F6255F" w14:textId="77777777" w:rsidR="006C2C68" w:rsidRDefault="006C2C68" w:rsidP="00694868">
            <w:pPr>
              <w:contextualSpacing/>
            </w:pPr>
            <w:r>
              <w:t>(0–14 points)</w:t>
            </w:r>
          </w:p>
        </w:tc>
      </w:tr>
      <w:tr w:rsidR="006C2C68" w14:paraId="25BA3529" w14:textId="77777777" w:rsidTr="00694868">
        <w:tc>
          <w:tcPr>
            <w:tcW w:w="1818" w:type="dxa"/>
            <w:tcBorders>
              <w:top w:val="single" w:sz="4" w:space="0" w:color="000000"/>
              <w:left w:val="single" w:sz="4" w:space="0" w:color="000000"/>
              <w:bottom w:val="single" w:sz="4" w:space="0" w:color="000000"/>
              <w:right w:val="single" w:sz="4" w:space="0" w:color="000000"/>
            </w:tcBorders>
          </w:tcPr>
          <w:p w14:paraId="61099B95" w14:textId="77777777" w:rsidR="006C2C68" w:rsidRDefault="006C2C68" w:rsidP="00694868">
            <w:pPr>
              <w:contextualSpacing/>
            </w:pPr>
            <w:r>
              <w:rPr>
                <w:b/>
              </w:rPr>
              <w:t xml:space="preserve">Graph </w:t>
            </w:r>
            <w:r>
              <w:rPr>
                <w:b/>
              </w:rPr>
              <w:br/>
              <w:t>(20 points)</w:t>
            </w:r>
          </w:p>
        </w:tc>
        <w:tc>
          <w:tcPr>
            <w:tcW w:w="2070" w:type="dxa"/>
            <w:tcBorders>
              <w:top w:val="single" w:sz="4" w:space="0" w:color="000000"/>
              <w:left w:val="single" w:sz="4" w:space="0" w:color="000000"/>
              <w:bottom w:val="single" w:sz="4" w:space="0" w:color="000000"/>
              <w:right w:val="single" w:sz="4" w:space="0" w:color="000000"/>
            </w:tcBorders>
          </w:tcPr>
          <w:p w14:paraId="48A27C85" w14:textId="77777777" w:rsidR="006C2C68" w:rsidRDefault="006C2C68" w:rsidP="00694868">
            <w:pPr>
              <w:contextualSpacing/>
            </w:pPr>
            <w:r>
              <w:t>Graph is clear, accurate, and appropriate for the data, with complete labels and formatting. (18–20 points)</w:t>
            </w:r>
          </w:p>
        </w:tc>
        <w:tc>
          <w:tcPr>
            <w:tcW w:w="1890" w:type="dxa"/>
            <w:tcBorders>
              <w:top w:val="single" w:sz="4" w:space="0" w:color="000000"/>
              <w:left w:val="single" w:sz="4" w:space="0" w:color="000000"/>
              <w:bottom w:val="single" w:sz="4" w:space="0" w:color="000000"/>
              <w:right w:val="single" w:sz="4" w:space="0" w:color="000000"/>
            </w:tcBorders>
          </w:tcPr>
          <w:p w14:paraId="1C8FC88B" w14:textId="77777777" w:rsidR="006C2C68" w:rsidRDefault="006C2C68" w:rsidP="00694868">
            <w:pPr>
              <w:contextualSpacing/>
            </w:pPr>
            <w:r>
              <w:t xml:space="preserve">Graph is mostly clear and appropriate; some labels or formatting are incomplete. </w:t>
            </w:r>
          </w:p>
          <w:p w14:paraId="530D483F" w14:textId="77777777" w:rsidR="006C2C68" w:rsidRDefault="006C2C68" w:rsidP="00694868">
            <w:pPr>
              <w:contextualSpacing/>
            </w:pPr>
            <w:r>
              <w:t>(14–17 points)</w:t>
            </w:r>
          </w:p>
        </w:tc>
        <w:tc>
          <w:tcPr>
            <w:tcW w:w="2160" w:type="dxa"/>
            <w:tcBorders>
              <w:top w:val="single" w:sz="4" w:space="0" w:color="000000"/>
              <w:left w:val="single" w:sz="4" w:space="0" w:color="000000"/>
              <w:bottom w:val="single" w:sz="4" w:space="0" w:color="000000"/>
              <w:right w:val="single" w:sz="4" w:space="0" w:color="000000"/>
            </w:tcBorders>
          </w:tcPr>
          <w:p w14:paraId="3F998B3A" w14:textId="77777777" w:rsidR="006C2C68" w:rsidRDefault="006C2C68" w:rsidP="00694868">
            <w:pPr>
              <w:contextualSpacing/>
            </w:pPr>
            <w:r>
              <w:t>Graph has errors in choice or labeling. (10–13 points)</w:t>
            </w:r>
          </w:p>
        </w:tc>
        <w:tc>
          <w:tcPr>
            <w:tcW w:w="2070" w:type="dxa"/>
            <w:tcBorders>
              <w:top w:val="single" w:sz="4" w:space="0" w:color="000000"/>
              <w:left w:val="single" w:sz="4" w:space="0" w:color="000000"/>
              <w:bottom w:val="single" w:sz="4" w:space="0" w:color="000000"/>
              <w:right w:val="single" w:sz="4" w:space="0" w:color="000000"/>
            </w:tcBorders>
          </w:tcPr>
          <w:p w14:paraId="007F10F5" w14:textId="77777777" w:rsidR="006C2C68" w:rsidRDefault="006C2C68" w:rsidP="00694868">
            <w:pPr>
              <w:contextualSpacing/>
            </w:pPr>
            <w:r>
              <w:t>Graph is missing, unclear, or inappropriate for the data, with little to no labeling. (0–9 points)</w:t>
            </w:r>
          </w:p>
        </w:tc>
      </w:tr>
      <w:tr w:rsidR="006C2C68" w14:paraId="32A4F14C" w14:textId="77777777" w:rsidTr="00694868">
        <w:tc>
          <w:tcPr>
            <w:tcW w:w="1818" w:type="dxa"/>
            <w:tcBorders>
              <w:top w:val="single" w:sz="4" w:space="0" w:color="000000"/>
              <w:left w:val="single" w:sz="4" w:space="0" w:color="000000"/>
              <w:bottom w:val="single" w:sz="4" w:space="0" w:color="000000"/>
              <w:right w:val="single" w:sz="4" w:space="0" w:color="000000"/>
            </w:tcBorders>
          </w:tcPr>
          <w:p w14:paraId="73963B89" w14:textId="77777777" w:rsidR="006C2C68" w:rsidRDefault="006C2C68" w:rsidP="00694868">
            <w:pPr>
              <w:contextualSpacing/>
            </w:pPr>
            <w:r>
              <w:rPr>
                <w:b/>
              </w:rPr>
              <w:t>Interpretation &amp; Discussion (30 points)</w:t>
            </w:r>
          </w:p>
        </w:tc>
        <w:tc>
          <w:tcPr>
            <w:tcW w:w="2070" w:type="dxa"/>
            <w:tcBorders>
              <w:top w:val="single" w:sz="4" w:space="0" w:color="000000"/>
              <w:left w:val="single" w:sz="4" w:space="0" w:color="000000"/>
              <w:bottom w:val="single" w:sz="4" w:space="0" w:color="000000"/>
              <w:right w:val="single" w:sz="4" w:space="0" w:color="000000"/>
            </w:tcBorders>
          </w:tcPr>
          <w:p w14:paraId="6576F3B6" w14:textId="77777777" w:rsidR="006C2C68" w:rsidRDefault="006C2C68" w:rsidP="00694868">
            <w:pPr>
              <w:contextualSpacing/>
            </w:pPr>
            <w:r>
              <w:t>Provides insightful comparisons and explanations of material behaviors; conclusions demonstrate deep understanding. (27–30 points)</w:t>
            </w:r>
          </w:p>
        </w:tc>
        <w:tc>
          <w:tcPr>
            <w:tcW w:w="1890" w:type="dxa"/>
            <w:tcBorders>
              <w:top w:val="single" w:sz="4" w:space="0" w:color="000000"/>
              <w:left w:val="single" w:sz="4" w:space="0" w:color="000000"/>
              <w:bottom w:val="single" w:sz="4" w:space="0" w:color="000000"/>
              <w:right w:val="single" w:sz="4" w:space="0" w:color="000000"/>
            </w:tcBorders>
          </w:tcPr>
          <w:p w14:paraId="1F7075CB" w14:textId="77777777" w:rsidR="006C2C68" w:rsidRDefault="006C2C68" w:rsidP="00694868">
            <w:pPr>
              <w:contextualSpacing/>
            </w:pPr>
            <w:r>
              <w:t>Provides general comparisons and explanations; interpretations are mostly correct with some insight. (21–26 points)</w:t>
            </w:r>
          </w:p>
        </w:tc>
        <w:tc>
          <w:tcPr>
            <w:tcW w:w="2160" w:type="dxa"/>
            <w:tcBorders>
              <w:top w:val="single" w:sz="4" w:space="0" w:color="000000"/>
              <w:left w:val="single" w:sz="4" w:space="0" w:color="000000"/>
              <w:bottom w:val="single" w:sz="4" w:space="0" w:color="000000"/>
              <w:right w:val="single" w:sz="4" w:space="0" w:color="000000"/>
            </w:tcBorders>
          </w:tcPr>
          <w:p w14:paraId="3863BD12" w14:textId="77777777" w:rsidR="006C2C68" w:rsidRDefault="006C2C68" w:rsidP="00694868">
            <w:pPr>
              <w:contextualSpacing/>
            </w:pPr>
            <w:r>
              <w:t xml:space="preserve">Limited interpretation </w:t>
            </w:r>
            <w:proofErr w:type="gramStart"/>
            <w:r>
              <w:t>included;</w:t>
            </w:r>
            <w:proofErr w:type="gramEnd"/>
            <w:r>
              <w:t xml:space="preserve"> explanations lack detail/clarity. </w:t>
            </w:r>
          </w:p>
          <w:p w14:paraId="65592A96" w14:textId="77777777" w:rsidR="006C2C68" w:rsidRPr="008C34AE" w:rsidRDefault="006C2C68" w:rsidP="00694868">
            <w:pPr>
              <w:contextualSpacing/>
            </w:pPr>
            <w:r>
              <w:t>(15–20 points)</w:t>
            </w:r>
          </w:p>
        </w:tc>
        <w:tc>
          <w:tcPr>
            <w:tcW w:w="2070" w:type="dxa"/>
            <w:tcBorders>
              <w:top w:val="single" w:sz="4" w:space="0" w:color="000000"/>
              <w:left w:val="single" w:sz="4" w:space="0" w:color="000000"/>
              <w:bottom w:val="single" w:sz="4" w:space="0" w:color="000000"/>
              <w:right w:val="single" w:sz="4" w:space="0" w:color="000000"/>
            </w:tcBorders>
          </w:tcPr>
          <w:p w14:paraId="28C3AE89" w14:textId="77777777" w:rsidR="006C2C68" w:rsidRDefault="006C2C68" w:rsidP="00694868">
            <w:pPr>
              <w:contextualSpacing/>
            </w:pPr>
            <w:r>
              <w:t xml:space="preserve">Provides little or no interpretation; explanations are inaccurate or missing. </w:t>
            </w:r>
          </w:p>
          <w:p w14:paraId="760B82C7" w14:textId="77777777" w:rsidR="006C2C68" w:rsidRDefault="006C2C68" w:rsidP="00694868">
            <w:pPr>
              <w:contextualSpacing/>
            </w:pPr>
            <w:r>
              <w:t>(0–14 points)</w:t>
            </w:r>
          </w:p>
        </w:tc>
      </w:tr>
      <w:tr w:rsidR="006C2C68" w14:paraId="3F2AE61D" w14:textId="77777777" w:rsidTr="00694868">
        <w:tc>
          <w:tcPr>
            <w:tcW w:w="1818" w:type="dxa"/>
            <w:tcBorders>
              <w:top w:val="single" w:sz="4" w:space="0" w:color="000000"/>
              <w:left w:val="single" w:sz="4" w:space="0" w:color="000000"/>
              <w:bottom w:val="single" w:sz="4" w:space="0" w:color="000000"/>
              <w:right w:val="single" w:sz="4" w:space="0" w:color="000000"/>
            </w:tcBorders>
          </w:tcPr>
          <w:p w14:paraId="7CC9C4C0" w14:textId="77777777" w:rsidR="006C2C68" w:rsidRDefault="006C2C68" w:rsidP="00694868">
            <w:pPr>
              <w:contextualSpacing/>
              <w:rPr>
                <w:b/>
              </w:rPr>
            </w:pPr>
            <w:r>
              <w:rPr>
                <w:b/>
              </w:rPr>
              <w:t xml:space="preserve">Organization &amp; Communication </w:t>
            </w:r>
          </w:p>
          <w:p w14:paraId="638DF947" w14:textId="77777777" w:rsidR="006C2C68" w:rsidRDefault="006C2C68" w:rsidP="00694868">
            <w:pPr>
              <w:contextualSpacing/>
            </w:pPr>
            <w:r>
              <w:rPr>
                <w:b/>
              </w:rPr>
              <w:t>(20 points)</w:t>
            </w:r>
          </w:p>
        </w:tc>
        <w:tc>
          <w:tcPr>
            <w:tcW w:w="2070" w:type="dxa"/>
            <w:tcBorders>
              <w:top w:val="single" w:sz="4" w:space="0" w:color="000000"/>
              <w:left w:val="single" w:sz="4" w:space="0" w:color="000000"/>
              <w:bottom w:val="single" w:sz="4" w:space="0" w:color="000000"/>
              <w:right w:val="single" w:sz="4" w:space="0" w:color="000000"/>
            </w:tcBorders>
          </w:tcPr>
          <w:p w14:paraId="58A0F87A" w14:textId="77777777" w:rsidR="006C2C68" w:rsidRDefault="006C2C68" w:rsidP="00694868">
            <w:pPr>
              <w:contextualSpacing/>
            </w:pPr>
            <w:r>
              <w:t xml:space="preserve">Report is logically structured, clearly written, and uses precise terminology and </w:t>
            </w:r>
            <w:r>
              <w:lastRenderedPageBreak/>
              <w:t>professional tone. (18–20 points)</w:t>
            </w:r>
          </w:p>
        </w:tc>
        <w:tc>
          <w:tcPr>
            <w:tcW w:w="1890" w:type="dxa"/>
            <w:tcBorders>
              <w:top w:val="single" w:sz="4" w:space="0" w:color="000000"/>
              <w:left w:val="single" w:sz="4" w:space="0" w:color="000000"/>
              <w:bottom w:val="single" w:sz="4" w:space="0" w:color="000000"/>
              <w:right w:val="single" w:sz="4" w:space="0" w:color="000000"/>
            </w:tcBorders>
          </w:tcPr>
          <w:p w14:paraId="32693870" w14:textId="77777777" w:rsidR="006C2C68" w:rsidRDefault="006C2C68" w:rsidP="00694868">
            <w:pPr>
              <w:contextualSpacing/>
            </w:pPr>
            <w:r>
              <w:lastRenderedPageBreak/>
              <w:t xml:space="preserve">Report is mostly clear and structured, with minor issues in clarity, tone, or </w:t>
            </w:r>
            <w:r>
              <w:lastRenderedPageBreak/>
              <w:t>terminology. (14–17 points)</w:t>
            </w:r>
          </w:p>
        </w:tc>
        <w:tc>
          <w:tcPr>
            <w:tcW w:w="2160" w:type="dxa"/>
            <w:tcBorders>
              <w:top w:val="single" w:sz="4" w:space="0" w:color="000000"/>
              <w:left w:val="single" w:sz="4" w:space="0" w:color="000000"/>
              <w:bottom w:val="single" w:sz="4" w:space="0" w:color="000000"/>
              <w:right w:val="single" w:sz="4" w:space="0" w:color="000000"/>
            </w:tcBorders>
          </w:tcPr>
          <w:p w14:paraId="09A6EB8B" w14:textId="77777777" w:rsidR="006C2C68" w:rsidRDefault="006C2C68" w:rsidP="00694868">
            <w:pPr>
              <w:contextualSpacing/>
            </w:pPr>
            <w:r>
              <w:lastRenderedPageBreak/>
              <w:t xml:space="preserve">Report is somewhat organized with some areas where tone and </w:t>
            </w:r>
            <w:r>
              <w:lastRenderedPageBreak/>
              <w:t>terminology are incorrect.</w:t>
            </w:r>
          </w:p>
          <w:p w14:paraId="63A6F894" w14:textId="77777777" w:rsidR="006C2C68" w:rsidRDefault="006C2C68" w:rsidP="00694868">
            <w:pPr>
              <w:contextualSpacing/>
            </w:pPr>
            <w:r>
              <w:t xml:space="preserve"> (10–13 points)</w:t>
            </w:r>
          </w:p>
        </w:tc>
        <w:tc>
          <w:tcPr>
            <w:tcW w:w="2070" w:type="dxa"/>
            <w:tcBorders>
              <w:top w:val="single" w:sz="4" w:space="0" w:color="000000"/>
              <w:left w:val="single" w:sz="4" w:space="0" w:color="000000"/>
              <w:bottom w:val="single" w:sz="4" w:space="0" w:color="000000"/>
              <w:right w:val="single" w:sz="4" w:space="0" w:color="000000"/>
            </w:tcBorders>
          </w:tcPr>
          <w:p w14:paraId="179B31BD" w14:textId="77777777" w:rsidR="006C2C68" w:rsidRDefault="006C2C68" w:rsidP="00694868">
            <w:pPr>
              <w:contextualSpacing/>
            </w:pPr>
            <w:r>
              <w:lastRenderedPageBreak/>
              <w:t xml:space="preserve">Report is unclear with some has organization issues. Tone is not </w:t>
            </w:r>
            <w:r>
              <w:lastRenderedPageBreak/>
              <w:t xml:space="preserve">professional, with numerous errors. </w:t>
            </w:r>
          </w:p>
          <w:p w14:paraId="37CFEFAF" w14:textId="77777777" w:rsidR="006C2C68" w:rsidRDefault="006C2C68" w:rsidP="00694868">
            <w:pPr>
              <w:contextualSpacing/>
            </w:pPr>
            <w:r>
              <w:t>(0–9 points)</w:t>
            </w:r>
          </w:p>
        </w:tc>
      </w:tr>
    </w:tbl>
    <w:p w14:paraId="6BCAC2B2" w14:textId="77777777" w:rsidR="006C2C68" w:rsidRDefault="006C2C68" w:rsidP="006C2C68">
      <w:pPr>
        <w:contextualSpacing/>
      </w:pPr>
    </w:p>
    <w:p w14:paraId="1AE49F5C" w14:textId="2ED8D304" w:rsidR="004A02D0" w:rsidRDefault="004A02D0" w:rsidP="004A02D0"/>
    <w:p w14:paraId="4F2415F2" w14:textId="366AC86B" w:rsidR="00026A87" w:rsidRDefault="00026A87" w:rsidP="004A02D0"/>
    <w:p w14:paraId="3997931A" w14:textId="27E637DE" w:rsidR="00026A87" w:rsidRDefault="00026A87" w:rsidP="004A02D0"/>
    <w:p w14:paraId="45FA009C" w14:textId="77777777" w:rsidR="00026A87" w:rsidRDefault="00026A87" w:rsidP="004A02D0"/>
    <w:p w14:paraId="4FC25FAB" w14:textId="77777777" w:rsidR="004A02D0" w:rsidRDefault="004A02D0" w:rsidP="004A02D0">
      <w:pPr>
        <w:pStyle w:val="Heading1"/>
      </w:pPr>
      <w:bookmarkStart w:id="7" w:name="_Toc206737739"/>
      <w:r>
        <w:t>Sample Student Submission</w:t>
      </w:r>
      <w:bookmarkEnd w:id="7"/>
    </w:p>
    <w:p w14:paraId="6EDCF564" w14:textId="77777777" w:rsidR="004A02D0" w:rsidRDefault="004A02D0" w:rsidP="004A02D0">
      <w:pPr>
        <w:contextualSpacing/>
        <w:rPr>
          <w:rFonts w:eastAsia="Calibri" w:cs="Times New Roman"/>
        </w:rPr>
      </w:pPr>
    </w:p>
    <w:p w14:paraId="2DBEE81A" w14:textId="77777777" w:rsidR="004A02D0" w:rsidRDefault="004A02D0" w:rsidP="004A02D0">
      <w:pPr>
        <w:rPr>
          <w:rFonts w:eastAsia="Calibri" w:cs="Times New Roman"/>
          <w:b/>
          <w:bCs/>
        </w:rPr>
      </w:pPr>
      <w:r>
        <w:rPr>
          <w:rFonts w:eastAsia="Calibri" w:cs="Times New Roman"/>
          <w:b/>
          <w:bCs/>
        </w:rPr>
        <w:t>Lenny DaVinci</w:t>
      </w:r>
    </w:p>
    <w:p w14:paraId="0FDB0125" w14:textId="77777777" w:rsidR="004A02D0" w:rsidRDefault="004A02D0" w:rsidP="004A02D0">
      <w:pPr>
        <w:rPr>
          <w:rFonts w:eastAsia="Calibri" w:cs="Calibri"/>
          <w:b/>
          <w:bCs/>
        </w:rPr>
      </w:pPr>
      <w:r>
        <w:rPr>
          <w:rFonts w:eastAsia="Calibri" w:cs="Calibri"/>
          <w:b/>
          <w:bCs/>
        </w:rPr>
        <w:t>ENG 200: Strength of Materials</w:t>
      </w:r>
    </w:p>
    <w:p w14:paraId="5FC797CB" w14:textId="77777777" w:rsidR="004A02D0" w:rsidRDefault="004A02D0" w:rsidP="004A02D0">
      <w:pPr>
        <w:rPr>
          <w:rFonts w:eastAsia="Calibri" w:cs="Times New Roman"/>
          <w:b/>
          <w:bCs/>
        </w:rPr>
      </w:pPr>
      <w:r>
        <w:rPr>
          <w:rFonts w:eastAsia="Calibri" w:cs="Times New Roman"/>
          <w:b/>
          <w:bCs/>
        </w:rPr>
        <w:t xml:space="preserve">Tensile Strength of metals report </w:t>
      </w:r>
    </w:p>
    <w:p w14:paraId="07173F29" w14:textId="77777777" w:rsidR="004A02D0" w:rsidRDefault="004A02D0" w:rsidP="004A02D0">
      <w:pPr>
        <w:rPr>
          <w:rFonts w:eastAsia="Calibri" w:cs="Times New Roman"/>
        </w:rPr>
      </w:pPr>
    </w:p>
    <w:p w14:paraId="21DEB767" w14:textId="77777777" w:rsidR="004A02D0" w:rsidRDefault="004A02D0" w:rsidP="004A02D0">
      <w:r>
        <w:t>Introduction</w:t>
      </w:r>
    </w:p>
    <w:p w14:paraId="782EA409" w14:textId="77777777" w:rsidR="004A02D0" w:rsidRDefault="004A02D0" w:rsidP="004A02D0">
      <w:pPr>
        <w:rPr>
          <w:rFonts w:eastAsia="Calibri" w:cs="Calibri"/>
          <w:color w:val="000000"/>
        </w:rPr>
      </w:pPr>
      <w:r>
        <w:rPr>
          <w:rFonts w:eastAsia="Calibri" w:cs="Calibri"/>
          <w:color w:val="000000"/>
        </w:rPr>
        <w:t>In materials engineering, understanding the tensile strength, yield strength, and Young’s modulus is critical for selecting appropriate materials for specific applications. Tensile strength represents the maximum stress a material can withstand before fracture, while yield strength indicates the point at which permanent deformation begins. Young’s modulus reflects stiffness and resistance to elastic deformation. This report analyzes five metals to compare these properties, providing insights into their suitability for structural and manufacturing purposes.</w:t>
      </w:r>
    </w:p>
    <w:p w14:paraId="3057E143" w14:textId="77777777" w:rsidR="004A02D0" w:rsidRDefault="004A02D0" w:rsidP="004A02D0">
      <w:pPr>
        <w:rPr>
          <w:rFonts w:eastAsia="Calibri" w:cs="Calibri"/>
          <w:color w:val="000000"/>
        </w:rPr>
      </w:pPr>
    </w:p>
    <w:p w14:paraId="366981B6" w14:textId="77777777" w:rsidR="004A02D0" w:rsidRDefault="004A02D0" w:rsidP="004A02D0">
      <w:r>
        <w:t>Methodology</w:t>
      </w:r>
    </w:p>
    <w:p w14:paraId="08A1E9B4" w14:textId="77777777" w:rsidR="004A02D0" w:rsidRDefault="004A02D0" w:rsidP="004A02D0">
      <w:pPr>
        <w:rPr>
          <w:rFonts w:eastAsia="Calibri" w:cs="Calibri"/>
          <w:color w:val="000000"/>
        </w:rPr>
      </w:pPr>
      <w:r>
        <w:rPr>
          <w:rFonts w:eastAsia="Calibri" w:cs="Calibri"/>
          <w:color w:val="000000"/>
        </w:rPr>
        <w:t>The tensile strength data was obtained from standardized tensile tests, in which a sample is subjected to uniaxial tension until failure. Measurements of yield strength, ultimate tensile strength, and Young’s modulus were recorded for each metal. The provided dataset was tabulated and visualized using bar charts to enable clear comparison between materials.</w:t>
      </w:r>
    </w:p>
    <w:p w14:paraId="468F55EA" w14:textId="77777777" w:rsidR="004A02D0" w:rsidRDefault="004A02D0" w:rsidP="004A02D0">
      <w:pPr>
        <w:rPr>
          <w:rFonts w:eastAsia="Calibri" w:cs="Calibri"/>
          <w:color w:val="000000"/>
        </w:rPr>
      </w:pPr>
    </w:p>
    <w:p w14:paraId="03DFBC57" w14:textId="77777777" w:rsidR="004A02D0" w:rsidRDefault="004A02D0" w:rsidP="004A02D0">
      <w:pPr>
        <w:rPr>
          <w:rFonts w:eastAsia="Calibri" w:cs="Calibri"/>
        </w:rPr>
      </w:pPr>
      <w:r>
        <w:rPr>
          <w:rFonts w:eastAsia="Calibri" w:cs="Calibri"/>
        </w:rPr>
        <w:t>Based on the provided data, Stainless Steel 304 exhibits the highest ultimate tensile strength (620 MPa), followed by Mild Steel (400 MPa), Brass (350 MPa), Aluminum 6061-T6 (310 MPa), and Copper (210 MPa). This data suggests that Stainless Steel is the most suitable choice for applications requiring high strength. The graph below visually compares the tensile strength of each metal.</w:t>
      </w:r>
    </w:p>
    <w:p w14:paraId="39491046" w14:textId="77777777" w:rsidR="004A02D0" w:rsidRDefault="004A02D0" w:rsidP="004A02D0">
      <w:pPr>
        <w:rPr>
          <w:rFonts w:eastAsia="Calibri" w:cs="Calibri"/>
          <w:color w:val="000000"/>
        </w:rPr>
      </w:pPr>
      <w:r>
        <w:rPr>
          <w:rFonts w:eastAsia="Calibri" w:cs="Calibri"/>
          <w:color w:val="000000"/>
        </w:rPr>
        <w:t>The following methodology outlines how students can perform a tensile test using a Universal Testing Machine (UTM) to measure the mechanical properties of metal specimens.</w:t>
      </w:r>
    </w:p>
    <w:p w14:paraId="43022FE3" w14:textId="77777777" w:rsidR="004A02D0" w:rsidRDefault="004A02D0" w:rsidP="004A02D0">
      <w:pPr>
        <w:rPr>
          <w:rFonts w:eastAsia="Calibri" w:cs="Calibri"/>
        </w:rPr>
      </w:pPr>
    </w:p>
    <w:p w14:paraId="45F3E4DE" w14:textId="77777777" w:rsidR="004A02D0" w:rsidRDefault="004A02D0" w:rsidP="004A02D0">
      <w:pPr>
        <w:rPr>
          <w:rFonts w:eastAsia="Calibri" w:cs="Calibri"/>
          <w:color w:val="000000"/>
        </w:rPr>
      </w:pPr>
      <w:r>
        <w:rPr>
          <w:rFonts w:eastAsia="Calibri" w:cs="Calibri"/>
          <w:color w:val="000000"/>
        </w:rPr>
        <w:t>Required Equipment</w:t>
      </w:r>
    </w:p>
    <w:p w14:paraId="389FE47A" w14:textId="77777777" w:rsidR="004A02D0" w:rsidRDefault="004A02D0" w:rsidP="004A02D0">
      <w:pPr>
        <w:rPr>
          <w:rFonts w:eastAsia="Calibri" w:cs="Calibri"/>
          <w:color w:val="000000"/>
        </w:rPr>
      </w:pPr>
      <w:r>
        <w:rPr>
          <w:rFonts w:eastAsia="Calibri" w:cs="Calibri"/>
          <w:color w:val="000000"/>
        </w:rPr>
        <w:t>Universal Testing Machine (e.g., Instron, Tinius Olsen)</w:t>
      </w:r>
    </w:p>
    <w:p w14:paraId="690CEF44" w14:textId="77777777" w:rsidR="004A02D0" w:rsidRDefault="004A02D0" w:rsidP="004A02D0">
      <w:pPr>
        <w:rPr>
          <w:rFonts w:eastAsia="Calibri" w:cs="Calibri"/>
          <w:color w:val="000000"/>
        </w:rPr>
      </w:pPr>
      <w:r>
        <w:rPr>
          <w:rFonts w:eastAsia="Calibri" w:cs="Calibri"/>
          <w:color w:val="000000"/>
        </w:rPr>
        <w:t>Standardized metal specimens (ASTM E8/E8M geometry)</w:t>
      </w:r>
    </w:p>
    <w:p w14:paraId="3043E077" w14:textId="77777777" w:rsidR="004A02D0" w:rsidRDefault="004A02D0" w:rsidP="004A02D0">
      <w:pPr>
        <w:rPr>
          <w:rFonts w:eastAsia="Calibri" w:cs="Calibri"/>
          <w:color w:val="000000"/>
        </w:rPr>
      </w:pPr>
      <w:r>
        <w:rPr>
          <w:rFonts w:eastAsia="Calibri" w:cs="Calibri"/>
          <w:color w:val="000000"/>
        </w:rPr>
        <w:t>Vernier caliper or micrometer</w:t>
      </w:r>
    </w:p>
    <w:p w14:paraId="37070A20" w14:textId="77777777" w:rsidR="004A02D0" w:rsidRDefault="004A02D0" w:rsidP="004A02D0">
      <w:pPr>
        <w:rPr>
          <w:rFonts w:eastAsia="Calibri" w:cs="Calibri"/>
          <w:color w:val="000000"/>
        </w:rPr>
      </w:pPr>
      <w:r>
        <w:rPr>
          <w:rFonts w:eastAsia="Calibri" w:cs="Calibri"/>
          <w:color w:val="000000"/>
        </w:rPr>
        <w:t>Safety gear (goggles, gloves)</w:t>
      </w:r>
    </w:p>
    <w:p w14:paraId="241C3FC0" w14:textId="77777777" w:rsidR="004A02D0" w:rsidRDefault="004A02D0" w:rsidP="004A02D0">
      <w:pPr>
        <w:rPr>
          <w:rFonts w:eastAsia="Calibri" w:cs="Calibri"/>
          <w:color w:val="000000"/>
        </w:rPr>
      </w:pPr>
    </w:p>
    <w:p w14:paraId="6AC65F38" w14:textId="77777777" w:rsidR="004A02D0" w:rsidRDefault="004A02D0" w:rsidP="004A02D0">
      <w:pPr>
        <w:rPr>
          <w:rFonts w:eastAsia="Calibri" w:cs="Calibri"/>
          <w:color w:val="000000"/>
        </w:rPr>
      </w:pPr>
      <w:r>
        <w:rPr>
          <w:rFonts w:eastAsia="Calibri" w:cs="Calibri"/>
          <w:color w:val="000000"/>
        </w:rPr>
        <w:t>Procedure</w:t>
      </w:r>
    </w:p>
    <w:p w14:paraId="573FE991" w14:textId="77777777" w:rsidR="004A02D0" w:rsidRDefault="004A02D0" w:rsidP="004A02D0">
      <w:pPr>
        <w:numPr>
          <w:ilvl w:val="0"/>
          <w:numId w:val="4"/>
        </w:numPr>
        <w:contextualSpacing/>
        <w:rPr>
          <w:rFonts w:eastAsia="Calibri" w:cs="Calibri"/>
          <w:color w:val="000000"/>
        </w:rPr>
      </w:pPr>
      <w:r>
        <w:rPr>
          <w:rFonts w:eastAsia="Calibri" w:cs="Calibri"/>
          <w:color w:val="000000"/>
        </w:rPr>
        <w:t>Prepare the Specimens: Ensure each metal specimen has the correct standardized shape and size.</w:t>
      </w:r>
    </w:p>
    <w:p w14:paraId="49F05430" w14:textId="77777777" w:rsidR="004A02D0" w:rsidRDefault="004A02D0" w:rsidP="004A02D0">
      <w:pPr>
        <w:ind w:left="360"/>
        <w:rPr>
          <w:rFonts w:eastAsia="Calibri" w:cs="Calibri"/>
          <w:color w:val="000000"/>
        </w:rPr>
      </w:pPr>
      <w:r>
        <w:rPr>
          <w:rFonts w:eastAsia="Calibri" w:cs="Calibri"/>
          <w:color w:val="000000"/>
        </w:rPr>
        <w:t>Use calipers to measure the original gauge length and cross-sectional area.</w:t>
      </w:r>
    </w:p>
    <w:p w14:paraId="23DAA096" w14:textId="77777777" w:rsidR="004A02D0" w:rsidRDefault="004A02D0" w:rsidP="004A02D0">
      <w:pPr>
        <w:numPr>
          <w:ilvl w:val="0"/>
          <w:numId w:val="4"/>
        </w:numPr>
        <w:contextualSpacing/>
        <w:rPr>
          <w:rFonts w:eastAsia="Calibri" w:cs="Calibri"/>
        </w:rPr>
      </w:pPr>
      <w:r>
        <w:rPr>
          <w:rFonts w:eastAsia="Calibri" w:cs="Calibri"/>
        </w:rPr>
        <w:t>Mount the Specimen: carefully install the specimen into the UTM grips, ensuring it is well aligned.</w:t>
      </w:r>
    </w:p>
    <w:p w14:paraId="154F6A98" w14:textId="77777777" w:rsidR="004A02D0" w:rsidRDefault="004A02D0" w:rsidP="004A02D0">
      <w:pPr>
        <w:numPr>
          <w:ilvl w:val="0"/>
          <w:numId w:val="4"/>
        </w:numPr>
        <w:contextualSpacing/>
        <w:rPr>
          <w:rFonts w:eastAsia="Calibri" w:cs="Calibri"/>
        </w:rPr>
      </w:pPr>
      <w:r>
        <w:rPr>
          <w:rFonts w:eastAsia="Calibri" w:cs="Calibri"/>
        </w:rPr>
        <w:lastRenderedPageBreak/>
        <w:t>Configure the UTM. Select the appropriate load cell and test speed based on the material. Zero the force and elongation readings before starting.</w:t>
      </w:r>
    </w:p>
    <w:p w14:paraId="22B9035D" w14:textId="77777777" w:rsidR="004A02D0" w:rsidRDefault="004A02D0" w:rsidP="004A02D0">
      <w:pPr>
        <w:numPr>
          <w:ilvl w:val="0"/>
          <w:numId w:val="4"/>
        </w:numPr>
        <w:contextualSpacing/>
        <w:rPr>
          <w:rFonts w:eastAsia="Calibri" w:cs="Calibri"/>
        </w:rPr>
      </w:pPr>
      <w:r>
        <w:rPr>
          <w:rFonts w:eastAsia="Calibri" w:cs="Calibri"/>
        </w:rPr>
        <w:t xml:space="preserve">Run the Test: Initiate the machine to apply tensile force at a controlled </w:t>
      </w:r>
      <w:proofErr w:type="spellStart"/>
      <w:proofErr w:type="gramStart"/>
      <w:r>
        <w:rPr>
          <w:rFonts w:eastAsia="Calibri" w:cs="Calibri"/>
        </w:rPr>
        <w:t>rate.Record</w:t>
      </w:r>
      <w:proofErr w:type="spellEnd"/>
      <w:proofErr w:type="gramEnd"/>
      <w:r>
        <w:rPr>
          <w:rFonts w:eastAsia="Calibri" w:cs="Calibri"/>
        </w:rPr>
        <w:t xml:space="preserve"> load vs. elongation data via the UTM’s software.</w:t>
      </w:r>
    </w:p>
    <w:p w14:paraId="2EC2DED4" w14:textId="77777777" w:rsidR="004A02D0" w:rsidRDefault="004A02D0" w:rsidP="004A02D0">
      <w:pPr>
        <w:numPr>
          <w:ilvl w:val="0"/>
          <w:numId w:val="4"/>
        </w:numPr>
        <w:contextualSpacing/>
        <w:rPr>
          <w:rFonts w:eastAsia="Calibri" w:cs="Calibri"/>
        </w:rPr>
      </w:pPr>
      <w:r>
        <w:rPr>
          <w:rFonts w:eastAsia="Calibri" w:cs="Calibri"/>
        </w:rPr>
        <w:t>Complete the Test: Stop the machine after the specimen fractures. Save the raw data and stress-strain curve.</w:t>
      </w:r>
    </w:p>
    <w:p w14:paraId="04EB2EE8" w14:textId="77777777" w:rsidR="004A02D0" w:rsidRDefault="004A02D0" w:rsidP="004A02D0">
      <w:pPr>
        <w:numPr>
          <w:ilvl w:val="0"/>
          <w:numId w:val="4"/>
        </w:numPr>
        <w:contextualSpacing/>
        <w:rPr>
          <w:rFonts w:eastAsia="Calibri" w:cs="Calibri"/>
        </w:rPr>
      </w:pPr>
      <w:r>
        <w:rPr>
          <w:rFonts w:eastAsia="Calibri" w:cs="Calibri"/>
        </w:rPr>
        <w:t>Post-Test Measurements: Measure the final gauge length and necked-down diameter if applicable. Use this data to compute elongation and reduction in area.</w:t>
      </w:r>
    </w:p>
    <w:p w14:paraId="4D731D1F" w14:textId="77777777" w:rsidR="004A02D0" w:rsidRDefault="004A02D0" w:rsidP="004A02D0">
      <w:pPr>
        <w:rPr>
          <w:rFonts w:eastAsia="Calibri" w:cs="Calibri"/>
          <w:color w:val="000000"/>
        </w:rPr>
      </w:pPr>
    </w:p>
    <w:p w14:paraId="543119DC" w14:textId="77777777" w:rsidR="004A02D0" w:rsidRDefault="004A02D0" w:rsidP="004A02D0">
      <w:pPr>
        <w:keepNext/>
        <w:keepLines/>
        <w:spacing w:before="200"/>
        <w:outlineLvl w:val="1"/>
        <w:rPr>
          <w:rFonts w:eastAsia="MS Gothic" w:cs="Calibri"/>
          <w:color w:val="000000"/>
          <w:sz w:val="26"/>
          <w:szCs w:val="26"/>
        </w:rPr>
      </w:pPr>
      <w:r>
        <w:rPr>
          <w:rFonts w:eastAsia="MS Gothic" w:cs="Calibri"/>
          <w:color w:val="000000"/>
          <w:sz w:val="26"/>
          <w:szCs w:val="26"/>
        </w:rPr>
        <w:t>Data Analysis and Results</w:t>
      </w:r>
    </w:p>
    <w:tbl>
      <w:tblPr>
        <w:tblStyle w:val="TableGrid10"/>
        <w:tblW w:w="0" w:type="auto"/>
        <w:tblInd w:w="0" w:type="dxa"/>
        <w:tblLook w:val="04A0" w:firstRow="1" w:lastRow="0" w:firstColumn="1" w:lastColumn="0" w:noHBand="0" w:noVBand="1"/>
      </w:tblPr>
      <w:tblGrid>
        <w:gridCol w:w="2160"/>
        <w:gridCol w:w="2160"/>
        <w:gridCol w:w="2160"/>
        <w:gridCol w:w="2160"/>
      </w:tblGrid>
      <w:tr w:rsidR="004A02D0" w14:paraId="4F9851AF"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7AB9E077" w14:textId="77777777" w:rsidR="004A02D0" w:rsidRDefault="004A02D0">
            <w:pPr>
              <w:rPr>
                <w:rFonts w:eastAsia="Calibri" w:cs="Calibri"/>
                <w:color w:val="000000"/>
              </w:rPr>
            </w:pPr>
            <w:r>
              <w:rPr>
                <w:rFonts w:eastAsia="Calibri" w:cs="Calibri"/>
                <w:color w:val="000000"/>
              </w:rPr>
              <w:t>Metal</w:t>
            </w:r>
          </w:p>
        </w:tc>
        <w:tc>
          <w:tcPr>
            <w:tcW w:w="2160" w:type="dxa"/>
            <w:tcBorders>
              <w:top w:val="single" w:sz="4" w:space="0" w:color="auto"/>
              <w:left w:val="single" w:sz="4" w:space="0" w:color="auto"/>
              <w:bottom w:val="single" w:sz="4" w:space="0" w:color="auto"/>
              <w:right w:val="single" w:sz="4" w:space="0" w:color="auto"/>
            </w:tcBorders>
            <w:hideMark/>
          </w:tcPr>
          <w:p w14:paraId="47E52360" w14:textId="77777777" w:rsidR="004A02D0" w:rsidRDefault="004A02D0">
            <w:pPr>
              <w:rPr>
                <w:rFonts w:eastAsia="Calibri" w:cs="Calibri"/>
                <w:color w:val="000000"/>
              </w:rPr>
            </w:pPr>
            <w:r>
              <w:rPr>
                <w:rFonts w:eastAsia="Calibri" w:cs="Calibri"/>
                <w:color w:val="000000"/>
              </w:rPr>
              <w:t>Yield Strength (MPa)</w:t>
            </w:r>
          </w:p>
        </w:tc>
        <w:tc>
          <w:tcPr>
            <w:tcW w:w="2160" w:type="dxa"/>
            <w:tcBorders>
              <w:top w:val="single" w:sz="4" w:space="0" w:color="auto"/>
              <w:left w:val="single" w:sz="4" w:space="0" w:color="auto"/>
              <w:bottom w:val="single" w:sz="4" w:space="0" w:color="auto"/>
              <w:right w:val="single" w:sz="4" w:space="0" w:color="auto"/>
            </w:tcBorders>
            <w:hideMark/>
          </w:tcPr>
          <w:p w14:paraId="3C8AF450" w14:textId="77777777" w:rsidR="004A02D0" w:rsidRDefault="004A02D0">
            <w:pPr>
              <w:rPr>
                <w:rFonts w:eastAsia="Calibri" w:cs="Calibri"/>
                <w:color w:val="000000"/>
              </w:rPr>
            </w:pPr>
            <w:r>
              <w:rPr>
                <w:rFonts w:eastAsia="Calibri" w:cs="Calibri"/>
                <w:color w:val="000000"/>
              </w:rPr>
              <w:t>Ultimate Tensile Strength (MPa)</w:t>
            </w:r>
          </w:p>
        </w:tc>
        <w:tc>
          <w:tcPr>
            <w:tcW w:w="2160" w:type="dxa"/>
            <w:tcBorders>
              <w:top w:val="single" w:sz="4" w:space="0" w:color="auto"/>
              <w:left w:val="single" w:sz="4" w:space="0" w:color="auto"/>
              <w:bottom w:val="single" w:sz="4" w:space="0" w:color="auto"/>
              <w:right w:val="single" w:sz="4" w:space="0" w:color="auto"/>
            </w:tcBorders>
            <w:hideMark/>
          </w:tcPr>
          <w:p w14:paraId="39CB841E" w14:textId="77777777" w:rsidR="004A02D0" w:rsidRDefault="004A02D0">
            <w:pPr>
              <w:rPr>
                <w:rFonts w:eastAsia="Calibri" w:cs="Calibri"/>
                <w:color w:val="000000"/>
              </w:rPr>
            </w:pPr>
            <w:r>
              <w:rPr>
                <w:rFonts w:eastAsia="Calibri" w:cs="Calibri"/>
                <w:color w:val="000000"/>
              </w:rPr>
              <w:t>Young’s Modulus (</w:t>
            </w:r>
            <w:proofErr w:type="spellStart"/>
            <w:r>
              <w:rPr>
                <w:rFonts w:eastAsia="Calibri" w:cs="Calibri"/>
                <w:color w:val="000000"/>
              </w:rPr>
              <w:t>GPa</w:t>
            </w:r>
            <w:proofErr w:type="spellEnd"/>
            <w:r>
              <w:rPr>
                <w:rFonts w:eastAsia="Calibri" w:cs="Calibri"/>
                <w:color w:val="000000"/>
              </w:rPr>
              <w:t>)</w:t>
            </w:r>
          </w:p>
        </w:tc>
      </w:tr>
      <w:tr w:rsidR="004A02D0" w14:paraId="35890BCE"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218277CC" w14:textId="77777777" w:rsidR="004A02D0" w:rsidRDefault="004A02D0">
            <w:pPr>
              <w:rPr>
                <w:rFonts w:eastAsia="Calibri" w:cs="Calibri"/>
                <w:color w:val="000000"/>
              </w:rPr>
            </w:pPr>
            <w:r>
              <w:rPr>
                <w:rFonts w:eastAsia="Calibri" w:cs="Calibri"/>
                <w:color w:val="000000"/>
              </w:rPr>
              <w:t>Aluminum 6061-T6</w:t>
            </w:r>
          </w:p>
        </w:tc>
        <w:tc>
          <w:tcPr>
            <w:tcW w:w="2160" w:type="dxa"/>
            <w:tcBorders>
              <w:top w:val="single" w:sz="4" w:space="0" w:color="auto"/>
              <w:left w:val="single" w:sz="4" w:space="0" w:color="auto"/>
              <w:bottom w:val="single" w:sz="4" w:space="0" w:color="auto"/>
              <w:right w:val="single" w:sz="4" w:space="0" w:color="auto"/>
            </w:tcBorders>
            <w:hideMark/>
          </w:tcPr>
          <w:p w14:paraId="253AA30E" w14:textId="77777777" w:rsidR="004A02D0" w:rsidRDefault="004A02D0">
            <w:pPr>
              <w:rPr>
                <w:rFonts w:eastAsia="Calibri" w:cs="Calibri"/>
                <w:color w:val="000000"/>
              </w:rPr>
            </w:pPr>
            <w:r>
              <w:rPr>
                <w:rFonts w:eastAsia="Calibri" w:cs="Calibri"/>
                <w:color w:val="000000"/>
              </w:rPr>
              <w:t>276</w:t>
            </w:r>
          </w:p>
        </w:tc>
        <w:tc>
          <w:tcPr>
            <w:tcW w:w="2160" w:type="dxa"/>
            <w:tcBorders>
              <w:top w:val="single" w:sz="4" w:space="0" w:color="auto"/>
              <w:left w:val="single" w:sz="4" w:space="0" w:color="auto"/>
              <w:bottom w:val="single" w:sz="4" w:space="0" w:color="auto"/>
              <w:right w:val="single" w:sz="4" w:space="0" w:color="auto"/>
            </w:tcBorders>
            <w:hideMark/>
          </w:tcPr>
          <w:p w14:paraId="558E10AC" w14:textId="77777777" w:rsidR="004A02D0" w:rsidRDefault="004A02D0">
            <w:pPr>
              <w:rPr>
                <w:rFonts w:eastAsia="Calibri" w:cs="Calibri"/>
                <w:color w:val="000000"/>
              </w:rPr>
            </w:pPr>
            <w:r>
              <w:rPr>
                <w:rFonts w:eastAsia="Calibri" w:cs="Calibri"/>
                <w:color w:val="000000"/>
              </w:rPr>
              <w:t>310</w:t>
            </w:r>
          </w:p>
        </w:tc>
        <w:tc>
          <w:tcPr>
            <w:tcW w:w="2160" w:type="dxa"/>
            <w:tcBorders>
              <w:top w:val="single" w:sz="4" w:space="0" w:color="auto"/>
              <w:left w:val="single" w:sz="4" w:space="0" w:color="auto"/>
              <w:bottom w:val="single" w:sz="4" w:space="0" w:color="auto"/>
              <w:right w:val="single" w:sz="4" w:space="0" w:color="auto"/>
            </w:tcBorders>
            <w:hideMark/>
          </w:tcPr>
          <w:p w14:paraId="4622865A" w14:textId="77777777" w:rsidR="004A02D0" w:rsidRDefault="004A02D0">
            <w:pPr>
              <w:rPr>
                <w:rFonts w:eastAsia="Calibri" w:cs="Calibri"/>
                <w:color w:val="000000"/>
              </w:rPr>
            </w:pPr>
            <w:r>
              <w:rPr>
                <w:rFonts w:eastAsia="Calibri" w:cs="Calibri"/>
                <w:color w:val="000000"/>
              </w:rPr>
              <w:t>69</w:t>
            </w:r>
          </w:p>
        </w:tc>
      </w:tr>
      <w:tr w:rsidR="004A02D0" w14:paraId="59671DC3"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6596A0E5" w14:textId="77777777" w:rsidR="004A02D0" w:rsidRDefault="004A02D0">
            <w:pPr>
              <w:rPr>
                <w:rFonts w:eastAsia="Calibri" w:cs="Calibri"/>
                <w:color w:val="000000"/>
              </w:rPr>
            </w:pPr>
            <w:r>
              <w:rPr>
                <w:rFonts w:eastAsia="Calibri" w:cs="Calibri"/>
                <w:color w:val="000000"/>
              </w:rPr>
              <w:t>Mild Steel</w:t>
            </w:r>
          </w:p>
        </w:tc>
        <w:tc>
          <w:tcPr>
            <w:tcW w:w="2160" w:type="dxa"/>
            <w:tcBorders>
              <w:top w:val="single" w:sz="4" w:space="0" w:color="auto"/>
              <w:left w:val="single" w:sz="4" w:space="0" w:color="auto"/>
              <w:bottom w:val="single" w:sz="4" w:space="0" w:color="auto"/>
              <w:right w:val="single" w:sz="4" w:space="0" w:color="auto"/>
            </w:tcBorders>
            <w:hideMark/>
          </w:tcPr>
          <w:p w14:paraId="5EA760D5" w14:textId="77777777" w:rsidR="004A02D0" w:rsidRDefault="004A02D0">
            <w:pPr>
              <w:rPr>
                <w:rFonts w:eastAsia="Calibri" w:cs="Calibri"/>
                <w:color w:val="000000"/>
              </w:rPr>
            </w:pPr>
            <w:r>
              <w:rPr>
                <w:rFonts w:eastAsia="Calibri" w:cs="Calibri"/>
                <w:color w:val="000000"/>
              </w:rPr>
              <w:t>250</w:t>
            </w:r>
          </w:p>
        </w:tc>
        <w:tc>
          <w:tcPr>
            <w:tcW w:w="2160" w:type="dxa"/>
            <w:tcBorders>
              <w:top w:val="single" w:sz="4" w:space="0" w:color="auto"/>
              <w:left w:val="single" w:sz="4" w:space="0" w:color="auto"/>
              <w:bottom w:val="single" w:sz="4" w:space="0" w:color="auto"/>
              <w:right w:val="single" w:sz="4" w:space="0" w:color="auto"/>
            </w:tcBorders>
            <w:hideMark/>
          </w:tcPr>
          <w:p w14:paraId="563ABDF1" w14:textId="77777777" w:rsidR="004A02D0" w:rsidRDefault="004A02D0">
            <w:pPr>
              <w:rPr>
                <w:rFonts w:eastAsia="Calibri" w:cs="Calibri"/>
                <w:color w:val="000000"/>
              </w:rPr>
            </w:pPr>
            <w:r>
              <w:rPr>
                <w:rFonts w:eastAsia="Calibri" w:cs="Calibri"/>
                <w:color w:val="000000"/>
              </w:rPr>
              <w:t>400</w:t>
            </w:r>
          </w:p>
        </w:tc>
        <w:tc>
          <w:tcPr>
            <w:tcW w:w="2160" w:type="dxa"/>
            <w:tcBorders>
              <w:top w:val="single" w:sz="4" w:space="0" w:color="auto"/>
              <w:left w:val="single" w:sz="4" w:space="0" w:color="auto"/>
              <w:bottom w:val="single" w:sz="4" w:space="0" w:color="auto"/>
              <w:right w:val="single" w:sz="4" w:space="0" w:color="auto"/>
            </w:tcBorders>
            <w:hideMark/>
          </w:tcPr>
          <w:p w14:paraId="2695BC57" w14:textId="77777777" w:rsidR="004A02D0" w:rsidRDefault="004A02D0">
            <w:pPr>
              <w:rPr>
                <w:rFonts w:eastAsia="Calibri" w:cs="Calibri"/>
                <w:color w:val="000000"/>
              </w:rPr>
            </w:pPr>
            <w:r>
              <w:rPr>
                <w:rFonts w:eastAsia="Calibri" w:cs="Calibri"/>
                <w:color w:val="000000"/>
              </w:rPr>
              <w:t>200</w:t>
            </w:r>
          </w:p>
        </w:tc>
      </w:tr>
      <w:tr w:rsidR="004A02D0" w14:paraId="5BF0EB9F"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63ED989B" w14:textId="77777777" w:rsidR="004A02D0" w:rsidRDefault="004A02D0">
            <w:pPr>
              <w:rPr>
                <w:rFonts w:eastAsia="Calibri" w:cs="Calibri"/>
                <w:color w:val="000000"/>
              </w:rPr>
            </w:pPr>
            <w:r>
              <w:rPr>
                <w:rFonts w:eastAsia="Calibri" w:cs="Calibri"/>
                <w:color w:val="000000"/>
              </w:rPr>
              <w:t>Brass</w:t>
            </w:r>
          </w:p>
        </w:tc>
        <w:tc>
          <w:tcPr>
            <w:tcW w:w="2160" w:type="dxa"/>
            <w:tcBorders>
              <w:top w:val="single" w:sz="4" w:space="0" w:color="auto"/>
              <w:left w:val="single" w:sz="4" w:space="0" w:color="auto"/>
              <w:bottom w:val="single" w:sz="4" w:space="0" w:color="auto"/>
              <w:right w:val="single" w:sz="4" w:space="0" w:color="auto"/>
            </w:tcBorders>
            <w:hideMark/>
          </w:tcPr>
          <w:p w14:paraId="2D045930" w14:textId="77777777" w:rsidR="004A02D0" w:rsidRDefault="004A02D0">
            <w:pPr>
              <w:rPr>
                <w:rFonts w:eastAsia="Calibri" w:cs="Calibri"/>
                <w:color w:val="000000"/>
              </w:rPr>
            </w:pPr>
            <w:r>
              <w:rPr>
                <w:rFonts w:eastAsia="Calibri" w:cs="Calibri"/>
                <w:color w:val="000000"/>
              </w:rPr>
              <w:t>200</w:t>
            </w:r>
          </w:p>
        </w:tc>
        <w:tc>
          <w:tcPr>
            <w:tcW w:w="2160" w:type="dxa"/>
            <w:tcBorders>
              <w:top w:val="single" w:sz="4" w:space="0" w:color="auto"/>
              <w:left w:val="single" w:sz="4" w:space="0" w:color="auto"/>
              <w:bottom w:val="single" w:sz="4" w:space="0" w:color="auto"/>
              <w:right w:val="single" w:sz="4" w:space="0" w:color="auto"/>
            </w:tcBorders>
            <w:hideMark/>
          </w:tcPr>
          <w:p w14:paraId="1ADE48FA" w14:textId="77777777" w:rsidR="004A02D0" w:rsidRDefault="004A02D0">
            <w:pPr>
              <w:rPr>
                <w:rFonts w:eastAsia="Calibri" w:cs="Calibri"/>
                <w:color w:val="000000"/>
              </w:rPr>
            </w:pPr>
            <w:r>
              <w:rPr>
                <w:rFonts w:eastAsia="Calibri" w:cs="Calibri"/>
                <w:color w:val="000000"/>
              </w:rPr>
              <w:t>350</w:t>
            </w:r>
          </w:p>
        </w:tc>
        <w:tc>
          <w:tcPr>
            <w:tcW w:w="2160" w:type="dxa"/>
            <w:tcBorders>
              <w:top w:val="single" w:sz="4" w:space="0" w:color="auto"/>
              <w:left w:val="single" w:sz="4" w:space="0" w:color="auto"/>
              <w:bottom w:val="single" w:sz="4" w:space="0" w:color="auto"/>
              <w:right w:val="single" w:sz="4" w:space="0" w:color="auto"/>
            </w:tcBorders>
            <w:hideMark/>
          </w:tcPr>
          <w:p w14:paraId="5CA25DAF" w14:textId="77777777" w:rsidR="004A02D0" w:rsidRDefault="004A02D0">
            <w:pPr>
              <w:rPr>
                <w:rFonts w:eastAsia="Calibri" w:cs="Calibri"/>
                <w:color w:val="000000"/>
              </w:rPr>
            </w:pPr>
            <w:r>
              <w:rPr>
                <w:rFonts w:eastAsia="Calibri" w:cs="Calibri"/>
                <w:color w:val="000000"/>
              </w:rPr>
              <w:t>100</w:t>
            </w:r>
          </w:p>
        </w:tc>
      </w:tr>
      <w:tr w:rsidR="004A02D0" w14:paraId="0058E926"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448C25ED" w14:textId="77777777" w:rsidR="004A02D0" w:rsidRDefault="004A02D0">
            <w:pPr>
              <w:rPr>
                <w:rFonts w:eastAsia="Calibri" w:cs="Calibri"/>
                <w:color w:val="000000"/>
              </w:rPr>
            </w:pPr>
            <w:r>
              <w:rPr>
                <w:rFonts w:eastAsia="Calibri" w:cs="Calibri"/>
                <w:color w:val="000000"/>
              </w:rPr>
              <w:t>Copper</w:t>
            </w:r>
          </w:p>
        </w:tc>
        <w:tc>
          <w:tcPr>
            <w:tcW w:w="2160" w:type="dxa"/>
            <w:tcBorders>
              <w:top w:val="single" w:sz="4" w:space="0" w:color="auto"/>
              <w:left w:val="single" w:sz="4" w:space="0" w:color="auto"/>
              <w:bottom w:val="single" w:sz="4" w:space="0" w:color="auto"/>
              <w:right w:val="single" w:sz="4" w:space="0" w:color="auto"/>
            </w:tcBorders>
            <w:hideMark/>
          </w:tcPr>
          <w:p w14:paraId="4F97D5E8" w14:textId="77777777" w:rsidR="004A02D0" w:rsidRDefault="004A02D0">
            <w:pPr>
              <w:rPr>
                <w:rFonts w:eastAsia="Calibri" w:cs="Calibri"/>
                <w:color w:val="000000"/>
              </w:rPr>
            </w:pPr>
            <w:r>
              <w:rPr>
                <w:rFonts w:eastAsia="Calibri" w:cs="Calibri"/>
                <w:color w:val="000000"/>
              </w:rPr>
              <w:t>70</w:t>
            </w:r>
          </w:p>
        </w:tc>
        <w:tc>
          <w:tcPr>
            <w:tcW w:w="2160" w:type="dxa"/>
            <w:tcBorders>
              <w:top w:val="single" w:sz="4" w:space="0" w:color="auto"/>
              <w:left w:val="single" w:sz="4" w:space="0" w:color="auto"/>
              <w:bottom w:val="single" w:sz="4" w:space="0" w:color="auto"/>
              <w:right w:val="single" w:sz="4" w:space="0" w:color="auto"/>
            </w:tcBorders>
            <w:hideMark/>
          </w:tcPr>
          <w:p w14:paraId="0EF5F2D6" w14:textId="77777777" w:rsidR="004A02D0" w:rsidRDefault="004A02D0">
            <w:pPr>
              <w:rPr>
                <w:rFonts w:eastAsia="Calibri" w:cs="Calibri"/>
                <w:color w:val="000000"/>
              </w:rPr>
            </w:pPr>
            <w:r>
              <w:rPr>
                <w:rFonts w:eastAsia="Calibri" w:cs="Calibri"/>
                <w:color w:val="000000"/>
              </w:rPr>
              <w:t>210</w:t>
            </w:r>
          </w:p>
        </w:tc>
        <w:tc>
          <w:tcPr>
            <w:tcW w:w="2160" w:type="dxa"/>
            <w:tcBorders>
              <w:top w:val="single" w:sz="4" w:space="0" w:color="auto"/>
              <w:left w:val="single" w:sz="4" w:space="0" w:color="auto"/>
              <w:bottom w:val="single" w:sz="4" w:space="0" w:color="auto"/>
              <w:right w:val="single" w:sz="4" w:space="0" w:color="auto"/>
            </w:tcBorders>
            <w:hideMark/>
          </w:tcPr>
          <w:p w14:paraId="0C71AF25" w14:textId="77777777" w:rsidR="004A02D0" w:rsidRDefault="004A02D0">
            <w:pPr>
              <w:rPr>
                <w:rFonts w:eastAsia="Calibri" w:cs="Calibri"/>
                <w:color w:val="000000"/>
              </w:rPr>
            </w:pPr>
            <w:r>
              <w:rPr>
                <w:rFonts w:eastAsia="Calibri" w:cs="Calibri"/>
                <w:color w:val="000000"/>
              </w:rPr>
              <w:t>110</w:t>
            </w:r>
          </w:p>
        </w:tc>
      </w:tr>
      <w:tr w:rsidR="004A02D0" w14:paraId="11669955" w14:textId="77777777" w:rsidTr="004A02D0">
        <w:tc>
          <w:tcPr>
            <w:tcW w:w="2160" w:type="dxa"/>
            <w:tcBorders>
              <w:top w:val="single" w:sz="4" w:space="0" w:color="auto"/>
              <w:left w:val="single" w:sz="4" w:space="0" w:color="auto"/>
              <w:bottom w:val="single" w:sz="4" w:space="0" w:color="auto"/>
              <w:right w:val="single" w:sz="4" w:space="0" w:color="auto"/>
            </w:tcBorders>
            <w:hideMark/>
          </w:tcPr>
          <w:p w14:paraId="6DF50DF3" w14:textId="77777777" w:rsidR="004A02D0" w:rsidRDefault="004A02D0">
            <w:pPr>
              <w:rPr>
                <w:rFonts w:eastAsia="Calibri" w:cs="Calibri"/>
                <w:color w:val="000000"/>
              </w:rPr>
            </w:pPr>
            <w:r>
              <w:rPr>
                <w:rFonts w:eastAsia="Calibri" w:cs="Calibri"/>
                <w:color w:val="000000"/>
              </w:rPr>
              <w:t>Stainless Steel 304</w:t>
            </w:r>
          </w:p>
        </w:tc>
        <w:tc>
          <w:tcPr>
            <w:tcW w:w="2160" w:type="dxa"/>
            <w:tcBorders>
              <w:top w:val="single" w:sz="4" w:space="0" w:color="auto"/>
              <w:left w:val="single" w:sz="4" w:space="0" w:color="auto"/>
              <w:bottom w:val="single" w:sz="4" w:space="0" w:color="auto"/>
              <w:right w:val="single" w:sz="4" w:space="0" w:color="auto"/>
            </w:tcBorders>
            <w:hideMark/>
          </w:tcPr>
          <w:p w14:paraId="6D25177D" w14:textId="77777777" w:rsidR="004A02D0" w:rsidRDefault="004A02D0">
            <w:pPr>
              <w:rPr>
                <w:rFonts w:eastAsia="Calibri" w:cs="Calibri"/>
                <w:color w:val="000000"/>
              </w:rPr>
            </w:pPr>
            <w:r>
              <w:rPr>
                <w:rFonts w:eastAsia="Calibri" w:cs="Calibri"/>
                <w:color w:val="000000"/>
              </w:rPr>
              <w:t>290</w:t>
            </w:r>
          </w:p>
        </w:tc>
        <w:tc>
          <w:tcPr>
            <w:tcW w:w="2160" w:type="dxa"/>
            <w:tcBorders>
              <w:top w:val="single" w:sz="4" w:space="0" w:color="auto"/>
              <w:left w:val="single" w:sz="4" w:space="0" w:color="auto"/>
              <w:bottom w:val="single" w:sz="4" w:space="0" w:color="auto"/>
              <w:right w:val="single" w:sz="4" w:space="0" w:color="auto"/>
            </w:tcBorders>
            <w:hideMark/>
          </w:tcPr>
          <w:p w14:paraId="43031A82" w14:textId="77777777" w:rsidR="004A02D0" w:rsidRDefault="004A02D0">
            <w:pPr>
              <w:rPr>
                <w:rFonts w:eastAsia="Calibri" w:cs="Calibri"/>
                <w:color w:val="000000"/>
              </w:rPr>
            </w:pPr>
            <w:r>
              <w:rPr>
                <w:rFonts w:eastAsia="Calibri" w:cs="Calibri"/>
                <w:color w:val="000000"/>
              </w:rPr>
              <w:t>620</w:t>
            </w:r>
          </w:p>
        </w:tc>
        <w:tc>
          <w:tcPr>
            <w:tcW w:w="2160" w:type="dxa"/>
            <w:tcBorders>
              <w:top w:val="single" w:sz="4" w:space="0" w:color="auto"/>
              <w:left w:val="single" w:sz="4" w:space="0" w:color="auto"/>
              <w:bottom w:val="single" w:sz="4" w:space="0" w:color="auto"/>
              <w:right w:val="single" w:sz="4" w:space="0" w:color="auto"/>
            </w:tcBorders>
            <w:hideMark/>
          </w:tcPr>
          <w:p w14:paraId="691CD00E" w14:textId="77777777" w:rsidR="004A02D0" w:rsidRDefault="004A02D0">
            <w:pPr>
              <w:rPr>
                <w:rFonts w:eastAsia="Calibri" w:cs="Calibri"/>
                <w:color w:val="000000"/>
              </w:rPr>
            </w:pPr>
            <w:r>
              <w:rPr>
                <w:rFonts w:eastAsia="Calibri" w:cs="Calibri"/>
                <w:color w:val="000000"/>
              </w:rPr>
              <w:t>193</w:t>
            </w:r>
          </w:p>
        </w:tc>
      </w:tr>
    </w:tbl>
    <w:p w14:paraId="2815091A" w14:textId="77777777" w:rsidR="004A02D0" w:rsidRDefault="004A02D0" w:rsidP="004A02D0">
      <w:pPr>
        <w:rPr>
          <w:rFonts w:eastAsia="Calibri" w:cs="Calibri"/>
          <w:color w:val="000000"/>
        </w:rPr>
      </w:pPr>
    </w:p>
    <w:p w14:paraId="4A0AFF44" w14:textId="77777777" w:rsidR="004A02D0" w:rsidRDefault="004A02D0" w:rsidP="004A02D0">
      <w:pPr>
        <w:spacing w:after="200"/>
        <w:rPr>
          <w:rFonts w:eastAsia="Calibri" w:cs="Calibri"/>
          <w:color w:val="000000"/>
        </w:rPr>
      </w:pPr>
      <w:r>
        <w:rPr>
          <w:rFonts w:eastAsia="Calibri" w:cs="Calibri"/>
          <w:color w:val="000000"/>
        </w:rPr>
        <w:t>The following graphs the yield strength, ultimate tensile strength, and Young’s modulus for each metal.</w:t>
      </w:r>
    </w:p>
    <w:p w14:paraId="22EF9EDC" w14:textId="766A06BF" w:rsidR="004A02D0" w:rsidRDefault="004A02D0" w:rsidP="004A02D0">
      <w:pPr>
        <w:spacing w:after="200"/>
        <w:rPr>
          <w:rFonts w:eastAsia="Calibri" w:cs="Calibri"/>
          <w:color w:val="000000"/>
        </w:rPr>
      </w:pPr>
      <w:r>
        <w:rPr>
          <w:rFonts w:eastAsia="Calibri" w:cs="Calibri"/>
          <w:noProof/>
          <w:color w:val="000000"/>
        </w:rPr>
        <w:drawing>
          <wp:inline distT="0" distB="0" distL="0" distR="0" wp14:anchorId="2ED9C5FF" wp14:editId="12197A00">
            <wp:extent cx="3390900" cy="2543175"/>
            <wp:effectExtent l="19050" t="19050" r="19050" b="28575"/>
            <wp:docPr id="3" name="Picture 3" descr="Yield Strength of Met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256122" descr="Yield Strength of Metal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0900" cy="2543175"/>
                    </a:xfrm>
                    <a:prstGeom prst="rect">
                      <a:avLst/>
                    </a:prstGeom>
                    <a:noFill/>
                    <a:ln w="9525" cmpd="sng">
                      <a:solidFill>
                        <a:srgbClr val="000000"/>
                      </a:solidFill>
                      <a:miter lim="800000"/>
                      <a:headEnd/>
                      <a:tailEnd/>
                    </a:ln>
                    <a:effectLst/>
                  </pic:spPr>
                </pic:pic>
              </a:graphicData>
            </a:graphic>
          </wp:inline>
        </w:drawing>
      </w:r>
    </w:p>
    <w:p w14:paraId="5DAE1884" w14:textId="7190B3A4" w:rsidR="004A02D0" w:rsidRDefault="004A02D0" w:rsidP="004A02D0">
      <w:pPr>
        <w:spacing w:after="200"/>
        <w:rPr>
          <w:rFonts w:eastAsia="Calibri" w:cs="Calibri"/>
          <w:color w:val="000000"/>
        </w:rPr>
      </w:pPr>
      <w:r>
        <w:rPr>
          <w:rFonts w:eastAsia="Calibri" w:cs="Calibri"/>
          <w:noProof/>
          <w:color w:val="000000"/>
        </w:rPr>
        <w:lastRenderedPageBreak/>
        <w:drawing>
          <wp:inline distT="0" distB="0" distL="0" distR="0" wp14:anchorId="738D86CC" wp14:editId="6D97BF3F">
            <wp:extent cx="3543300" cy="2657475"/>
            <wp:effectExtent l="19050" t="19050" r="19050" b="28575"/>
            <wp:docPr id="2" name="Picture 2" descr="A graph of metal metal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of metal metal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a:ln w="9525" cmpd="sng">
                      <a:solidFill>
                        <a:srgbClr val="000000"/>
                      </a:solidFill>
                      <a:miter lim="800000"/>
                      <a:headEnd/>
                      <a:tailEnd/>
                    </a:ln>
                    <a:effectLst/>
                  </pic:spPr>
                </pic:pic>
              </a:graphicData>
            </a:graphic>
          </wp:inline>
        </w:drawing>
      </w:r>
    </w:p>
    <w:p w14:paraId="7AEF5B70" w14:textId="77777777" w:rsidR="004A02D0" w:rsidRDefault="004A02D0" w:rsidP="004A02D0">
      <w:pPr>
        <w:rPr>
          <w:rFonts w:eastAsia="Calibri" w:cs="Calibri"/>
          <w:color w:val="000000"/>
        </w:rPr>
      </w:pPr>
    </w:p>
    <w:p w14:paraId="4B93CF93" w14:textId="62AE8CA9" w:rsidR="004A02D0" w:rsidRDefault="004A02D0" w:rsidP="004A02D0">
      <w:pPr>
        <w:spacing w:after="200"/>
        <w:rPr>
          <w:rFonts w:eastAsia="Calibri" w:cs="Calibri"/>
          <w:color w:val="000000"/>
        </w:rPr>
      </w:pPr>
      <w:r>
        <w:rPr>
          <w:rFonts w:eastAsia="Calibri" w:cs="Calibri"/>
          <w:noProof/>
          <w:color w:val="000000"/>
        </w:rPr>
        <w:drawing>
          <wp:inline distT="0" distB="0" distL="0" distR="0" wp14:anchorId="17794509" wp14:editId="13F96BF0">
            <wp:extent cx="3343275" cy="2505075"/>
            <wp:effectExtent l="19050" t="19050" r="28575" b="28575"/>
            <wp:docPr id="1" name="Picture 1" descr="A graph showing metal meta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showing metal metals&#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3275" cy="2505075"/>
                    </a:xfrm>
                    <a:prstGeom prst="rect">
                      <a:avLst/>
                    </a:prstGeom>
                    <a:noFill/>
                    <a:ln w="9525" cmpd="sng">
                      <a:solidFill>
                        <a:srgbClr val="000000"/>
                      </a:solidFill>
                      <a:miter lim="800000"/>
                      <a:headEnd/>
                      <a:tailEnd/>
                    </a:ln>
                    <a:effectLst/>
                  </pic:spPr>
                </pic:pic>
              </a:graphicData>
            </a:graphic>
          </wp:inline>
        </w:drawing>
      </w:r>
    </w:p>
    <w:p w14:paraId="008F05DC" w14:textId="77777777" w:rsidR="004A02D0" w:rsidRDefault="004A02D0" w:rsidP="004A02D0">
      <w:pPr>
        <w:rPr>
          <w:rFonts w:eastAsia="Calibri" w:cs="Times New Roman"/>
        </w:rPr>
      </w:pPr>
      <w:r>
        <w:rPr>
          <w:rFonts w:eastAsia="Calibri" w:cs="Times New Roman"/>
        </w:rPr>
        <w:t>Discussion</w:t>
      </w:r>
    </w:p>
    <w:p w14:paraId="09E07908" w14:textId="77777777" w:rsidR="004A02D0" w:rsidRDefault="004A02D0" w:rsidP="004A02D0">
      <w:pPr>
        <w:rPr>
          <w:rFonts w:eastAsia="Calibri" w:cs="Times New Roman"/>
        </w:rPr>
      </w:pPr>
      <w:r>
        <w:rPr>
          <w:rFonts w:eastAsia="Calibri" w:cs="Times New Roman"/>
        </w:rPr>
        <w:t>The comparative evaluation of the tensile strength, yield strength, and Young’s modulus for the five metals demonstrates significant differences in their mechanical behavior, reflecting their microstructural characteristics and engineering applications</w:t>
      </w:r>
    </w:p>
    <w:p w14:paraId="038FCC8D" w14:textId="77777777" w:rsidR="004A02D0" w:rsidRDefault="004A02D0" w:rsidP="004A02D0">
      <w:pPr>
        <w:rPr>
          <w:rFonts w:eastAsia="Calibri" w:cs="Times New Roman"/>
        </w:rPr>
      </w:pPr>
    </w:p>
    <w:p w14:paraId="3EA6F562" w14:textId="77777777" w:rsidR="004A02D0" w:rsidRDefault="004A02D0" w:rsidP="004A02D0">
      <w:pPr>
        <w:rPr>
          <w:rFonts w:eastAsia="Calibri" w:cs="Times New Roman"/>
        </w:rPr>
      </w:pPr>
      <w:r>
        <w:rPr>
          <w:rFonts w:eastAsia="Calibri" w:cs="Times New Roman"/>
        </w:rPr>
        <w:t xml:space="preserve">Stainless Steel 304 exhibits an outstanding combination of mechanical properties, with the highest ultimate tensile strength (620 MPa) and a high yield strength (290 MPa). This indicates a high resistance to both elastic and plastic deformation, making it ideal for load-bearing components in critical applications such as aerospace fasteners, pressure vessels, and structural frameworks in corrosive environments. Its high Young’s modulus (193 </w:t>
      </w:r>
      <w:proofErr w:type="spellStart"/>
      <w:r>
        <w:rPr>
          <w:rFonts w:eastAsia="Calibri" w:cs="Times New Roman"/>
        </w:rPr>
        <w:t>GPa</w:t>
      </w:r>
      <w:proofErr w:type="spellEnd"/>
      <w:r>
        <w:rPr>
          <w:rFonts w:eastAsia="Calibri" w:cs="Times New Roman"/>
        </w:rPr>
        <w:t>) further emphasizes its stiffness, which is crucial when dimensional stability is a design priority.</w:t>
      </w:r>
    </w:p>
    <w:p w14:paraId="26207C9E" w14:textId="77777777" w:rsidR="004A02D0" w:rsidRDefault="004A02D0" w:rsidP="004A02D0">
      <w:pPr>
        <w:rPr>
          <w:rFonts w:eastAsia="Calibri" w:cs="Times New Roman"/>
        </w:rPr>
      </w:pPr>
    </w:p>
    <w:p w14:paraId="47598A9F" w14:textId="77777777" w:rsidR="004A02D0" w:rsidRDefault="004A02D0" w:rsidP="004A02D0">
      <w:pPr>
        <w:rPr>
          <w:rFonts w:eastAsia="Calibri" w:cs="Times New Roman"/>
        </w:rPr>
      </w:pPr>
      <w:r>
        <w:rPr>
          <w:rFonts w:eastAsia="Calibri" w:cs="Times New Roman"/>
        </w:rPr>
        <w:t xml:space="preserve">Mild Steel, while slightly lower in strength compared to stainless steel, offers a strong yield strength (250 MPa) and tensile strength (400 MPa) combined with a very high Young’s modulus (200 </w:t>
      </w:r>
      <w:proofErr w:type="spellStart"/>
      <w:r>
        <w:rPr>
          <w:rFonts w:eastAsia="Calibri" w:cs="Times New Roman"/>
        </w:rPr>
        <w:t>GPa</w:t>
      </w:r>
      <w:proofErr w:type="spellEnd"/>
      <w:r>
        <w:rPr>
          <w:rFonts w:eastAsia="Calibri" w:cs="Times New Roman"/>
        </w:rPr>
        <w:t xml:space="preserve">). This suggests a rigid, ductile material that can absorb significant stress before failure. Its affordability and </w:t>
      </w:r>
      <w:r>
        <w:rPr>
          <w:rFonts w:eastAsia="Calibri" w:cs="Times New Roman"/>
        </w:rPr>
        <w:lastRenderedPageBreak/>
        <w:t>machinability make it a preferred choice in construction, automotive frames, and heavy machinery. Its combination of ductility and toughness is particularly valuable for structures exposed to fluctuating loads.</w:t>
      </w:r>
    </w:p>
    <w:p w14:paraId="5127CBB4" w14:textId="77777777" w:rsidR="004A02D0" w:rsidRDefault="004A02D0" w:rsidP="004A02D0">
      <w:pPr>
        <w:rPr>
          <w:rFonts w:eastAsia="Calibri" w:cs="Times New Roman"/>
        </w:rPr>
      </w:pPr>
    </w:p>
    <w:p w14:paraId="7EBE9F57" w14:textId="77777777" w:rsidR="004A02D0" w:rsidRDefault="004A02D0" w:rsidP="004A02D0">
      <w:pPr>
        <w:rPr>
          <w:rFonts w:eastAsia="Calibri" w:cs="Times New Roman"/>
        </w:rPr>
      </w:pPr>
      <w:r>
        <w:rPr>
          <w:rFonts w:eastAsia="Calibri" w:cs="Times New Roman"/>
        </w:rPr>
        <w:t xml:space="preserve">Brass demonstrates a moderate tensile strength (350 MPa) and yield strength (200 MPa) with a Young’s modulus of 100 </w:t>
      </w:r>
      <w:proofErr w:type="spellStart"/>
      <w:r>
        <w:rPr>
          <w:rFonts w:eastAsia="Calibri" w:cs="Times New Roman"/>
        </w:rPr>
        <w:t>GPa</w:t>
      </w:r>
      <w:proofErr w:type="spellEnd"/>
      <w:r>
        <w:rPr>
          <w:rFonts w:eastAsia="Calibri" w:cs="Times New Roman"/>
        </w:rPr>
        <w:t>, which is significantly lower than steels. This indicates greater flexibility and reduced stiffness, making brass suitable for components requiring moderate strength but excellent corrosion resistance, such as marine hardware, plumbing fittings, and musical instruments. Its machinability and aesthetic appeal further expand its application range.</w:t>
      </w:r>
    </w:p>
    <w:p w14:paraId="71F3BC78" w14:textId="77777777" w:rsidR="004A02D0" w:rsidRDefault="004A02D0" w:rsidP="004A02D0">
      <w:pPr>
        <w:rPr>
          <w:rFonts w:eastAsia="Calibri" w:cs="Times New Roman"/>
        </w:rPr>
      </w:pPr>
    </w:p>
    <w:p w14:paraId="2E924F24" w14:textId="77777777" w:rsidR="004A02D0" w:rsidRDefault="004A02D0" w:rsidP="004A02D0">
      <w:pPr>
        <w:rPr>
          <w:rFonts w:eastAsia="Calibri" w:cs="Times New Roman"/>
        </w:rPr>
      </w:pPr>
      <w:r>
        <w:rPr>
          <w:rFonts w:eastAsia="Calibri" w:cs="Times New Roman"/>
        </w:rPr>
        <w:t xml:space="preserve">Aluminum 6061-T6 presents an interesting balance of mechanical properties: a tensile strength of 310 MPa and yield strength of 276 MPa, combined with a relatively low Young’s modulus (69 </w:t>
      </w:r>
      <w:proofErr w:type="spellStart"/>
      <w:r>
        <w:rPr>
          <w:rFonts w:eastAsia="Calibri" w:cs="Times New Roman"/>
        </w:rPr>
        <w:t>GPa</w:t>
      </w:r>
      <w:proofErr w:type="spellEnd"/>
      <w:r>
        <w:rPr>
          <w:rFonts w:eastAsia="Calibri" w:cs="Times New Roman"/>
        </w:rPr>
        <w:t>). While not as stiff as steel, its high strength-to-weight ratio makes it a premier choice for applications where weight savings are crucial, such as in aircraft frames, automotive parts, and lightweight structural assemblies. Its corrosion resistance and ease of fabrication enhance its versatility.</w:t>
      </w:r>
    </w:p>
    <w:p w14:paraId="3DF2E22F" w14:textId="77777777" w:rsidR="004A02D0" w:rsidRDefault="004A02D0" w:rsidP="004A02D0">
      <w:pPr>
        <w:rPr>
          <w:rFonts w:eastAsia="Calibri" w:cs="Times New Roman"/>
        </w:rPr>
      </w:pPr>
    </w:p>
    <w:p w14:paraId="29DBF134" w14:textId="77777777" w:rsidR="004A02D0" w:rsidRDefault="004A02D0" w:rsidP="004A02D0">
      <w:pPr>
        <w:rPr>
          <w:rFonts w:eastAsia="Calibri" w:cs="Times New Roman"/>
        </w:rPr>
      </w:pPr>
      <w:r>
        <w:rPr>
          <w:rFonts w:eastAsia="Calibri" w:cs="Times New Roman"/>
        </w:rPr>
        <w:t xml:space="preserve">Copper’s low yield strength (70 MPa) and tensile strength (210 MPa) reflect its high ductility, allowing it to deform significantly before failure. Despite its comparatively low stiffness (Young’s modulus of 110 </w:t>
      </w:r>
      <w:proofErr w:type="spellStart"/>
      <w:r>
        <w:rPr>
          <w:rFonts w:eastAsia="Calibri" w:cs="Times New Roman"/>
        </w:rPr>
        <w:t>GPa</w:t>
      </w:r>
      <w:proofErr w:type="spellEnd"/>
      <w:r>
        <w:rPr>
          <w:rFonts w:eastAsia="Calibri" w:cs="Times New Roman"/>
        </w:rPr>
        <w:t>), copper excels in applications where electrical and thermal conductivity are prioritized over mechanical strength, such as in wiring, electrical connectors, and heat exchangers. Its excellent corrosion resistance also makes it suitable for roofing and water piping in aggressive environments.</w:t>
      </w:r>
    </w:p>
    <w:p w14:paraId="75C12058" w14:textId="77777777" w:rsidR="004A02D0" w:rsidRDefault="004A02D0" w:rsidP="004A02D0">
      <w:pPr>
        <w:rPr>
          <w:rFonts w:eastAsia="Calibri" w:cs="Times New Roman"/>
        </w:rPr>
      </w:pPr>
    </w:p>
    <w:p w14:paraId="0D02C29D" w14:textId="77777777" w:rsidR="004A02D0" w:rsidRDefault="004A02D0" w:rsidP="004A02D0">
      <w:pPr>
        <w:rPr>
          <w:rFonts w:eastAsia="Calibri" w:cs="Times New Roman"/>
        </w:rPr>
      </w:pPr>
      <w:r>
        <w:rPr>
          <w:rFonts w:eastAsia="Calibri" w:cs="Times New Roman"/>
        </w:rPr>
        <w:t>Overall, the selection of these materials in engineering design depends on a careful trade-off between mechanical performance, weight, corrosion resistance, cost, and intended application environment. The provided data underscores the importance of aligning material properties with functional requirements to ensure safety, performance, and longevity of the final product.</w:t>
      </w:r>
    </w:p>
    <w:p w14:paraId="3DF0B137" w14:textId="77777777" w:rsidR="004A02D0" w:rsidRDefault="004A02D0" w:rsidP="004A02D0">
      <w:pPr>
        <w:rPr>
          <w:rFonts w:eastAsia="Calibri" w:cs="Times New Roman"/>
        </w:rPr>
      </w:pPr>
    </w:p>
    <w:p w14:paraId="55CB5CF3" w14:textId="77777777" w:rsidR="004A02D0" w:rsidRDefault="004A02D0" w:rsidP="004A02D0">
      <w:pPr>
        <w:rPr>
          <w:rFonts w:eastAsia="Calibri" w:cs="Times New Roman"/>
        </w:rPr>
      </w:pPr>
      <w:r>
        <w:rPr>
          <w:rFonts w:eastAsia="Calibri" w:cs="Times New Roman"/>
        </w:rPr>
        <w:t>Conclusion</w:t>
      </w:r>
    </w:p>
    <w:p w14:paraId="75B9CB8A" w14:textId="77777777" w:rsidR="004A02D0" w:rsidRDefault="004A02D0" w:rsidP="004A02D0">
      <w:pPr>
        <w:rPr>
          <w:rFonts w:eastAsia="Calibri" w:cs="Times New Roman"/>
        </w:rPr>
      </w:pPr>
      <w:r>
        <w:rPr>
          <w:rFonts w:eastAsia="Calibri" w:cs="Times New Roman"/>
        </w:rPr>
        <w:t>From the comparative analysis, material selection depends heavily on the intended application. For high-load structural purposes, Stainless Steel 304 is superior, while aluminum offers advantages where weight is a key factor. Mild Steel serves as a versatile, cost-effective choice. Brass and copper are better suited to applications where corrosion resistance, machinability, or electrical conductivity are more critical than tensile performance.</w:t>
      </w:r>
    </w:p>
    <w:p w14:paraId="73C2513C" w14:textId="77777777" w:rsidR="004A02D0" w:rsidRDefault="004A02D0" w:rsidP="004A02D0">
      <w:pPr>
        <w:rPr>
          <w:rFonts w:eastAsia="Calibri" w:cs="Times New Roman"/>
        </w:rPr>
      </w:pPr>
    </w:p>
    <w:p w14:paraId="00B35E6A" w14:textId="77777777" w:rsidR="004A02D0" w:rsidRDefault="004A02D0" w:rsidP="004A02D0">
      <w:pPr>
        <w:rPr>
          <w:rFonts w:eastAsia="Calibri" w:cs="Times New Roman"/>
        </w:rPr>
      </w:pPr>
      <w:r>
        <w:rPr>
          <w:rFonts w:eastAsia="Calibri" w:cs="Times New Roman"/>
        </w:rPr>
        <w:t>References</w:t>
      </w:r>
    </w:p>
    <w:p w14:paraId="7C39C678" w14:textId="77777777" w:rsidR="004A02D0" w:rsidRDefault="004A02D0" w:rsidP="004A02D0">
      <w:pPr>
        <w:rPr>
          <w:rFonts w:eastAsia="Calibri" w:cs="Times New Roman"/>
        </w:rPr>
      </w:pPr>
      <w:r>
        <w:rPr>
          <w:rFonts w:eastAsia="Calibri" w:cs="Times New Roman"/>
        </w:rPr>
        <w:t>Callister, W. D., &amp; Rethwisch, D. G. (2021). *Materials Science and Engineering: An Introduction* (11th ed.). Wiley.</w:t>
      </w:r>
    </w:p>
    <w:p w14:paraId="4F7FF21D" w14:textId="77777777" w:rsidR="004A02D0" w:rsidRDefault="004A02D0" w:rsidP="004A02D0">
      <w:pPr>
        <w:rPr>
          <w:rFonts w:eastAsia="Calibri" w:cs="Times New Roman"/>
        </w:rPr>
      </w:pPr>
      <w:r>
        <w:rPr>
          <w:rFonts w:eastAsia="Calibri" w:cs="Times New Roman"/>
        </w:rPr>
        <w:t>Ashby, M. F. (2011). *Materials Selection in Mechanical Design* (4th ed.). Butterworth-Heinemann.</w:t>
      </w:r>
    </w:p>
    <w:p w14:paraId="7A7825F6" w14:textId="21D31377" w:rsidR="004A02D0" w:rsidRDefault="004A02D0" w:rsidP="004A02D0">
      <w:pPr>
        <w:spacing w:after="160"/>
        <w:rPr>
          <w:rFonts w:eastAsia="Calibri" w:cs="Calibri"/>
        </w:rPr>
      </w:pPr>
    </w:p>
    <w:sectPr w:rsidR="004A02D0" w:rsidSect="004A02D0">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6850" w14:textId="77777777" w:rsidR="00CE7084" w:rsidRDefault="00CE7084" w:rsidP="004A02D0">
      <w:r>
        <w:separator/>
      </w:r>
    </w:p>
  </w:endnote>
  <w:endnote w:type="continuationSeparator" w:id="0">
    <w:p w14:paraId="6BCF9CAF" w14:textId="77777777" w:rsidR="00CE7084" w:rsidRDefault="00CE7084" w:rsidP="004A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425846"/>
      <w:docPartObj>
        <w:docPartGallery w:val="Page Numbers (Bottom of Page)"/>
        <w:docPartUnique/>
      </w:docPartObj>
    </w:sdtPr>
    <w:sdtEndPr>
      <w:rPr>
        <w:noProof/>
        <w:sz w:val="16"/>
        <w:szCs w:val="16"/>
      </w:rPr>
    </w:sdtEndPr>
    <w:sdtContent>
      <w:p w14:paraId="6AC72D2E" w14:textId="56791E3F" w:rsidR="004A02D0" w:rsidRPr="004A02D0" w:rsidRDefault="004A02D0">
        <w:pPr>
          <w:pStyle w:val="Footer"/>
          <w:jc w:val="right"/>
          <w:rPr>
            <w:sz w:val="16"/>
            <w:szCs w:val="16"/>
          </w:rPr>
        </w:pPr>
        <w:r w:rsidRPr="004A02D0">
          <w:rPr>
            <w:sz w:val="16"/>
            <w:szCs w:val="16"/>
          </w:rPr>
          <w:fldChar w:fldCharType="begin"/>
        </w:r>
        <w:r w:rsidRPr="004A02D0">
          <w:rPr>
            <w:sz w:val="16"/>
            <w:szCs w:val="16"/>
          </w:rPr>
          <w:instrText xml:space="preserve"> PAGE   \* MERGEFORMAT </w:instrText>
        </w:r>
        <w:r w:rsidRPr="004A02D0">
          <w:rPr>
            <w:sz w:val="16"/>
            <w:szCs w:val="16"/>
          </w:rPr>
          <w:fldChar w:fldCharType="separate"/>
        </w:r>
        <w:r w:rsidRPr="004A02D0">
          <w:rPr>
            <w:noProof/>
            <w:sz w:val="16"/>
            <w:szCs w:val="16"/>
          </w:rPr>
          <w:t>2</w:t>
        </w:r>
        <w:r w:rsidRPr="004A02D0">
          <w:rPr>
            <w:noProof/>
            <w:sz w:val="16"/>
            <w:szCs w:val="16"/>
          </w:rPr>
          <w:fldChar w:fldCharType="end"/>
        </w:r>
      </w:p>
    </w:sdtContent>
  </w:sdt>
  <w:p w14:paraId="426CBBCD" w14:textId="77777777" w:rsidR="004A02D0" w:rsidRDefault="004A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20A9" w14:textId="77777777" w:rsidR="00CE7084" w:rsidRDefault="00CE7084" w:rsidP="004A02D0">
      <w:r>
        <w:separator/>
      </w:r>
    </w:p>
  </w:footnote>
  <w:footnote w:type="continuationSeparator" w:id="0">
    <w:p w14:paraId="16D3C1BF" w14:textId="77777777" w:rsidR="00CE7084" w:rsidRDefault="00CE7084" w:rsidP="004A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67"/>
    <w:multiLevelType w:val="hybridMultilevel"/>
    <w:tmpl w:val="2B92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8F70D3"/>
    <w:multiLevelType w:val="hybridMultilevel"/>
    <w:tmpl w:val="658071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83E0B00"/>
    <w:multiLevelType w:val="hybridMultilevel"/>
    <w:tmpl w:val="2DF691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2EC26C6"/>
    <w:multiLevelType w:val="hybridMultilevel"/>
    <w:tmpl w:val="5D0E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2851912">
    <w:abstractNumId w:val="1"/>
  </w:num>
  <w:num w:numId="2" w16cid:durableId="1308366109">
    <w:abstractNumId w:val="3"/>
  </w:num>
  <w:num w:numId="3" w16cid:durableId="373778080">
    <w:abstractNumId w:val="0"/>
  </w:num>
  <w:num w:numId="4" w16cid:durableId="263926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D0"/>
    <w:rsid w:val="00026A87"/>
    <w:rsid w:val="00430678"/>
    <w:rsid w:val="004A02D0"/>
    <w:rsid w:val="00642D48"/>
    <w:rsid w:val="006C2C68"/>
    <w:rsid w:val="00823960"/>
    <w:rsid w:val="00C8529A"/>
    <w:rsid w:val="00CE7084"/>
    <w:rsid w:val="00E3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7962"/>
  <w15:chartTrackingRefBased/>
  <w15:docId w15:val="{A2C44CD3-3799-4625-93FB-FA28C6CB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
    <w:qFormat/>
    <w:rsid w:val="004A02D0"/>
    <w:pPr>
      <w:spacing w:after="0" w:line="240" w:lineRule="auto"/>
    </w:pPr>
    <w:rPr>
      <w:rFonts w:ascii="Calibri" w:hAnsi="Calibri"/>
      <w:sz w:val="24"/>
    </w:rPr>
  </w:style>
  <w:style w:type="paragraph" w:styleId="Heading1">
    <w:name w:val="heading 1"/>
    <w:aliases w:val="Heading 1 BrSp Guide"/>
    <w:basedOn w:val="Normal"/>
    <w:next w:val="Normal"/>
    <w:link w:val="Heading1Char"/>
    <w:autoRedefine/>
    <w:uiPriority w:val="9"/>
    <w:qFormat/>
    <w:rsid w:val="004A02D0"/>
    <w:pPr>
      <w:keepNext/>
      <w:keepLines/>
      <w:outlineLvl w:val="0"/>
    </w:pPr>
    <w:rPr>
      <w:rFonts w:eastAsia="Arial" w:cs="Times New Roman"/>
      <w:color w:val="2F5597"/>
      <w:sz w:val="32"/>
      <w:szCs w:val="32"/>
    </w:rPr>
  </w:style>
  <w:style w:type="paragraph" w:styleId="Heading2">
    <w:name w:val="heading 2"/>
    <w:aliases w:val="Heading 2 BrSp Guide"/>
    <w:basedOn w:val="Normal"/>
    <w:next w:val="Normal"/>
    <w:link w:val="Heading2Char"/>
    <w:autoRedefine/>
    <w:uiPriority w:val="9"/>
    <w:semiHidden/>
    <w:unhideWhenUsed/>
    <w:qFormat/>
    <w:rsid w:val="004A02D0"/>
    <w:pPr>
      <w:keepNext/>
      <w:keepLines/>
      <w:outlineLvl w:val="1"/>
    </w:pPr>
    <w:rPr>
      <w:rFonts w:eastAsia="Arial" w:cstheme="majorBidi"/>
      <w:color w:val="2F559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ew"/>
    <w:uiPriority w:val="1"/>
    <w:qFormat/>
    <w:rsid w:val="00430678"/>
    <w:pPr>
      <w:spacing w:after="0" w:line="240" w:lineRule="auto"/>
    </w:pPr>
    <w:rPr>
      <w:kern w:val="2"/>
      <w:sz w:val="24"/>
      <w:szCs w:val="24"/>
      <w14:ligatures w14:val="standardContextual"/>
    </w:rPr>
  </w:style>
  <w:style w:type="character" w:customStyle="1" w:styleId="Heading1Char">
    <w:name w:val="Heading 1 Char"/>
    <w:aliases w:val="Heading 1 BrSp Guide Char"/>
    <w:basedOn w:val="DefaultParagraphFont"/>
    <w:link w:val="Heading1"/>
    <w:uiPriority w:val="9"/>
    <w:rsid w:val="004A02D0"/>
    <w:rPr>
      <w:rFonts w:ascii="Calibri" w:eastAsia="Arial" w:hAnsi="Calibri" w:cs="Times New Roman"/>
      <w:color w:val="2F5597"/>
      <w:sz w:val="32"/>
      <w:szCs w:val="32"/>
    </w:rPr>
  </w:style>
  <w:style w:type="character" w:customStyle="1" w:styleId="Heading2Char">
    <w:name w:val="Heading 2 Char"/>
    <w:aliases w:val="Heading 2 BrSp Guide Char"/>
    <w:basedOn w:val="DefaultParagraphFont"/>
    <w:link w:val="Heading2"/>
    <w:uiPriority w:val="9"/>
    <w:semiHidden/>
    <w:rsid w:val="004A02D0"/>
    <w:rPr>
      <w:rFonts w:ascii="Calibri" w:eastAsia="Arial" w:hAnsi="Calibri" w:cstheme="majorBidi"/>
      <w:color w:val="2F5597"/>
      <w:sz w:val="26"/>
      <w:szCs w:val="26"/>
    </w:rPr>
  </w:style>
  <w:style w:type="character" w:customStyle="1" w:styleId="TitleChar">
    <w:name w:val="Title Char"/>
    <w:aliases w:val="Title BrSp Guide Char"/>
    <w:basedOn w:val="DefaultParagraphFont"/>
    <w:link w:val="Title"/>
    <w:uiPriority w:val="10"/>
    <w:locked/>
    <w:rsid w:val="00026A87"/>
    <w:rPr>
      <w:rFonts w:ascii="Calibri" w:eastAsia="Calibri" w:hAnsi="Calibri" w:cstheme="majorBidi"/>
      <w:bCs/>
      <w:color w:val="2F5597"/>
      <w:spacing w:val="-10"/>
      <w:kern w:val="28"/>
      <w:sz w:val="56"/>
      <w:szCs w:val="56"/>
    </w:rPr>
  </w:style>
  <w:style w:type="paragraph" w:styleId="Title">
    <w:name w:val="Title"/>
    <w:aliases w:val="Title BrSp Guide"/>
    <w:basedOn w:val="Normal"/>
    <w:next w:val="Normal"/>
    <w:link w:val="TitleChar"/>
    <w:autoRedefine/>
    <w:uiPriority w:val="10"/>
    <w:qFormat/>
    <w:rsid w:val="00026A87"/>
    <w:pPr>
      <w:contextualSpacing/>
    </w:pPr>
    <w:rPr>
      <w:rFonts w:eastAsia="Calibri" w:cstheme="majorBidi"/>
      <w:bCs/>
      <w:color w:val="2F5597"/>
      <w:spacing w:val="-10"/>
      <w:kern w:val="28"/>
      <w:sz w:val="56"/>
      <w:szCs w:val="56"/>
    </w:rPr>
  </w:style>
  <w:style w:type="character" w:customStyle="1" w:styleId="TitleChar1">
    <w:name w:val="Title Char1"/>
    <w:basedOn w:val="DefaultParagraphFont"/>
    <w:uiPriority w:val="10"/>
    <w:rsid w:val="004A02D0"/>
    <w:rPr>
      <w:rFonts w:asciiTheme="majorHAnsi" w:eastAsiaTheme="majorEastAsia" w:hAnsiTheme="majorHAnsi" w:cstheme="majorBidi"/>
      <w:spacing w:val="-10"/>
      <w:kern w:val="28"/>
      <w:sz w:val="56"/>
      <w:szCs w:val="56"/>
    </w:rPr>
  </w:style>
  <w:style w:type="table" w:customStyle="1" w:styleId="TableGrid10">
    <w:name w:val="Table Grid10"/>
    <w:basedOn w:val="TableNormal"/>
    <w:uiPriority w:val="59"/>
    <w:rsid w:val="004A02D0"/>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2D0"/>
    <w:pPr>
      <w:tabs>
        <w:tab w:val="center" w:pos="4680"/>
        <w:tab w:val="right" w:pos="9360"/>
      </w:tabs>
    </w:pPr>
  </w:style>
  <w:style w:type="character" w:customStyle="1" w:styleId="HeaderChar">
    <w:name w:val="Header Char"/>
    <w:basedOn w:val="DefaultParagraphFont"/>
    <w:link w:val="Header"/>
    <w:uiPriority w:val="99"/>
    <w:rsid w:val="004A02D0"/>
    <w:rPr>
      <w:rFonts w:ascii="Calibri" w:hAnsi="Calibri"/>
      <w:sz w:val="24"/>
    </w:rPr>
  </w:style>
  <w:style w:type="paragraph" w:styleId="Footer">
    <w:name w:val="footer"/>
    <w:basedOn w:val="Normal"/>
    <w:link w:val="FooterChar"/>
    <w:uiPriority w:val="99"/>
    <w:unhideWhenUsed/>
    <w:rsid w:val="004A02D0"/>
    <w:pPr>
      <w:tabs>
        <w:tab w:val="center" w:pos="4680"/>
        <w:tab w:val="right" w:pos="9360"/>
      </w:tabs>
    </w:pPr>
  </w:style>
  <w:style w:type="character" w:customStyle="1" w:styleId="FooterChar">
    <w:name w:val="Footer Char"/>
    <w:basedOn w:val="DefaultParagraphFont"/>
    <w:link w:val="Footer"/>
    <w:uiPriority w:val="99"/>
    <w:rsid w:val="004A02D0"/>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Brancaccio Taras</dc:creator>
  <cp:keywords/>
  <dc:description/>
  <cp:lastModifiedBy>Loretta Brancaccio Taras</cp:lastModifiedBy>
  <cp:revision>3</cp:revision>
  <dcterms:created xsi:type="dcterms:W3CDTF">2025-09-03T14:39:00Z</dcterms:created>
  <dcterms:modified xsi:type="dcterms:W3CDTF">2025-09-11T19:38:00Z</dcterms:modified>
</cp:coreProperties>
</file>