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4F7" w14:textId="389891BD" w:rsidR="60F44C9E" w:rsidRDefault="00B43F13" w:rsidP="27E7B809">
      <w:pPr>
        <w:pStyle w:val="Title"/>
        <w:spacing w:after="0"/>
        <w:rPr>
          <w:rFonts w:ascii="Calibri" w:eastAsia="Calibri" w:hAnsi="Calibri" w:cs="Calibri"/>
          <w:b/>
          <w:bCs/>
        </w:rPr>
      </w:pPr>
      <w:r w:rsidRPr="390F293F">
        <w:rPr>
          <w:rFonts w:ascii="Calibri" w:eastAsia="Calibri" w:hAnsi="Calibri" w:cs="Calibri"/>
        </w:rPr>
        <w:t xml:space="preserve">Research Paper </w:t>
      </w:r>
      <w:r w:rsidR="007B674F">
        <w:rPr>
          <w:rFonts w:ascii="Calibri" w:eastAsia="Calibri" w:hAnsi="Calibri" w:cs="Calibri"/>
        </w:rPr>
        <w:t xml:space="preserve">(English) </w:t>
      </w:r>
      <w:r w:rsidRPr="390F293F">
        <w:rPr>
          <w:rFonts w:ascii="Calibri" w:eastAsia="Calibri" w:hAnsi="Calibri" w:cs="Calibri"/>
        </w:rPr>
        <w:t>Assignment</w:t>
      </w:r>
    </w:p>
    <w:p w14:paraId="0AB67490" w14:textId="2A8356E6" w:rsidR="1EDFAD3C" w:rsidRDefault="1EDFAD3C" w:rsidP="27E7B809">
      <w:pPr>
        <w:spacing w:line="240" w:lineRule="auto"/>
      </w:pPr>
    </w:p>
    <w:p w14:paraId="3E82EF4A" w14:textId="77777777" w:rsidR="00B43F13" w:rsidRPr="00B43F13" w:rsidRDefault="75D9A360" w:rsidP="39CAF30A">
      <w:pPr>
        <w:pStyle w:val="Heading1"/>
        <w:rPr>
          <w:rFonts w:ascii="Calibri" w:eastAsia="Calibri" w:hAnsi="Calibri" w:cs="Calibri"/>
          <w:b/>
          <w:bCs/>
        </w:rPr>
      </w:pPr>
      <w:r>
        <w:t>Information for Instructors</w:t>
      </w:r>
    </w:p>
    <w:p w14:paraId="3AADE082" w14:textId="61B9083D" w:rsidR="463C45C0" w:rsidRDefault="4CB699AB" w:rsidP="39CAF30A">
      <w:pPr>
        <w:pStyle w:val="Heading1"/>
        <w:keepLines/>
        <w:rPr>
          <w:rFonts w:ascii="Calibri" w:eastAsia="Calibri" w:hAnsi="Calibri" w:cs="Calibri"/>
        </w:rPr>
      </w:pPr>
      <w:r w:rsidRPr="39CAF30A">
        <w:rPr>
          <w:rFonts w:ascii="Calibri" w:eastAsia="Calibri" w:hAnsi="Calibri" w:cs="Calibri"/>
        </w:rPr>
        <w:t>Research Paper Assignment</w:t>
      </w:r>
    </w:p>
    <w:p w14:paraId="4022C11A" w14:textId="77777777" w:rsidR="00B43F13" w:rsidRPr="00B43F13" w:rsidRDefault="75D9A360" w:rsidP="39CAF30A">
      <w:pPr>
        <w:pStyle w:val="Heading2"/>
        <w:keepLines/>
        <w:rPr>
          <w:rFonts w:ascii="Calibri" w:eastAsia="Calibri" w:hAnsi="Calibri" w:cs="Calibri"/>
        </w:rPr>
      </w:pPr>
      <w:r>
        <w:t>Overview</w:t>
      </w:r>
    </w:p>
    <w:p w14:paraId="3BE7F741" w14:textId="30CDBD60" w:rsidR="00B43F13" w:rsidRDefault="75D9A360" w:rsidP="007F57D5">
      <w:pPr>
        <w:keepLines/>
        <w:spacing w:after="0" w:line="240" w:lineRule="auto"/>
        <w:rPr>
          <w:kern w:val="0"/>
          <w14:ligatures w14:val="none"/>
        </w:rPr>
      </w:pPr>
      <w:r w:rsidRPr="25AA3742">
        <w:rPr>
          <w:kern w:val="0"/>
          <w14:ligatures w14:val="none"/>
        </w:rPr>
        <w:t xml:space="preserve">This assignment addresses the Pathways outcome: </w:t>
      </w:r>
      <w:r w:rsidRPr="39CAF30A">
        <w:rPr>
          <w:kern w:val="0"/>
          <w14:ligatures w14:val="none"/>
        </w:rPr>
        <w:t xml:space="preserve">Gather, interpret, and assess information from a variety of sources and points of view. </w:t>
      </w:r>
    </w:p>
    <w:p w14:paraId="0794FBB4" w14:textId="77777777" w:rsidR="00A8339C" w:rsidRDefault="00A8339C" w:rsidP="007F57D5">
      <w:pPr>
        <w:keepLines/>
        <w:spacing w:after="0" w:line="240" w:lineRule="auto"/>
      </w:pPr>
    </w:p>
    <w:p w14:paraId="202E17C0" w14:textId="1683FCF7" w:rsidR="39CAF30A" w:rsidRDefault="1BF5E4A7" w:rsidP="00A8339C">
      <w:pPr>
        <w:spacing w:after="0" w:line="240" w:lineRule="auto"/>
      </w:pPr>
      <w:r w:rsidRPr="25AA3742">
        <w:rPr>
          <w:kern w:val="0"/>
          <w14:ligatures w14:val="none"/>
        </w:rPr>
        <w:t>S</w:t>
      </w:r>
      <w:r w:rsidR="75D9A360" w:rsidRPr="25AA3742">
        <w:rPr>
          <w:kern w:val="0"/>
          <w14:ligatures w14:val="none"/>
        </w:rPr>
        <w:t>tudents will write a research paper analyzing a work of world literature from 20</w:t>
      </w:r>
      <w:r w:rsidR="75D9A360" w:rsidRPr="39CAF30A">
        <w:rPr>
          <w:kern w:val="0"/>
          <w:vertAlign w:val="superscript"/>
          <w14:ligatures w14:val="none"/>
        </w:rPr>
        <w:t>th</w:t>
      </w:r>
      <w:r w:rsidR="75D9A360" w:rsidRPr="25AA3742">
        <w:rPr>
          <w:kern w:val="0"/>
          <w14:ligatures w14:val="none"/>
        </w:rPr>
        <w:t xml:space="preserve"> or 21</w:t>
      </w:r>
      <w:r w:rsidR="75D9A360" w:rsidRPr="39CAF30A">
        <w:rPr>
          <w:kern w:val="0"/>
          <w:vertAlign w:val="superscript"/>
          <w14:ligatures w14:val="none"/>
        </w:rPr>
        <w:t>st</w:t>
      </w:r>
      <w:r w:rsidR="75D9A360" w:rsidRPr="25AA3742">
        <w:rPr>
          <w:kern w:val="0"/>
          <w14:ligatures w14:val="none"/>
        </w:rPr>
        <w:t xml:space="preserve"> century Asia, Africa, or Europe. They will gather information from multiple scholarly and credible sources, interpret different points of view, and assess how these perspectives contribute to a deeper understanding of the text’s themes, historical context, and cultural significance. This assignment builds research skills, literary analysis, and global cultural awareness needed for college-level literature courses.</w:t>
      </w:r>
    </w:p>
    <w:p w14:paraId="008AD377" w14:textId="77777777" w:rsidR="00A8339C" w:rsidRDefault="00A8339C" w:rsidP="00A8339C">
      <w:pPr>
        <w:spacing w:after="0" w:line="240" w:lineRule="auto"/>
      </w:pPr>
    </w:p>
    <w:p w14:paraId="10EC3665" w14:textId="77777777" w:rsidR="00A8339C" w:rsidRDefault="00A8339C" w:rsidP="00A8339C">
      <w:pPr>
        <w:spacing w:after="0" w:line="240" w:lineRule="auto"/>
      </w:pPr>
    </w:p>
    <w:p w14:paraId="49CF9F1E" w14:textId="77777777" w:rsidR="00B43F13" w:rsidRPr="00B43F13" w:rsidRDefault="00B43F13" w:rsidP="00A8339C">
      <w:pPr>
        <w:pStyle w:val="Heading1"/>
        <w:rPr>
          <w:rFonts w:ascii="Calibri" w:eastAsia="Calibri" w:hAnsi="Calibri" w:cs="Calibri"/>
          <w:b/>
          <w:bCs/>
        </w:rPr>
      </w:pPr>
      <w:r w:rsidRPr="390F293F">
        <w:rPr>
          <w:rFonts w:ascii="Calibri" w:eastAsia="Calibri" w:hAnsi="Calibri" w:cs="Calibri"/>
        </w:rPr>
        <w:t>Information for Students</w:t>
      </w:r>
    </w:p>
    <w:p w14:paraId="49301D86" w14:textId="61B9083D" w:rsidR="7A615C1C" w:rsidRDefault="7A615C1C" w:rsidP="00A8339C">
      <w:pPr>
        <w:pStyle w:val="Heading1"/>
        <w:rPr>
          <w:rFonts w:ascii="Calibri" w:eastAsia="Calibri" w:hAnsi="Calibri" w:cs="Calibri"/>
        </w:rPr>
      </w:pPr>
      <w:r w:rsidRPr="390F293F">
        <w:rPr>
          <w:rFonts w:ascii="Calibri" w:eastAsia="Calibri" w:hAnsi="Calibri" w:cs="Calibri"/>
        </w:rPr>
        <w:t>Research Paper Assignment</w:t>
      </w:r>
    </w:p>
    <w:p w14:paraId="3D1815E5" w14:textId="77777777" w:rsidR="00B43F13" w:rsidRPr="00B43F13" w:rsidRDefault="00B43F13" w:rsidP="27E7B809">
      <w:pPr>
        <w:pStyle w:val="Heading2"/>
        <w:rPr>
          <w:rFonts w:ascii="Calibri" w:eastAsia="Calibri" w:hAnsi="Calibri" w:cs="Calibri"/>
          <w:b/>
          <w:bCs/>
        </w:rPr>
      </w:pPr>
      <w:r w:rsidRPr="390F293F">
        <w:rPr>
          <w:rFonts w:ascii="Calibri" w:eastAsia="Calibri" w:hAnsi="Calibri" w:cs="Calibri"/>
        </w:rPr>
        <w:t>Overview</w:t>
      </w:r>
    </w:p>
    <w:p w14:paraId="3B6E5367" w14:textId="454DA9C7" w:rsidR="627E33DF" w:rsidRDefault="4CAD4B60" w:rsidP="007F57D5">
      <w:pPr>
        <w:spacing w:after="0" w:line="240" w:lineRule="auto"/>
        <w:rPr>
          <w:kern w:val="0"/>
          <w14:ligatures w14:val="none"/>
        </w:rPr>
      </w:pPr>
      <w:r w:rsidRPr="25AA3742">
        <w:rPr>
          <w:kern w:val="0"/>
          <w14:ligatures w14:val="none"/>
        </w:rPr>
        <w:t xml:space="preserve">In </w:t>
      </w:r>
      <w:r w:rsidR="75D9A360" w:rsidRPr="25AA3742">
        <w:rPr>
          <w:kern w:val="0"/>
          <w14:ligatures w14:val="none"/>
        </w:rPr>
        <w:t xml:space="preserve">this assignment, you will write a research paper analyzing a work of literature from </w:t>
      </w:r>
      <w:r w:rsidR="2EE27EA8" w:rsidRPr="39CAF30A">
        <w:t>20</w:t>
      </w:r>
      <w:r w:rsidR="2EE27EA8" w:rsidRPr="39CAF30A">
        <w:rPr>
          <w:vertAlign w:val="superscript"/>
        </w:rPr>
        <w:t>th</w:t>
      </w:r>
      <w:r w:rsidR="2EE27EA8" w:rsidRPr="39CAF30A">
        <w:t xml:space="preserve"> or 21</w:t>
      </w:r>
      <w:r w:rsidR="2EE27EA8" w:rsidRPr="39CAF30A">
        <w:rPr>
          <w:vertAlign w:val="superscript"/>
        </w:rPr>
        <w:t>st</w:t>
      </w:r>
      <w:r w:rsidR="2EE27EA8" w:rsidRPr="39CAF30A">
        <w:t xml:space="preserve"> </w:t>
      </w:r>
      <w:r w:rsidR="75D9A360" w:rsidRPr="25AA3742">
        <w:rPr>
          <w:kern w:val="0"/>
          <w14:ligatures w14:val="none"/>
        </w:rPr>
        <w:t>century Asia, Africa, or Europe. You will gather and integrate information from at least three credible sources to support your analysis. Your paper will demonstrate your ability to interpret different perspectives and assess how these perspectives enhance your understanding of the text and its cultural context.</w:t>
      </w:r>
    </w:p>
    <w:p w14:paraId="2AD5BB9C" w14:textId="77777777" w:rsidR="00644AF8" w:rsidRPr="007F57D5" w:rsidRDefault="00644AF8" w:rsidP="007F57D5">
      <w:pPr>
        <w:spacing w:after="0" w:line="240" w:lineRule="auto"/>
        <w:rPr>
          <w:kern w:val="0"/>
          <w14:ligatures w14:val="none"/>
        </w:rPr>
      </w:pPr>
    </w:p>
    <w:p w14:paraId="63CB99CB" w14:textId="77777777" w:rsidR="00B43F13" w:rsidRPr="00B43F13" w:rsidRDefault="00B43F13" w:rsidP="27E7B809">
      <w:pPr>
        <w:spacing w:before="100" w:beforeAutospacing="1" w:after="100" w:afterAutospacing="1" w:line="240" w:lineRule="auto"/>
        <w:contextualSpacing/>
        <w:rPr>
          <w:kern w:val="0"/>
          <w14:ligatures w14:val="none"/>
        </w:rPr>
      </w:pPr>
      <w:r w:rsidRPr="25AA3742">
        <w:rPr>
          <w:kern w:val="0"/>
          <w14:ligatures w14:val="none"/>
        </w:rPr>
        <w:t>As you work on this assignment you will:</w:t>
      </w:r>
    </w:p>
    <w:p w14:paraId="14D7FE7B" w14:textId="518EA2E3" w:rsidR="00B43F13" w:rsidRPr="00B43F13" w:rsidRDefault="75D9A360" w:rsidP="27E7B809">
      <w:pPr>
        <w:numPr>
          <w:ilvl w:val="0"/>
          <w:numId w:val="1"/>
        </w:numPr>
        <w:spacing w:before="100" w:beforeAutospacing="1" w:after="100" w:afterAutospacing="1" w:line="240" w:lineRule="auto"/>
        <w:contextualSpacing/>
        <w:rPr>
          <w:kern w:val="0"/>
          <w14:ligatures w14:val="none"/>
        </w:rPr>
      </w:pPr>
      <w:r w:rsidRPr="25AA3742">
        <w:rPr>
          <w:kern w:val="0"/>
          <w14:ligatures w14:val="none"/>
        </w:rPr>
        <w:t xml:space="preserve">Select a literary work from Asia, Africa, or Europe written in the </w:t>
      </w:r>
      <w:r w:rsidR="3FC7361D" w:rsidRPr="39CAF30A">
        <w:t>20</w:t>
      </w:r>
      <w:r w:rsidR="3FC7361D" w:rsidRPr="39CAF30A">
        <w:rPr>
          <w:vertAlign w:val="superscript"/>
        </w:rPr>
        <w:t>th</w:t>
      </w:r>
      <w:r w:rsidR="3FC7361D" w:rsidRPr="39CAF30A">
        <w:t xml:space="preserve"> or 21</w:t>
      </w:r>
      <w:r w:rsidR="3FC7361D" w:rsidRPr="39CAF30A">
        <w:rPr>
          <w:vertAlign w:val="superscript"/>
        </w:rPr>
        <w:t>st</w:t>
      </w:r>
      <w:r w:rsidRPr="25AA3742">
        <w:rPr>
          <w:kern w:val="0"/>
          <w14:ligatures w14:val="none"/>
        </w:rPr>
        <w:t xml:space="preserve"> century.</w:t>
      </w:r>
    </w:p>
    <w:p w14:paraId="3D4A6038" w14:textId="77777777" w:rsidR="00B43F13" w:rsidRPr="00B43F13" w:rsidRDefault="00B43F13" w:rsidP="27E7B809">
      <w:pPr>
        <w:numPr>
          <w:ilvl w:val="0"/>
          <w:numId w:val="1"/>
        </w:numPr>
        <w:spacing w:before="100" w:beforeAutospacing="1" w:after="100" w:afterAutospacing="1" w:line="240" w:lineRule="auto"/>
        <w:rPr>
          <w:kern w:val="0"/>
          <w14:ligatures w14:val="none"/>
        </w:rPr>
      </w:pPr>
      <w:r w:rsidRPr="25AA3742">
        <w:rPr>
          <w:kern w:val="0"/>
          <w14:ligatures w14:val="none"/>
        </w:rPr>
        <w:t>Gather information from at least three credible scholarly or literary sources.</w:t>
      </w:r>
    </w:p>
    <w:p w14:paraId="695A0C46" w14:textId="77777777" w:rsidR="00B43F13" w:rsidRPr="00B43F13" w:rsidRDefault="00B43F13" w:rsidP="27E7B809">
      <w:pPr>
        <w:numPr>
          <w:ilvl w:val="0"/>
          <w:numId w:val="1"/>
        </w:numPr>
        <w:spacing w:before="100" w:beforeAutospacing="1" w:after="100" w:afterAutospacing="1" w:line="240" w:lineRule="auto"/>
        <w:rPr>
          <w:kern w:val="0"/>
          <w14:ligatures w14:val="none"/>
        </w:rPr>
      </w:pPr>
      <w:r w:rsidRPr="25AA3742">
        <w:rPr>
          <w:kern w:val="0"/>
          <w14:ligatures w14:val="none"/>
        </w:rPr>
        <w:t>Interpret and explain multiple points of view related to the text’s themes or context.</w:t>
      </w:r>
    </w:p>
    <w:p w14:paraId="3E95C1A8" w14:textId="77777777" w:rsidR="00B43F13" w:rsidRPr="00B43F13" w:rsidRDefault="00B43F13" w:rsidP="27E7B809">
      <w:pPr>
        <w:numPr>
          <w:ilvl w:val="0"/>
          <w:numId w:val="1"/>
        </w:numPr>
        <w:spacing w:before="100" w:beforeAutospacing="1" w:after="100" w:afterAutospacing="1" w:line="240" w:lineRule="auto"/>
        <w:rPr>
          <w:kern w:val="0"/>
          <w14:ligatures w14:val="none"/>
        </w:rPr>
      </w:pPr>
      <w:r w:rsidRPr="25AA3742">
        <w:rPr>
          <w:kern w:val="0"/>
          <w14:ligatures w14:val="none"/>
        </w:rPr>
        <w:t>Assess how different perspectives contribute to understanding the text.</w:t>
      </w:r>
    </w:p>
    <w:p w14:paraId="0E9E8D76" w14:textId="4BA51067" w:rsidR="007F57D5" w:rsidRPr="007F57D5" w:rsidRDefault="75D9A360" w:rsidP="007F57D5">
      <w:pPr>
        <w:numPr>
          <w:ilvl w:val="0"/>
          <w:numId w:val="1"/>
        </w:numPr>
        <w:spacing w:before="100" w:beforeAutospacing="1" w:after="100" w:afterAutospacing="1" w:line="240" w:lineRule="auto"/>
        <w:rPr>
          <w:kern w:val="0"/>
          <w14:ligatures w14:val="none"/>
        </w:rPr>
      </w:pPr>
      <w:r w:rsidRPr="25AA3742">
        <w:rPr>
          <w:kern w:val="0"/>
          <w14:ligatures w14:val="none"/>
        </w:rPr>
        <w:t>Develop a clear thesis supported by analysis and research evidence.</w:t>
      </w:r>
    </w:p>
    <w:p w14:paraId="7A42CAE0" w14:textId="77777777" w:rsidR="00B43F13" w:rsidRPr="00B43F13" w:rsidRDefault="00B43F13" w:rsidP="27E7B809">
      <w:pPr>
        <w:pStyle w:val="Heading1"/>
        <w:rPr>
          <w:rFonts w:ascii="Calibri" w:eastAsia="Calibri" w:hAnsi="Calibri" w:cs="Calibri"/>
          <w:b/>
          <w:bCs/>
          <w:sz w:val="27"/>
          <w:szCs w:val="27"/>
        </w:rPr>
      </w:pPr>
      <w:r w:rsidRPr="390F293F">
        <w:rPr>
          <w:rFonts w:ascii="Calibri" w:eastAsia="Calibri" w:hAnsi="Calibri" w:cs="Calibri"/>
        </w:rPr>
        <w:t>Assignment Format &amp; Guidelines</w:t>
      </w:r>
    </w:p>
    <w:p w14:paraId="6F6DF3E0" w14:textId="77777777" w:rsidR="00B43F13" w:rsidRPr="00B43F13" w:rsidRDefault="00B43F13" w:rsidP="27E7B809">
      <w:pPr>
        <w:spacing w:after="0" w:line="240" w:lineRule="auto"/>
        <w:contextualSpacing/>
        <w:rPr>
          <w:kern w:val="0"/>
          <w14:ligatures w14:val="none"/>
        </w:rPr>
      </w:pPr>
      <w:r w:rsidRPr="25AA3742">
        <w:rPr>
          <w:kern w:val="0"/>
          <w14:ligatures w14:val="none"/>
        </w:rPr>
        <w:t>Your research paper will:</w:t>
      </w:r>
    </w:p>
    <w:p w14:paraId="6831C5FE" w14:textId="77777777" w:rsidR="00B43F13" w:rsidRPr="00B43F13" w:rsidRDefault="75D9A360" w:rsidP="27E7B809">
      <w:pPr>
        <w:numPr>
          <w:ilvl w:val="0"/>
          <w:numId w:val="2"/>
        </w:numPr>
        <w:spacing w:before="100" w:beforeAutospacing="1" w:after="100" w:afterAutospacing="1" w:line="240" w:lineRule="auto"/>
        <w:contextualSpacing/>
        <w:rPr>
          <w:kern w:val="0"/>
          <w14:ligatures w14:val="none"/>
        </w:rPr>
      </w:pPr>
      <w:r w:rsidRPr="25AA3742">
        <w:rPr>
          <w:kern w:val="0"/>
          <w14:ligatures w14:val="none"/>
        </w:rPr>
        <w:t>Be 4–5 pages in length, typed and double-spaced, using a 12-point font.</w:t>
      </w:r>
    </w:p>
    <w:p w14:paraId="18152811" w14:textId="77777777" w:rsidR="00B43F13" w:rsidRPr="00B43F13" w:rsidRDefault="00B43F13" w:rsidP="27E7B809">
      <w:pPr>
        <w:numPr>
          <w:ilvl w:val="0"/>
          <w:numId w:val="2"/>
        </w:numPr>
        <w:spacing w:before="100" w:beforeAutospacing="1" w:after="100" w:afterAutospacing="1" w:line="240" w:lineRule="auto"/>
        <w:rPr>
          <w:kern w:val="0"/>
          <w14:ligatures w14:val="none"/>
        </w:rPr>
      </w:pPr>
      <w:r w:rsidRPr="25AA3742">
        <w:rPr>
          <w:kern w:val="0"/>
          <w14:ligatures w14:val="none"/>
        </w:rPr>
        <w:t>Use MLA formatting for in-text citations and the Works Cited page.</w:t>
      </w:r>
    </w:p>
    <w:p w14:paraId="7EAECE18" w14:textId="77777777" w:rsidR="00B43F13" w:rsidRPr="00B43F13" w:rsidRDefault="00B43F13" w:rsidP="27E7B809">
      <w:pPr>
        <w:numPr>
          <w:ilvl w:val="0"/>
          <w:numId w:val="2"/>
        </w:numPr>
        <w:spacing w:before="100" w:beforeAutospacing="1" w:after="100" w:afterAutospacing="1" w:line="240" w:lineRule="auto"/>
        <w:rPr>
          <w:kern w:val="0"/>
          <w14:ligatures w14:val="none"/>
        </w:rPr>
      </w:pPr>
      <w:r w:rsidRPr="25AA3742">
        <w:rPr>
          <w:kern w:val="0"/>
          <w14:ligatures w14:val="none"/>
        </w:rPr>
        <w:t>Include an introduction with a clear thesis statement, body paragraphs integrating sources and analysis, and a conclusion.</w:t>
      </w:r>
    </w:p>
    <w:p w14:paraId="13255839" w14:textId="77777777" w:rsidR="00B43F13" w:rsidRPr="00B43F13" w:rsidRDefault="75D9A360" w:rsidP="27E7B809">
      <w:pPr>
        <w:numPr>
          <w:ilvl w:val="0"/>
          <w:numId w:val="2"/>
        </w:numPr>
        <w:spacing w:before="100" w:beforeAutospacing="1" w:after="100" w:afterAutospacing="1" w:line="240" w:lineRule="auto"/>
        <w:rPr>
          <w:kern w:val="0"/>
          <w14:ligatures w14:val="none"/>
        </w:rPr>
      </w:pPr>
      <w:r w:rsidRPr="25AA3742">
        <w:rPr>
          <w:kern w:val="0"/>
          <w14:ligatures w14:val="none"/>
        </w:rPr>
        <w:t>Use clear academic writing with complete sentences and proper grammar.</w:t>
      </w:r>
    </w:p>
    <w:p w14:paraId="09C1D8C6" w14:textId="5149F2B6" w:rsidR="00B43F13" w:rsidRDefault="00B43F13" w:rsidP="27E7B809">
      <w:pPr>
        <w:spacing w:after="0" w:line="240" w:lineRule="auto"/>
      </w:pPr>
    </w:p>
    <w:p w14:paraId="0E455BEA" w14:textId="77777777" w:rsidR="00A8339C" w:rsidRPr="00B43F13" w:rsidRDefault="00A8339C" w:rsidP="27E7B809">
      <w:pPr>
        <w:spacing w:after="0" w:line="240" w:lineRule="auto"/>
      </w:pPr>
    </w:p>
    <w:p w14:paraId="6CA5E890" w14:textId="77777777" w:rsidR="00B43F13" w:rsidRPr="00B43F13" w:rsidRDefault="00B43F13" w:rsidP="27E7B809">
      <w:pPr>
        <w:pStyle w:val="Heading1"/>
        <w:rPr>
          <w:rFonts w:ascii="Calibri" w:eastAsia="Calibri" w:hAnsi="Calibri" w:cs="Calibri"/>
          <w:b/>
          <w:bCs/>
          <w:sz w:val="27"/>
          <w:szCs w:val="27"/>
        </w:rPr>
      </w:pPr>
      <w:r w:rsidRPr="390F293F">
        <w:rPr>
          <w:rFonts w:ascii="Calibri" w:eastAsia="Calibri" w:hAnsi="Calibri" w:cs="Calibri"/>
        </w:rPr>
        <w:lastRenderedPageBreak/>
        <w:t>Assessment Criteria</w:t>
      </w:r>
    </w:p>
    <w:p w14:paraId="6DAB4C0D" w14:textId="2A56048C" w:rsidR="167D231A" w:rsidRDefault="3AF4F885" w:rsidP="27E7B809">
      <w:pPr>
        <w:spacing w:after="0" w:line="240" w:lineRule="auto"/>
        <w:contextualSpacing/>
        <w:outlineLvl w:val="2"/>
      </w:pPr>
      <w:r w:rsidRPr="39CAF30A">
        <w:t>Your paper will be graded on:</w:t>
      </w:r>
    </w:p>
    <w:p w14:paraId="29C5426D" w14:textId="0BCED9CE" w:rsidR="00B43F13" w:rsidRPr="00B43F13" w:rsidRDefault="50BB47B8" w:rsidP="27E7B809">
      <w:pPr>
        <w:numPr>
          <w:ilvl w:val="0"/>
          <w:numId w:val="3"/>
        </w:numPr>
        <w:spacing w:before="100" w:beforeAutospacing="1" w:after="100" w:afterAutospacing="1" w:line="240" w:lineRule="auto"/>
        <w:contextualSpacing/>
        <w:rPr>
          <w:kern w:val="0"/>
          <w14:ligatures w14:val="none"/>
        </w:rPr>
      </w:pPr>
      <w:r w:rsidRPr="39CAF30A">
        <w:t>Developing a well-supported thesis with analysis and evidence.</w:t>
      </w:r>
    </w:p>
    <w:p w14:paraId="77A72E90" w14:textId="032E6717" w:rsidR="00B43F13" w:rsidRPr="00B43F13" w:rsidRDefault="0DB94F1F" w:rsidP="27E7B809">
      <w:pPr>
        <w:numPr>
          <w:ilvl w:val="0"/>
          <w:numId w:val="3"/>
        </w:numPr>
        <w:spacing w:before="100" w:beforeAutospacing="1" w:after="100" w:afterAutospacing="1" w:line="240" w:lineRule="auto"/>
        <w:rPr>
          <w:kern w:val="0"/>
          <w14:ligatures w14:val="none"/>
        </w:rPr>
      </w:pPr>
      <w:r w:rsidRPr="25AA3742">
        <w:rPr>
          <w:kern w:val="0"/>
          <w14:ligatures w14:val="none"/>
        </w:rPr>
        <w:t>Whether information was gathered</w:t>
      </w:r>
      <w:r w:rsidR="75D9A360" w:rsidRPr="25AA3742">
        <w:rPr>
          <w:kern w:val="0"/>
          <w14:ligatures w14:val="none"/>
        </w:rPr>
        <w:t xml:space="preserve"> from at least three credible sources.</w:t>
      </w:r>
    </w:p>
    <w:p w14:paraId="63B24EEF" w14:textId="267D17A5" w:rsidR="00B43F13" w:rsidRPr="00B43F13" w:rsidRDefault="00B43F13" w:rsidP="27E7B809">
      <w:pPr>
        <w:numPr>
          <w:ilvl w:val="0"/>
          <w:numId w:val="3"/>
        </w:numPr>
        <w:spacing w:before="100" w:beforeAutospacing="1" w:after="100" w:afterAutospacing="1" w:line="240" w:lineRule="auto"/>
        <w:rPr>
          <w:kern w:val="0"/>
          <w14:ligatures w14:val="none"/>
        </w:rPr>
      </w:pPr>
      <w:r w:rsidRPr="25AA3742">
        <w:rPr>
          <w:kern w:val="0"/>
          <w14:ligatures w14:val="none"/>
        </w:rPr>
        <w:t>Interpret</w:t>
      </w:r>
      <w:r w:rsidR="1B6D4813" w:rsidRPr="25AA3742">
        <w:rPr>
          <w:kern w:val="0"/>
          <w14:ligatures w14:val="none"/>
        </w:rPr>
        <w:t xml:space="preserve">ing </w:t>
      </w:r>
      <w:r w:rsidRPr="25AA3742">
        <w:rPr>
          <w:kern w:val="0"/>
          <w14:ligatures w14:val="none"/>
        </w:rPr>
        <w:t xml:space="preserve">and </w:t>
      </w:r>
      <w:r w:rsidR="5EEC19C0" w:rsidRPr="25AA3742">
        <w:rPr>
          <w:kern w:val="0"/>
          <w14:ligatures w14:val="none"/>
        </w:rPr>
        <w:t>explaining</w:t>
      </w:r>
      <w:r w:rsidRPr="25AA3742">
        <w:rPr>
          <w:kern w:val="0"/>
          <w14:ligatures w14:val="none"/>
        </w:rPr>
        <w:t xml:space="preserve"> multiple points of view clearly.</w:t>
      </w:r>
    </w:p>
    <w:p w14:paraId="4A8B1425" w14:textId="1D87A11A" w:rsidR="00B43F13" w:rsidRPr="00B43F13" w:rsidRDefault="5AFC60BB" w:rsidP="27E7B809">
      <w:pPr>
        <w:numPr>
          <w:ilvl w:val="0"/>
          <w:numId w:val="3"/>
        </w:numPr>
        <w:spacing w:before="100" w:beforeAutospacing="1" w:after="100" w:afterAutospacing="1" w:line="240" w:lineRule="auto"/>
        <w:rPr>
          <w:kern w:val="0"/>
          <w14:ligatures w14:val="none"/>
        </w:rPr>
      </w:pPr>
      <w:r w:rsidRPr="25AA3742">
        <w:rPr>
          <w:kern w:val="0"/>
          <w14:ligatures w14:val="none"/>
        </w:rPr>
        <w:t>Assessing</w:t>
      </w:r>
      <w:r w:rsidR="75D9A360" w:rsidRPr="25AA3742">
        <w:rPr>
          <w:kern w:val="0"/>
          <w14:ligatures w14:val="none"/>
        </w:rPr>
        <w:t xml:space="preserve"> how different perspectives contribute to understanding the text.</w:t>
      </w:r>
    </w:p>
    <w:p w14:paraId="4CCF1FEC" w14:textId="50DE992B" w:rsidR="00B43F13" w:rsidRPr="00B43F13" w:rsidRDefault="4654BCE4" w:rsidP="27E7B809">
      <w:pPr>
        <w:numPr>
          <w:ilvl w:val="0"/>
          <w:numId w:val="3"/>
        </w:numPr>
        <w:spacing w:before="100" w:beforeAutospacing="1" w:after="100" w:afterAutospacing="1" w:line="240" w:lineRule="auto"/>
        <w:rPr>
          <w:kern w:val="0"/>
          <w14:ligatures w14:val="none"/>
        </w:rPr>
      </w:pPr>
      <w:r w:rsidRPr="25AA3742">
        <w:rPr>
          <w:kern w:val="0"/>
          <w14:ligatures w14:val="none"/>
        </w:rPr>
        <w:t>Using</w:t>
      </w:r>
      <w:r w:rsidR="00B43F13" w:rsidRPr="25AA3742">
        <w:rPr>
          <w:kern w:val="0"/>
          <w14:ligatures w14:val="none"/>
        </w:rPr>
        <w:t xml:space="preserve"> ethical attribution and correct MLA citation throughout.</w:t>
      </w:r>
    </w:p>
    <w:p w14:paraId="7EAEFB6C" w14:textId="34D0D711" w:rsidR="00B43F13" w:rsidRPr="00B43F13" w:rsidRDefault="75D9A360" w:rsidP="27E7B809">
      <w:pPr>
        <w:numPr>
          <w:ilvl w:val="0"/>
          <w:numId w:val="3"/>
        </w:numPr>
        <w:spacing w:before="100" w:beforeAutospacing="1" w:after="100" w:afterAutospacing="1" w:line="240" w:lineRule="auto"/>
        <w:rPr>
          <w:kern w:val="0"/>
          <w14:ligatures w14:val="none"/>
        </w:rPr>
      </w:pPr>
      <w:r w:rsidRPr="25AA3742">
        <w:rPr>
          <w:kern w:val="0"/>
          <w14:ligatures w14:val="none"/>
        </w:rPr>
        <w:t>Demonstrat</w:t>
      </w:r>
      <w:r w:rsidR="7C6BD5E4" w:rsidRPr="25AA3742">
        <w:rPr>
          <w:kern w:val="0"/>
          <w14:ligatures w14:val="none"/>
        </w:rPr>
        <w:t>ing</w:t>
      </w:r>
      <w:r w:rsidRPr="25AA3742">
        <w:rPr>
          <w:kern w:val="0"/>
          <w14:ligatures w14:val="none"/>
        </w:rPr>
        <w:t xml:space="preserve"> clear, organized, and coherent writing throughout</w:t>
      </w:r>
      <w:r w:rsidR="5BD3E708" w:rsidRPr="25AA3742">
        <w:rPr>
          <w:kern w:val="0"/>
          <w14:ligatures w14:val="none"/>
        </w:rPr>
        <w:t xml:space="preserve">, using appropriate academic language, </w:t>
      </w:r>
      <w:r w:rsidRPr="25AA3742">
        <w:rPr>
          <w:kern w:val="0"/>
          <w14:ligatures w14:val="none"/>
        </w:rPr>
        <w:t>grammar, punctuation, and formatting.</w:t>
      </w:r>
    </w:p>
    <w:p w14:paraId="35556128" w14:textId="3A6A2F41" w:rsidR="00B43F13" w:rsidRPr="00B43F13" w:rsidRDefault="00B43F13" w:rsidP="27E7B809">
      <w:pPr>
        <w:spacing w:after="0" w:line="240" w:lineRule="auto"/>
      </w:pPr>
    </w:p>
    <w:tbl>
      <w:tblPr>
        <w:tblStyle w:val="TableGrid"/>
        <w:tblW w:w="0" w:type="auto"/>
        <w:tblLook w:val="04A0" w:firstRow="1" w:lastRow="0" w:firstColumn="1" w:lastColumn="0" w:noHBand="0" w:noVBand="1"/>
      </w:tblPr>
      <w:tblGrid>
        <w:gridCol w:w="1503"/>
        <w:gridCol w:w="2211"/>
        <w:gridCol w:w="1955"/>
        <w:gridCol w:w="2039"/>
        <w:gridCol w:w="2506"/>
      </w:tblGrid>
      <w:tr w:rsidR="00F132BD" w14:paraId="22056F3A" w14:textId="77777777" w:rsidTr="00F132BD">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5FC19F34" w14:textId="77777777" w:rsidR="00F132BD" w:rsidRDefault="00F132BD" w:rsidP="0095341E">
            <w:pPr>
              <w:contextualSpacing/>
              <w:jc w:val="center"/>
            </w:pPr>
            <w:r>
              <w:rPr>
                <w:b/>
                <w:color w:val="FFFFFF"/>
                <w:sz w:val="28"/>
              </w:rPr>
              <w:t>Research Paper Grading Rubric</w:t>
            </w:r>
          </w:p>
        </w:tc>
      </w:tr>
      <w:tr w:rsidR="00F132BD" w14:paraId="5EE428F4" w14:textId="77777777" w:rsidTr="00F132BD">
        <w:tc>
          <w:tcPr>
            <w:tcW w:w="1345" w:type="dxa"/>
            <w:tcBorders>
              <w:top w:val="single" w:sz="4" w:space="0" w:color="FFFFFF"/>
              <w:left w:val="single" w:sz="4" w:space="0" w:color="FFFFFF"/>
              <w:bottom w:val="single" w:sz="4" w:space="0" w:color="FFFFFF"/>
              <w:right w:val="single" w:sz="4" w:space="0" w:color="FFFFFF"/>
            </w:tcBorders>
            <w:shd w:val="clear" w:color="auto" w:fill="000000"/>
          </w:tcPr>
          <w:p w14:paraId="4588B5AC" w14:textId="77777777" w:rsidR="00F132BD" w:rsidRDefault="00F132BD" w:rsidP="0095341E">
            <w:pPr>
              <w:contextualSpacing/>
              <w:jc w:val="center"/>
            </w:pPr>
            <w:r>
              <w:rPr>
                <w:b/>
                <w:color w:val="FFFFFF"/>
              </w:rPr>
              <w:t>Criteria</w:t>
            </w:r>
          </w:p>
        </w:tc>
        <w:tc>
          <w:tcPr>
            <w:tcW w:w="2250" w:type="dxa"/>
            <w:tcBorders>
              <w:top w:val="single" w:sz="4" w:space="0" w:color="FFFFFF"/>
              <w:left w:val="single" w:sz="4" w:space="0" w:color="FFFFFF"/>
              <w:bottom w:val="single" w:sz="4" w:space="0" w:color="FFFFFF"/>
              <w:right w:val="single" w:sz="4" w:space="0" w:color="FFFFFF"/>
            </w:tcBorders>
            <w:shd w:val="clear" w:color="auto" w:fill="000000"/>
          </w:tcPr>
          <w:p w14:paraId="28AE6AC4" w14:textId="77777777" w:rsidR="00F132BD" w:rsidRDefault="00F132BD" w:rsidP="0095341E">
            <w:pPr>
              <w:contextualSpacing/>
              <w:jc w:val="center"/>
            </w:pPr>
            <w:r>
              <w:rPr>
                <w:b/>
                <w:color w:val="FFFFFF"/>
              </w:rPr>
              <w:t>Exceeds Expectations</w:t>
            </w:r>
          </w:p>
        </w:tc>
        <w:tc>
          <w:tcPr>
            <w:tcW w:w="1980" w:type="dxa"/>
            <w:tcBorders>
              <w:top w:val="single" w:sz="4" w:space="0" w:color="FFFFFF"/>
              <w:left w:val="single" w:sz="4" w:space="0" w:color="FFFFFF"/>
              <w:bottom w:val="single" w:sz="4" w:space="0" w:color="FFFFFF"/>
              <w:right w:val="single" w:sz="4" w:space="0" w:color="FFFFFF"/>
            </w:tcBorders>
            <w:shd w:val="clear" w:color="auto" w:fill="000000"/>
          </w:tcPr>
          <w:p w14:paraId="4642AE87" w14:textId="77777777" w:rsidR="00F132BD" w:rsidRDefault="00F132BD" w:rsidP="0095341E">
            <w:pPr>
              <w:contextualSpacing/>
              <w:jc w:val="center"/>
            </w:pPr>
            <w:r>
              <w:rPr>
                <w:b/>
                <w:color w:val="FFFFFF"/>
              </w:rPr>
              <w:t>Meets Expectations</w:t>
            </w:r>
          </w:p>
        </w:tc>
        <w:tc>
          <w:tcPr>
            <w:tcW w:w="2070" w:type="dxa"/>
            <w:tcBorders>
              <w:top w:val="single" w:sz="4" w:space="0" w:color="FFFFFF"/>
              <w:left w:val="single" w:sz="4" w:space="0" w:color="FFFFFF"/>
              <w:bottom w:val="single" w:sz="4" w:space="0" w:color="FFFFFF"/>
              <w:right w:val="single" w:sz="4" w:space="0" w:color="FFFFFF"/>
            </w:tcBorders>
            <w:shd w:val="clear" w:color="auto" w:fill="000000"/>
          </w:tcPr>
          <w:p w14:paraId="072E5C45" w14:textId="77777777" w:rsidR="00F132BD" w:rsidRDefault="00F132BD" w:rsidP="0095341E">
            <w:pPr>
              <w:contextualSpacing/>
              <w:jc w:val="center"/>
            </w:pPr>
            <w:r>
              <w:rPr>
                <w:b/>
                <w:color w:val="FFFFFF"/>
              </w:rPr>
              <w:t>Approaches Expectations</w:t>
            </w:r>
          </w:p>
        </w:tc>
        <w:tc>
          <w:tcPr>
            <w:tcW w:w="2569" w:type="dxa"/>
            <w:tcBorders>
              <w:top w:val="single" w:sz="4" w:space="0" w:color="FFFFFF"/>
              <w:left w:val="single" w:sz="4" w:space="0" w:color="FFFFFF"/>
              <w:bottom w:val="single" w:sz="4" w:space="0" w:color="FFFFFF"/>
              <w:right w:val="single" w:sz="4" w:space="0" w:color="FFFFFF"/>
            </w:tcBorders>
            <w:shd w:val="clear" w:color="auto" w:fill="000000"/>
          </w:tcPr>
          <w:p w14:paraId="189673C6" w14:textId="77777777" w:rsidR="00F132BD" w:rsidRDefault="00F132BD" w:rsidP="0095341E">
            <w:pPr>
              <w:contextualSpacing/>
              <w:jc w:val="center"/>
            </w:pPr>
            <w:r>
              <w:rPr>
                <w:b/>
                <w:color w:val="FFFFFF"/>
              </w:rPr>
              <w:t>Developing</w:t>
            </w:r>
          </w:p>
        </w:tc>
      </w:tr>
      <w:tr w:rsidR="00F132BD" w14:paraId="12D373F1" w14:textId="77777777" w:rsidTr="00F132BD">
        <w:tc>
          <w:tcPr>
            <w:tcW w:w="1345" w:type="dxa"/>
          </w:tcPr>
          <w:p w14:paraId="6AC64E67" w14:textId="77777777" w:rsidR="00F132BD" w:rsidRDefault="00F132BD" w:rsidP="0095341E">
            <w:pPr>
              <w:contextualSpacing/>
              <w:rPr>
                <w:b/>
                <w:sz w:val="22"/>
              </w:rPr>
            </w:pPr>
            <w:r>
              <w:rPr>
                <w:b/>
                <w:sz w:val="22"/>
              </w:rPr>
              <w:t xml:space="preserve">Thesis &amp; Analysis </w:t>
            </w:r>
          </w:p>
          <w:p w14:paraId="7203F10E" w14:textId="1ED19ED0" w:rsidR="00F132BD" w:rsidRDefault="00F132BD" w:rsidP="0095341E">
            <w:pPr>
              <w:contextualSpacing/>
            </w:pPr>
            <w:r>
              <w:rPr>
                <w:b/>
                <w:sz w:val="22"/>
              </w:rPr>
              <w:t>(20 points)</w:t>
            </w:r>
          </w:p>
        </w:tc>
        <w:tc>
          <w:tcPr>
            <w:tcW w:w="2250" w:type="dxa"/>
          </w:tcPr>
          <w:p w14:paraId="1C438CD1" w14:textId="77777777" w:rsidR="00F132BD" w:rsidRDefault="00F132BD" w:rsidP="0095341E">
            <w:pPr>
              <w:contextualSpacing/>
            </w:pPr>
            <w:r>
              <w:rPr>
                <w:sz w:val="22"/>
              </w:rPr>
              <w:t xml:space="preserve">Develops an insightful, original thesis with sophisticated analysis. </w:t>
            </w:r>
          </w:p>
          <w:p w14:paraId="667DE299" w14:textId="77777777" w:rsidR="00F132BD" w:rsidRDefault="00F132BD" w:rsidP="0095341E">
            <w:pPr>
              <w:contextualSpacing/>
            </w:pPr>
            <w:r>
              <w:rPr>
                <w:sz w:val="22"/>
              </w:rPr>
              <w:t>(18–20 points)</w:t>
            </w:r>
          </w:p>
        </w:tc>
        <w:tc>
          <w:tcPr>
            <w:tcW w:w="1980" w:type="dxa"/>
          </w:tcPr>
          <w:p w14:paraId="066AFC06" w14:textId="77777777" w:rsidR="00F132BD" w:rsidRDefault="00F132BD" w:rsidP="0095341E">
            <w:pPr>
              <w:contextualSpacing/>
            </w:pPr>
            <w:r>
              <w:rPr>
                <w:sz w:val="22"/>
              </w:rPr>
              <w:t>Develops a clear thesis with supported analysis. (14–17 points)</w:t>
            </w:r>
          </w:p>
        </w:tc>
        <w:tc>
          <w:tcPr>
            <w:tcW w:w="2070" w:type="dxa"/>
          </w:tcPr>
          <w:p w14:paraId="51532FFF" w14:textId="77777777" w:rsidR="00F132BD" w:rsidRDefault="00F132BD" w:rsidP="0095341E">
            <w:pPr>
              <w:contextualSpacing/>
            </w:pPr>
            <w:r>
              <w:rPr>
                <w:sz w:val="22"/>
              </w:rPr>
              <w:t xml:space="preserve">Thesis is </w:t>
            </w:r>
            <w:r>
              <w:t xml:space="preserve">somewhat clear </w:t>
            </w:r>
            <w:r>
              <w:rPr>
                <w:sz w:val="22"/>
              </w:rPr>
              <w:t xml:space="preserve">present but analysis is incomplete or lacks depth. </w:t>
            </w:r>
          </w:p>
          <w:p w14:paraId="7F651DDA" w14:textId="77777777" w:rsidR="00F132BD" w:rsidRDefault="00F132BD" w:rsidP="0095341E">
            <w:pPr>
              <w:contextualSpacing/>
            </w:pPr>
            <w:r>
              <w:rPr>
                <w:sz w:val="22"/>
              </w:rPr>
              <w:t>(10–13 points)</w:t>
            </w:r>
          </w:p>
        </w:tc>
        <w:tc>
          <w:tcPr>
            <w:tcW w:w="2569" w:type="dxa"/>
          </w:tcPr>
          <w:p w14:paraId="143DCE35" w14:textId="77777777" w:rsidR="00F6446A" w:rsidRDefault="00F132BD" w:rsidP="0095341E">
            <w:pPr>
              <w:contextualSpacing/>
              <w:rPr>
                <w:sz w:val="22"/>
              </w:rPr>
            </w:pPr>
            <w:r>
              <w:rPr>
                <w:sz w:val="22"/>
              </w:rPr>
              <w:t xml:space="preserve">Thesis is unclear or analysis is minimal. </w:t>
            </w:r>
          </w:p>
          <w:p w14:paraId="65373AB1" w14:textId="5F6DD97F" w:rsidR="00F132BD" w:rsidRDefault="00F132BD" w:rsidP="0095341E">
            <w:pPr>
              <w:contextualSpacing/>
            </w:pPr>
            <w:r>
              <w:rPr>
                <w:sz w:val="22"/>
              </w:rPr>
              <w:t>(0–9 points)</w:t>
            </w:r>
          </w:p>
        </w:tc>
      </w:tr>
      <w:tr w:rsidR="00F132BD" w14:paraId="414BE2A8" w14:textId="77777777" w:rsidTr="00F132BD">
        <w:tc>
          <w:tcPr>
            <w:tcW w:w="1345" w:type="dxa"/>
          </w:tcPr>
          <w:p w14:paraId="530944E0" w14:textId="77777777" w:rsidR="00F132BD" w:rsidRDefault="00F132BD" w:rsidP="0095341E">
            <w:pPr>
              <w:contextualSpacing/>
              <w:rPr>
                <w:b/>
                <w:sz w:val="22"/>
              </w:rPr>
            </w:pPr>
            <w:r>
              <w:rPr>
                <w:b/>
                <w:sz w:val="22"/>
              </w:rPr>
              <w:t>Use of Sources</w:t>
            </w:r>
          </w:p>
          <w:p w14:paraId="6C93AC83" w14:textId="4D806E03" w:rsidR="00F132BD" w:rsidRPr="00F132BD" w:rsidRDefault="00F132BD" w:rsidP="0095341E">
            <w:pPr>
              <w:contextualSpacing/>
              <w:rPr>
                <w:b/>
              </w:rPr>
            </w:pPr>
            <w:r>
              <w:rPr>
                <w:b/>
                <w:sz w:val="22"/>
              </w:rPr>
              <w:t>(20 points)</w:t>
            </w:r>
          </w:p>
        </w:tc>
        <w:tc>
          <w:tcPr>
            <w:tcW w:w="2250" w:type="dxa"/>
          </w:tcPr>
          <w:p w14:paraId="784E1B2B" w14:textId="77777777" w:rsidR="00F132BD" w:rsidRDefault="00F132BD" w:rsidP="0095341E">
            <w:pPr>
              <w:contextualSpacing/>
            </w:pPr>
            <w:r>
              <w:rPr>
                <w:sz w:val="22"/>
              </w:rPr>
              <w:t xml:space="preserve">Integrates at least three credible sources seamlessly with strong connections to the thesis. </w:t>
            </w:r>
          </w:p>
          <w:p w14:paraId="67752AF1" w14:textId="77777777" w:rsidR="00F132BD" w:rsidRDefault="00F132BD" w:rsidP="0095341E">
            <w:pPr>
              <w:contextualSpacing/>
            </w:pPr>
            <w:r>
              <w:rPr>
                <w:sz w:val="22"/>
              </w:rPr>
              <w:t>(18–20 points)</w:t>
            </w:r>
          </w:p>
        </w:tc>
        <w:tc>
          <w:tcPr>
            <w:tcW w:w="1980" w:type="dxa"/>
          </w:tcPr>
          <w:p w14:paraId="14FD562A" w14:textId="77777777" w:rsidR="00F132BD" w:rsidRDefault="00F132BD" w:rsidP="0095341E">
            <w:pPr>
              <w:contextualSpacing/>
            </w:pPr>
            <w:r>
              <w:rPr>
                <w:sz w:val="22"/>
              </w:rPr>
              <w:t xml:space="preserve">Integrates at least three credible sources with general connections to the thesis. </w:t>
            </w:r>
          </w:p>
          <w:p w14:paraId="55DF5156" w14:textId="77777777" w:rsidR="00F132BD" w:rsidRDefault="00F132BD" w:rsidP="0095341E">
            <w:pPr>
              <w:contextualSpacing/>
            </w:pPr>
            <w:r>
              <w:rPr>
                <w:sz w:val="22"/>
              </w:rPr>
              <w:t>(14–17 points)</w:t>
            </w:r>
          </w:p>
        </w:tc>
        <w:tc>
          <w:tcPr>
            <w:tcW w:w="2070" w:type="dxa"/>
          </w:tcPr>
          <w:p w14:paraId="73404667" w14:textId="77777777" w:rsidR="00F132BD" w:rsidRDefault="00F132BD" w:rsidP="0095341E">
            <w:pPr>
              <w:contextualSpacing/>
            </w:pPr>
            <w:r>
              <w:rPr>
                <w:sz w:val="22"/>
              </w:rPr>
              <w:t>Uses fewer than three sources</w:t>
            </w:r>
            <w:r>
              <w:t>;</w:t>
            </w:r>
            <w:r>
              <w:rPr>
                <w:sz w:val="22"/>
              </w:rPr>
              <w:t xml:space="preserve"> connections to thesis are weak. (10–13 points)</w:t>
            </w:r>
          </w:p>
        </w:tc>
        <w:tc>
          <w:tcPr>
            <w:tcW w:w="2569" w:type="dxa"/>
          </w:tcPr>
          <w:p w14:paraId="03D9C86B" w14:textId="77777777" w:rsidR="00F132BD" w:rsidRDefault="00F132BD" w:rsidP="0095341E">
            <w:pPr>
              <w:contextualSpacing/>
            </w:pPr>
            <w:r>
              <w:rPr>
                <w:sz w:val="22"/>
              </w:rPr>
              <w:t xml:space="preserve">Sources are ineffective, missing, or misused. </w:t>
            </w:r>
          </w:p>
          <w:p w14:paraId="54EA7308" w14:textId="77777777" w:rsidR="00F132BD" w:rsidRDefault="00F132BD" w:rsidP="0095341E">
            <w:pPr>
              <w:contextualSpacing/>
            </w:pPr>
            <w:r>
              <w:rPr>
                <w:sz w:val="22"/>
              </w:rPr>
              <w:t>(0–9 points)</w:t>
            </w:r>
          </w:p>
        </w:tc>
      </w:tr>
      <w:tr w:rsidR="00F132BD" w14:paraId="5A136123" w14:textId="77777777" w:rsidTr="00F132BD">
        <w:tc>
          <w:tcPr>
            <w:tcW w:w="1345" w:type="dxa"/>
          </w:tcPr>
          <w:p w14:paraId="17431E53" w14:textId="77777777" w:rsidR="00F132BD" w:rsidRDefault="00F132BD" w:rsidP="0095341E">
            <w:pPr>
              <w:contextualSpacing/>
              <w:rPr>
                <w:b/>
              </w:rPr>
            </w:pPr>
            <w:r>
              <w:rPr>
                <w:b/>
                <w:sz w:val="22"/>
              </w:rPr>
              <w:t>Interpretation of Points of View</w:t>
            </w:r>
          </w:p>
          <w:p w14:paraId="04EF2116" w14:textId="77777777" w:rsidR="00F132BD" w:rsidRDefault="00F132BD" w:rsidP="0095341E">
            <w:pPr>
              <w:contextualSpacing/>
            </w:pPr>
            <w:r>
              <w:rPr>
                <w:b/>
                <w:sz w:val="22"/>
              </w:rPr>
              <w:t xml:space="preserve"> (20 points)</w:t>
            </w:r>
          </w:p>
        </w:tc>
        <w:tc>
          <w:tcPr>
            <w:tcW w:w="2250" w:type="dxa"/>
          </w:tcPr>
          <w:p w14:paraId="64D4EEAE" w14:textId="77777777" w:rsidR="00F132BD" w:rsidRDefault="00F132BD" w:rsidP="0095341E">
            <w:pPr>
              <w:contextualSpacing/>
            </w:pPr>
            <w:r>
              <w:rPr>
                <w:sz w:val="22"/>
              </w:rPr>
              <w:t xml:space="preserve">Thoroughly interprets and explains multiple perspectives with insight. </w:t>
            </w:r>
          </w:p>
          <w:p w14:paraId="57D5710F" w14:textId="77777777" w:rsidR="00F132BD" w:rsidRDefault="00F132BD" w:rsidP="0095341E">
            <w:pPr>
              <w:contextualSpacing/>
            </w:pPr>
            <w:r>
              <w:rPr>
                <w:sz w:val="22"/>
              </w:rPr>
              <w:t>(18–20 points)</w:t>
            </w:r>
          </w:p>
        </w:tc>
        <w:tc>
          <w:tcPr>
            <w:tcW w:w="1980" w:type="dxa"/>
          </w:tcPr>
          <w:p w14:paraId="65D60AEB" w14:textId="77777777" w:rsidR="00F6446A" w:rsidRDefault="00F132BD" w:rsidP="0095341E">
            <w:pPr>
              <w:contextualSpacing/>
              <w:rPr>
                <w:sz w:val="22"/>
              </w:rPr>
            </w:pPr>
            <w:r>
              <w:rPr>
                <w:sz w:val="22"/>
              </w:rPr>
              <w:t xml:space="preserve">Explains multiple perspectives clearly. </w:t>
            </w:r>
          </w:p>
          <w:p w14:paraId="325F4336" w14:textId="0A11BEEC" w:rsidR="00F132BD" w:rsidRDefault="00F132BD" w:rsidP="0095341E">
            <w:pPr>
              <w:contextualSpacing/>
            </w:pPr>
            <w:r>
              <w:rPr>
                <w:sz w:val="22"/>
              </w:rPr>
              <w:t>(14–17 points)</w:t>
            </w:r>
          </w:p>
        </w:tc>
        <w:tc>
          <w:tcPr>
            <w:tcW w:w="2070" w:type="dxa"/>
          </w:tcPr>
          <w:p w14:paraId="0BA244A3" w14:textId="77777777" w:rsidR="00F132BD" w:rsidRDefault="00F132BD" w:rsidP="0095341E">
            <w:pPr>
              <w:contextualSpacing/>
            </w:pPr>
            <w:r>
              <w:rPr>
                <w:sz w:val="22"/>
              </w:rPr>
              <w:t xml:space="preserve">Mentions </w:t>
            </w:r>
            <w:r>
              <w:t xml:space="preserve">several </w:t>
            </w:r>
            <w:r>
              <w:rPr>
                <w:sz w:val="22"/>
              </w:rPr>
              <w:t xml:space="preserve">perspectives but interpretation is incomplete. </w:t>
            </w:r>
          </w:p>
          <w:p w14:paraId="6B2FE8C5" w14:textId="77777777" w:rsidR="00F132BD" w:rsidRDefault="00F132BD" w:rsidP="0095341E">
            <w:pPr>
              <w:contextualSpacing/>
            </w:pPr>
            <w:r>
              <w:rPr>
                <w:sz w:val="22"/>
              </w:rPr>
              <w:t>(10–13 points)</w:t>
            </w:r>
          </w:p>
        </w:tc>
        <w:tc>
          <w:tcPr>
            <w:tcW w:w="2569" w:type="dxa"/>
          </w:tcPr>
          <w:p w14:paraId="2801B951" w14:textId="77777777" w:rsidR="00F132BD" w:rsidRDefault="00F132BD" w:rsidP="0095341E">
            <w:pPr>
              <w:contextualSpacing/>
            </w:pPr>
            <w:r>
              <w:rPr>
                <w:sz w:val="22"/>
              </w:rPr>
              <w:t xml:space="preserve">Provides little or no explanation of perspectives. </w:t>
            </w:r>
          </w:p>
          <w:p w14:paraId="652F13B1" w14:textId="77777777" w:rsidR="00F132BD" w:rsidRDefault="00F132BD" w:rsidP="0095341E">
            <w:pPr>
              <w:contextualSpacing/>
            </w:pPr>
            <w:r>
              <w:rPr>
                <w:sz w:val="22"/>
              </w:rPr>
              <w:t>(0–9 points)</w:t>
            </w:r>
          </w:p>
        </w:tc>
      </w:tr>
      <w:tr w:rsidR="00F132BD" w14:paraId="63A1E0D3" w14:textId="77777777" w:rsidTr="00F132BD">
        <w:tc>
          <w:tcPr>
            <w:tcW w:w="1345" w:type="dxa"/>
          </w:tcPr>
          <w:p w14:paraId="348274E0" w14:textId="77777777" w:rsidR="00F132BD" w:rsidRDefault="00F132BD" w:rsidP="0095341E">
            <w:pPr>
              <w:contextualSpacing/>
              <w:rPr>
                <w:b/>
              </w:rPr>
            </w:pPr>
            <w:r>
              <w:rPr>
                <w:b/>
                <w:sz w:val="22"/>
              </w:rPr>
              <w:t xml:space="preserve">Assessment of Perspectives </w:t>
            </w:r>
          </w:p>
          <w:p w14:paraId="0BCA8434" w14:textId="77777777" w:rsidR="00F132BD" w:rsidRDefault="00F132BD" w:rsidP="0095341E">
            <w:pPr>
              <w:contextualSpacing/>
            </w:pPr>
            <w:r>
              <w:rPr>
                <w:b/>
                <w:sz w:val="22"/>
              </w:rPr>
              <w:t>(20 points)</w:t>
            </w:r>
          </w:p>
        </w:tc>
        <w:tc>
          <w:tcPr>
            <w:tcW w:w="2250" w:type="dxa"/>
          </w:tcPr>
          <w:p w14:paraId="733E75A9" w14:textId="77777777" w:rsidR="00F132BD" w:rsidRDefault="00F132BD" w:rsidP="0095341E">
            <w:pPr>
              <w:contextualSpacing/>
            </w:pPr>
            <w:r>
              <w:rPr>
                <w:sz w:val="22"/>
              </w:rPr>
              <w:t xml:space="preserve">Critically assesses how perspectives contribute to understanding the text. </w:t>
            </w:r>
          </w:p>
          <w:p w14:paraId="3E34CC21" w14:textId="77777777" w:rsidR="00F132BD" w:rsidRDefault="00F132BD" w:rsidP="0095341E">
            <w:pPr>
              <w:contextualSpacing/>
            </w:pPr>
            <w:r>
              <w:rPr>
                <w:sz w:val="22"/>
              </w:rPr>
              <w:t>(18–20 points)</w:t>
            </w:r>
          </w:p>
        </w:tc>
        <w:tc>
          <w:tcPr>
            <w:tcW w:w="1980" w:type="dxa"/>
          </w:tcPr>
          <w:p w14:paraId="0A87F205" w14:textId="77777777" w:rsidR="00F132BD" w:rsidRDefault="00F132BD" w:rsidP="0095341E">
            <w:pPr>
              <w:contextualSpacing/>
            </w:pPr>
            <w:r>
              <w:rPr>
                <w:sz w:val="22"/>
              </w:rPr>
              <w:t xml:space="preserve">Assesses how perspectives contribute to understanding the text. </w:t>
            </w:r>
          </w:p>
          <w:p w14:paraId="1C5C701A" w14:textId="77777777" w:rsidR="00F132BD" w:rsidRDefault="00F132BD" w:rsidP="0095341E">
            <w:pPr>
              <w:contextualSpacing/>
            </w:pPr>
            <w:r>
              <w:rPr>
                <w:sz w:val="22"/>
              </w:rPr>
              <w:t>(14–17 points)</w:t>
            </w:r>
          </w:p>
        </w:tc>
        <w:tc>
          <w:tcPr>
            <w:tcW w:w="2070" w:type="dxa"/>
          </w:tcPr>
          <w:p w14:paraId="21455776" w14:textId="77777777" w:rsidR="00F132BD" w:rsidRDefault="00F132BD" w:rsidP="0095341E">
            <w:pPr>
              <w:contextualSpacing/>
            </w:pPr>
            <w:r>
              <w:t>A</w:t>
            </w:r>
            <w:r>
              <w:rPr>
                <w:sz w:val="22"/>
              </w:rPr>
              <w:t xml:space="preserve">ssessment lacks clarity or sufficient depth. </w:t>
            </w:r>
          </w:p>
          <w:p w14:paraId="7C38FE50" w14:textId="77777777" w:rsidR="00F132BD" w:rsidRDefault="00F132BD" w:rsidP="0095341E">
            <w:pPr>
              <w:contextualSpacing/>
            </w:pPr>
            <w:r>
              <w:rPr>
                <w:sz w:val="22"/>
              </w:rPr>
              <w:t>(10–13 points)</w:t>
            </w:r>
          </w:p>
        </w:tc>
        <w:tc>
          <w:tcPr>
            <w:tcW w:w="2569" w:type="dxa"/>
          </w:tcPr>
          <w:p w14:paraId="318148F6" w14:textId="77777777" w:rsidR="00F132BD" w:rsidRDefault="00F132BD" w:rsidP="0095341E">
            <w:pPr>
              <w:contextualSpacing/>
            </w:pPr>
            <w:r>
              <w:rPr>
                <w:sz w:val="22"/>
              </w:rPr>
              <w:t xml:space="preserve">Provides minimal or no assessment of perspectives. </w:t>
            </w:r>
          </w:p>
          <w:p w14:paraId="47D8CF9F" w14:textId="77777777" w:rsidR="00F132BD" w:rsidRDefault="00F132BD" w:rsidP="0095341E">
            <w:pPr>
              <w:contextualSpacing/>
            </w:pPr>
            <w:r>
              <w:rPr>
                <w:sz w:val="22"/>
              </w:rPr>
              <w:t>(0–9 points)</w:t>
            </w:r>
          </w:p>
        </w:tc>
      </w:tr>
      <w:tr w:rsidR="00F132BD" w14:paraId="1034B89D" w14:textId="77777777" w:rsidTr="00F132BD">
        <w:tc>
          <w:tcPr>
            <w:tcW w:w="1345" w:type="dxa"/>
          </w:tcPr>
          <w:p w14:paraId="273C90E6" w14:textId="77777777" w:rsidR="00F132BD" w:rsidRDefault="00F132BD" w:rsidP="0095341E">
            <w:pPr>
              <w:contextualSpacing/>
              <w:rPr>
                <w:b/>
                <w:sz w:val="22"/>
              </w:rPr>
            </w:pPr>
            <w:r>
              <w:rPr>
                <w:b/>
                <w:sz w:val="22"/>
              </w:rPr>
              <w:t xml:space="preserve">Organization &amp; Writing </w:t>
            </w:r>
          </w:p>
          <w:p w14:paraId="543AE53A" w14:textId="25A432C6" w:rsidR="00F132BD" w:rsidRDefault="00F132BD" w:rsidP="0095341E">
            <w:pPr>
              <w:contextualSpacing/>
            </w:pPr>
            <w:r>
              <w:rPr>
                <w:b/>
                <w:sz w:val="22"/>
              </w:rPr>
              <w:t>(10 points)</w:t>
            </w:r>
          </w:p>
        </w:tc>
        <w:tc>
          <w:tcPr>
            <w:tcW w:w="2250" w:type="dxa"/>
          </w:tcPr>
          <w:p w14:paraId="3E02BCCC" w14:textId="77777777" w:rsidR="00F6446A" w:rsidRDefault="00F132BD" w:rsidP="0095341E">
            <w:pPr>
              <w:contextualSpacing/>
              <w:rPr>
                <w:sz w:val="22"/>
              </w:rPr>
            </w:pPr>
            <w:r>
              <w:rPr>
                <w:sz w:val="22"/>
              </w:rPr>
              <w:t xml:space="preserve">Writing is exceptionally clear, organized, and academic with virtually no errors. </w:t>
            </w:r>
          </w:p>
          <w:p w14:paraId="7278D575" w14:textId="61ACD20A" w:rsidR="00F132BD" w:rsidRDefault="00F132BD" w:rsidP="0095341E">
            <w:pPr>
              <w:contextualSpacing/>
            </w:pPr>
            <w:r>
              <w:rPr>
                <w:sz w:val="22"/>
              </w:rPr>
              <w:t>(9–10 points)</w:t>
            </w:r>
          </w:p>
        </w:tc>
        <w:tc>
          <w:tcPr>
            <w:tcW w:w="1980" w:type="dxa"/>
          </w:tcPr>
          <w:p w14:paraId="20A1DF38" w14:textId="77777777" w:rsidR="00F132BD" w:rsidRDefault="00F132BD" w:rsidP="0095341E">
            <w:pPr>
              <w:contextualSpacing/>
            </w:pPr>
            <w:r>
              <w:rPr>
                <w:sz w:val="22"/>
              </w:rPr>
              <w:t xml:space="preserve">Writing is mostly clear and organized with few errors. </w:t>
            </w:r>
          </w:p>
          <w:p w14:paraId="7CFD289A" w14:textId="77777777" w:rsidR="00F132BD" w:rsidRDefault="00F132BD" w:rsidP="0095341E">
            <w:pPr>
              <w:contextualSpacing/>
            </w:pPr>
            <w:r>
              <w:rPr>
                <w:sz w:val="22"/>
              </w:rPr>
              <w:t>(7–8 points)</w:t>
            </w:r>
          </w:p>
        </w:tc>
        <w:tc>
          <w:tcPr>
            <w:tcW w:w="2070" w:type="dxa"/>
          </w:tcPr>
          <w:p w14:paraId="170BA42B" w14:textId="77777777" w:rsidR="00F132BD" w:rsidRDefault="00F132BD" w:rsidP="0095341E">
            <w:pPr>
              <w:contextualSpacing/>
            </w:pPr>
            <w:r>
              <w:rPr>
                <w:sz w:val="22"/>
              </w:rPr>
              <w:t xml:space="preserve">Writing </w:t>
            </w:r>
            <w:r>
              <w:t>is</w:t>
            </w:r>
            <w:r>
              <w:rPr>
                <w:sz w:val="22"/>
              </w:rPr>
              <w:t xml:space="preserve"> som</w:t>
            </w:r>
            <w:r>
              <w:t>ewhat</w:t>
            </w:r>
            <w:r>
              <w:rPr>
                <w:sz w:val="22"/>
              </w:rPr>
              <w:t xml:space="preserve"> organiz</w:t>
            </w:r>
            <w:r>
              <w:t>ed</w:t>
            </w:r>
            <w:r>
              <w:rPr>
                <w:sz w:val="22"/>
              </w:rPr>
              <w:t xml:space="preserve"> but contains noticeable errors or lapses in academic tone. </w:t>
            </w:r>
          </w:p>
          <w:p w14:paraId="34A5C1CA" w14:textId="77777777" w:rsidR="00F132BD" w:rsidRDefault="00F132BD" w:rsidP="0095341E">
            <w:pPr>
              <w:contextualSpacing/>
            </w:pPr>
            <w:r>
              <w:rPr>
                <w:sz w:val="22"/>
              </w:rPr>
              <w:t>(5–6 points)</w:t>
            </w:r>
          </w:p>
        </w:tc>
        <w:tc>
          <w:tcPr>
            <w:tcW w:w="2569" w:type="dxa"/>
          </w:tcPr>
          <w:p w14:paraId="560836C0" w14:textId="77777777" w:rsidR="00F132BD" w:rsidRDefault="00F132BD" w:rsidP="0095341E">
            <w:pPr>
              <w:contextualSpacing/>
            </w:pPr>
            <w:r>
              <w:rPr>
                <w:sz w:val="22"/>
              </w:rPr>
              <w:t>Writing lacks clarity, organization, or academic tone; frequent errors.</w:t>
            </w:r>
          </w:p>
          <w:p w14:paraId="142951D3" w14:textId="77777777" w:rsidR="00F132BD" w:rsidRDefault="00F132BD" w:rsidP="0095341E">
            <w:pPr>
              <w:contextualSpacing/>
            </w:pPr>
            <w:r>
              <w:rPr>
                <w:sz w:val="22"/>
              </w:rPr>
              <w:t xml:space="preserve"> (0–4 points)</w:t>
            </w:r>
          </w:p>
        </w:tc>
      </w:tr>
      <w:tr w:rsidR="00F132BD" w14:paraId="53D6C2D6" w14:textId="77777777" w:rsidTr="00F132BD">
        <w:tc>
          <w:tcPr>
            <w:tcW w:w="1345" w:type="dxa"/>
          </w:tcPr>
          <w:p w14:paraId="519B11E9" w14:textId="77777777" w:rsidR="00F132BD" w:rsidRDefault="00F132BD" w:rsidP="0095341E">
            <w:pPr>
              <w:contextualSpacing/>
            </w:pPr>
            <w:r>
              <w:rPr>
                <w:b/>
                <w:sz w:val="22"/>
              </w:rPr>
              <w:lastRenderedPageBreak/>
              <w:t>Citation &amp; Format (10 points)</w:t>
            </w:r>
          </w:p>
        </w:tc>
        <w:tc>
          <w:tcPr>
            <w:tcW w:w="2250" w:type="dxa"/>
          </w:tcPr>
          <w:p w14:paraId="450AFE4C" w14:textId="77777777" w:rsidR="00F132BD" w:rsidRDefault="00F132BD" w:rsidP="0095341E">
            <w:pPr>
              <w:contextualSpacing/>
            </w:pPr>
            <w:r>
              <w:rPr>
                <w:sz w:val="22"/>
              </w:rPr>
              <w:t>Uses ethical attribution and MLA citation flawlessly; adheres fully to guidelines.</w:t>
            </w:r>
          </w:p>
          <w:p w14:paraId="51CA7D9A" w14:textId="77777777" w:rsidR="00F132BD" w:rsidRDefault="00F132BD" w:rsidP="0095341E">
            <w:pPr>
              <w:contextualSpacing/>
            </w:pPr>
            <w:r>
              <w:rPr>
                <w:sz w:val="22"/>
              </w:rPr>
              <w:t xml:space="preserve"> (9–10 points)</w:t>
            </w:r>
          </w:p>
        </w:tc>
        <w:tc>
          <w:tcPr>
            <w:tcW w:w="1980" w:type="dxa"/>
          </w:tcPr>
          <w:p w14:paraId="60416E89" w14:textId="77777777" w:rsidR="00F132BD" w:rsidRDefault="00F132BD" w:rsidP="0095341E">
            <w:pPr>
              <w:contextualSpacing/>
            </w:pPr>
            <w:r>
              <w:rPr>
                <w:sz w:val="22"/>
              </w:rPr>
              <w:t xml:space="preserve">Uses MLA citation with few errors; mostly adheres to guidelines. </w:t>
            </w:r>
          </w:p>
          <w:p w14:paraId="493A65B2" w14:textId="77777777" w:rsidR="00F132BD" w:rsidRDefault="00F132BD" w:rsidP="0095341E">
            <w:pPr>
              <w:contextualSpacing/>
            </w:pPr>
            <w:r>
              <w:rPr>
                <w:sz w:val="22"/>
              </w:rPr>
              <w:t>(7–8 points)</w:t>
            </w:r>
          </w:p>
        </w:tc>
        <w:tc>
          <w:tcPr>
            <w:tcW w:w="2070" w:type="dxa"/>
          </w:tcPr>
          <w:p w14:paraId="605C3507" w14:textId="77777777" w:rsidR="00F132BD" w:rsidRDefault="00F132BD" w:rsidP="0095341E">
            <w:pPr>
              <w:contextualSpacing/>
            </w:pPr>
            <w:r>
              <w:rPr>
                <w:sz w:val="22"/>
              </w:rPr>
              <w:t xml:space="preserve">Citation or formatting is inconsistent or incomplete. </w:t>
            </w:r>
          </w:p>
          <w:p w14:paraId="4C6B45CD" w14:textId="77777777" w:rsidR="00F132BD" w:rsidRDefault="00F132BD" w:rsidP="0095341E">
            <w:pPr>
              <w:contextualSpacing/>
            </w:pPr>
            <w:r>
              <w:rPr>
                <w:sz w:val="22"/>
              </w:rPr>
              <w:t>(5–6 points)</w:t>
            </w:r>
          </w:p>
        </w:tc>
        <w:tc>
          <w:tcPr>
            <w:tcW w:w="2569" w:type="dxa"/>
          </w:tcPr>
          <w:p w14:paraId="4A61B7C4" w14:textId="77777777" w:rsidR="00F132BD" w:rsidRDefault="00F132BD" w:rsidP="0095341E">
            <w:pPr>
              <w:contextualSpacing/>
            </w:pPr>
            <w:r>
              <w:rPr>
                <w:sz w:val="22"/>
              </w:rPr>
              <w:t xml:space="preserve">Uses citation incorrectly or does not adhere to guidelines. </w:t>
            </w:r>
          </w:p>
          <w:p w14:paraId="21D3C26E" w14:textId="77777777" w:rsidR="00F132BD" w:rsidRDefault="00F132BD" w:rsidP="0095341E">
            <w:pPr>
              <w:contextualSpacing/>
            </w:pPr>
            <w:r>
              <w:rPr>
                <w:sz w:val="22"/>
              </w:rPr>
              <w:t>(0–4 points)</w:t>
            </w:r>
          </w:p>
        </w:tc>
      </w:tr>
    </w:tbl>
    <w:p w14:paraId="194C59E9" w14:textId="77777777" w:rsidR="00B43F13" w:rsidRDefault="00B43F13" w:rsidP="27E7B809">
      <w:pPr>
        <w:spacing w:line="240" w:lineRule="auto"/>
      </w:pPr>
    </w:p>
    <w:p w14:paraId="037D2689" w14:textId="28FE6743" w:rsidR="60F44C9E" w:rsidRPr="007F57D5" w:rsidRDefault="00B43F13" w:rsidP="007F57D5">
      <w:pPr>
        <w:pStyle w:val="Heading1"/>
        <w:rPr>
          <w:rFonts w:ascii="Calibri" w:eastAsia="Calibri" w:hAnsi="Calibri" w:cs="Calibri"/>
          <w:b/>
          <w:bCs/>
        </w:rPr>
      </w:pPr>
      <w:r w:rsidRPr="390F293F">
        <w:rPr>
          <w:rFonts w:ascii="Calibri" w:eastAsia="Calibri" w:hAnsi="Calibri" w:cs="Calibri"/>
        </w:rPr>
        <w:t>Sample Student Submission</w:t>
      </w:r>
    </w:p>
    <w:p w14:paraId="3C3706B4" w14:textId="77777777" w:rsidR="007F57D5" w:rsidRDefault="76AE46F3" w:rsidP="007F57D5">
      <w:pPr>
        <w:spacing w:before="100" w:beforeAutospacing="1" w:after="100" w:afterAutospacing="1" w:line="240" w:lineRule="auto"/>
        <w:contextualSpacing/>
        <w:rPr>
          <w:b/>
          <w:bCs/>
        </w:rPr>
      </w:pPr>
      <w:r w:rsidRPr="627E33DF">
        <w:rPr>
          <w:b/>
          <w:bCs/>
        </w:rPr>
        <w:t>Ling Qingzhao</w:t>
      </w:r>
      <w:r w:rsidR="00B43F13" w:rsidRPr="00B43F13">
        <w:rPr>
          <w:rFonts w:ascii="Times New Roman" w:eastAsia="Times New Roman" w:hAnsi="Times New Roman" w:cs="Times New Roman"/>
          <w:kern w:val="0"/>
          <w14:ligatures w14:val="none"/>
        </w:rPr>
        <w:br/>
      </w:r>
      <w:r w:rsidR="00B43F13" w:rsidRPr="25AA3742">
        <w:rPr>
          <w:b/>
          <w:bCs/>
          <w:kern w:val="0"/>
          <w14:ligatures w14:val="none"/>
        </w:rPr>
        <w:t>ENG 211: World Literature</w:t>
      </w:r>
    </w:p>
    <w:p w14:paraId="511D0ED8" w14:textId="7EDB4019" w:rsidR="00B43F13" w:rsidRPr="00B43F13" w:rsidRDefault="62BA5D8B" w:rsidP="007F57D5">
      <w:pPr>
        <w:spacing w:before="100" w:beforeAutospacing="1" w:after="100" w:afterAutospacing="1" w:line="240" w:lineRule="auto"/>
        <w:contextualSpacing/>
        <w:rPr>
          <w:b/>
          <w:bCs/>
        </w:rPr>
      </w:pPr>
      <w:r w:rsidRPr="39CAF30A">
        <w:rPr>
          <w:b/>
          <w:bCs/>
        </w:rPr>
        <w:t>Research Paper</w:t>
      </w:r>
      <w:r w:rsidR="00B43F13">
        <w:br/>
      </w:r>
    </w:p>
    <w:p w14:paraId="31593A35" w14:textId="67C67DB5" w:rsidR="6C530E5D" w:rsidRDefault="6C530E5D" w:rsidP="39CAF30A">
      <w:pPr>
        <w:spacing w:after="200" w:line="480" w:lineRule="auto"/>
        <w:jc w:val="center"/>
      </w:pPr>
      <w:r w:rsidRPr="39CAF30A">
        <w:t>Reclaiming the Center: Cultural Memory, Gender, and Postcolonial Hybridity in Chinua Achebe’s Things Fall Apart</w:t>
      </w:r>
    </w:p>
    <w:p w14:paraId="7955B1AD" w14:textId="502C74DD" w:rsidR="6C530E5D" w:rsidRDefault="6C530E5D" w:rsidP="39CAF30A">
      <w:pPr>
        <w:spacing w:after="200" w:line="480" w:lineRule="auto"/>
        <w:ind w:firstLine="480"/>
      </w:pPr>
      <w:r w:rsidRPr="39CAF30A">
        <w:t>Thesis. Chinua Achebe’s Things Fall Apart (1958) reclaims the narrative authority of African history by exploring the cultural memory of the Igbo community, challenging Western misrepresentations, and interrogating internal patriarchal norms. Through the interplay of multiple perspectives—cultural memory and representation (</w:t>
      </w:r>
      <w:proofErr w:type="spellStart"/>
      <w:r w:rsidRPr="39CAF30A">
        <w:t>Irele</w:t>
      </w:r>
      <w:proofErr w:type="spellEnd"/>
      <w:r w:rsidRPr="39CAF30A">
        <w:t>), the invention of African modern literature (</w:t>
      </w:r>
      <w:proofErr w:type="spellStart"/>
      <w:r w:rsidRPr="39CAF30A">
        <w:t>Gikandi</w:t>
      </w:r>
      <w:proofErr w:type="spellEnd"/>
      <w:r w:rsidRPr="39CAF30A">
        <w:t>), and postcolonial hybridity (Bhabha)—the novel transcends a simple story of colonial disruption and becomes a layered critique of both external colonial forces and internal social structures. These perspectives reveal how Achebe not only resists colonial narratives but also exposes the fragile and evolving nature of identity when cultures collide.</w:t>
      </w:r>
    </w:p>
    <w:p w14:paraId="0193018E" w14:textId="08CAC2C6" w:rsidR="6C530E5D" w:rsidRDefault="6C530E5D" w:rsidP="39CAF30A">
      <w:pPr>
        <w:spacing w:after="200" w:line="480" w:lineRule="auto"/>
        <w:ind w:firstLine="480"/>
      </w:pPr>
      <w:r w:rsidRPr="39CAF30A">
        <w:t>I. Rewriting the Colonial Archive</w:t>
      </w:r>
    </w:p>
    <w:p w14:paraId="62D5A1C2" w14:textId="1CDE031A" w:rsidR="6C530E5D" w:rsidRDefault="6C530E5D" w:rsidP="39CAF30A">
      <w:pPr>
        <w:spacing w:after="200" w:line="480" w:lineRule="auto"/>
        <w:ind w:firstLine="480"/>
      </w:pPr>
      <w:r w:rsidRPr="39CAF30A">
        <w:t xml:space="preserve">Achebe’s narrative voice deliberately positions Igbo culture at the center, countering decades of Eurocentric literature that portrayed Africa as a land of “silence” or “darkness,” as famously articulated in Conrad’s Heart of Darkness. Achebe himself criticized this portrayal, arguing that Conrad’s narrative “dehumanizes Africa” by presenting it merely as a backdrop for European adventures (Achebe, Morning </w:t>
      </w:r>
      <w:r w:rsidRPr="39CAF30A">
        <w:lastRenderedPageBreak/>
        <w:t xml:space="preserve">Yet on Creation Day). In Things Fall Apart, the narrator offers detailed explanations of customs, rituals, and political structures, such as the </w:t>
      </w:r>
      <w:proofErr w:type="spellStart"/>
      <w:r w:rsidRPr="39CAF30A">
        <w:t>egwugwu</w:t>
      </w:r>
      <w:proofErr w:type="spellEnd"/>
      <w:r w:rsidRPr="39CAF30A">
        <w:t xml:space="preserve"> ceremony, to highlight the sophistication and complexity of precolonial Igbo society.</w:t>
      </w:r>
    </w:p>
    <w:p w14:paraId="5E392D83" w14:textId="30B1AE4D" w:rsidR="6C530E5D" w:rsidRDefault="6C530E5D" w:rsidP="39CAF30A">
      <w:pPr>
        <w:spacing w:after="200" w:line="480" w:lineRule="auto"/>
        <w:ind w:firstLine="480"/>
      </w:pPr>
      <w:r w:rsidRPr="39CAF30A">
        <w:t xml:space="preserve">Simon </w:t>
      </w:r>
      <w:proofErr w:type="spellStart"/>
      <w:r w:rsidRPr="39CAF30A">
        <w:t>Gikandi</w:t>
      </w:r>
      <w:proofErr w:type="spellEnd"/>
      <w:r w:rsidRPr="39CAF30A">
        <w:t xml:space="preserve"> emphasizes that Achebe’s text “invents” African modern literature by reimagining storytelling as both a cultural and political act (</w:t>
      </w:r>
      <w:proofErr w:type="spellStart"/>
      <w:r w:rsidRPr="39CAF30A">
        <w:t>Gikandi</w:t>
      </w:r>
      <w:proofErr w:type="spellEnd"/>
      <w:r w:rsidRPr="39CAF30A">
        <w:t xml:space="preserve"> 5). By embedding proverbs and oral traditions into the narrative</w:t>
      </w:r>
      <w:proofErr w:type="gramStart"/>
      <w:r w:rsidRPr="39CAF30A">
        <w:t>—“</w:t>
      </w:r>
      <w:proofErr w:type="gramEnd"/>
      <w:r w:rsidRPr="39CAF30A">
        <w:t>proverbs are the palm-oil with which words are eaten”—Achebe validates indigenous epistemologies and restores cultural memory that colonial narratives sought to erase. This strategy does more than inform Western readers about Igbo life; it asserts that the community has always had its own narrative voice, long before the colonial archive attempted to define it.</w:t>
      </w:r>
    </w:p>
    <w:p w14:paraId="68BA3D9B" w14:textId="0873DEEC" w:rsidR="6C530E5D" w:rsidRDefault="6C530E5D" w:rsidP="39CAF30A">
      <w:pPr>
        <w:spacing w:after="200" w:line="480" w:lineRule="auto"/>
        <w:ind w:firstLine="480"/>
      </w:pPr>
      <w:r w:rsidRPr="39CAF30A">
        <w:t>II. Masculinity, Fear, and Internal Cultural Tensions</w:t>
      </w:r>
    </w:p>
    <w:p w14:paraId="053543C3" w14:textId="5C6539B5" w:rsidR="6C530E5D" w:rsidRDefault="6C530E5D" w:rsidP="39CAF30A">
      <w:pPr>
        <w:spacing w:after="200" w:line="480" w:lineRule="auto"/>
        <w:ind w:firstLine="480"/>
      </w:pPr>
      <w:r w:rsidRPr="39CAF30A">
        <w:t xml:space="preserve">While Achebe counters colonial stereotypes, he does not romanticize the Igbo past. Okonkwo, the protagonist, embodies a hyper-masculine ideal defined by fear of weakness and failure, a fear inherited from his father’s perceived laziness and lack of status. Okonkwo’s violent actions, particularly his role in the killing of Ikemefuna, expose the limitations and destructiveness of a rigid patriarchal code. As </w:t>
      </w:r>
      <w:proofErr w:type="spellStart"/>
      <w:r w:rsidRPr="39CAF30A">
        <w:t>Irele</w:t>
      </w:r>
      <w:proofErr w:type="spellEnd"/>
      <w:r w:rsidRPr="39CAF30A">
        <w:t xml:space="preserve"> observes, “Achebe’s novel confronts the fractures within the Igbo world even before the arrival of the colonizer” (</w:t>
      </w:r>
      <w:proofErr w:type="spellStart"/>
      <w:r w:rsidRPr="39CAF30A">
        <w:t>Irele</w:t>
      </w:r>
      <w:proofErr w:type="spellEnd"/>
      <w:r w:rsidRPr="39CAF30A">
        <w:t xml:space="preserve"> 399). Okonkwo’s tragedy is not solely the result of colonial interference but also of his own inability to adapt or embrace softer, more communal forms of strength.</w:t>
      </w:r>
    </w:p>
    <w:p w14:paraId="2C874E6E" w14:textId="4A4D1C60" w:rsidR="6C530E5D" w:rsidRDefault="6C530E5D" w:rsidP="39CAF30A">
      <w:pPr>
        <w:spacing w:after="200" w:line="480" w:lineRule="auto"/>
        <w:ind w:firstLine="480"/>
      </w:pPr>
      <w:r w:rsidRPr="39CAF30A">
        <w:t xml:space="preserve">Achebe highlights this contrast through Nwoye, who resists his father’s harshness and is drawn to the compassion embodied in the Christian missionaries. Nwoye’s preference for his mother’s folktales over his father’s warrior stories symbolizes a conflict between two cultural paradigms—one valuing empathy and relationality, the other dominated by fear and authority. By portraying these tensions, </w:t>
      </w:r>
      <w:r w:rsidRPr="39CAF30A">
        <w:lastRenderedPageBreak/>
        <w:t>Achebe critiques the patriarchal values of his own society while illustrating how colonialism exacerbates these internal divisions.</w:t>
      </w:r>
    </w:p>
    <w:p w14:paraId="31F60CB2" w14:textId="5B733760" w:rsidR="6C530E5D" w:rsidRDefault="6C530E5D" w:rsidP="39CAF30A">
      <w:pPr>
        <w:spacing w:after="200" w:line="480" w:lineRule="auto"/>
        <w:ind w:firstLine="480"/>
      </w:pPr>
      <w:r w:rsidRPr="39CAF30A">
        <w:t>III. Cultural Memory and the Disruption of Continuity</w:t>
      </w:r>
    </w:p>
    <w:p w14:paraId="428219E5" w14:textId="2A50C023" w:rsidR="6C530E5D" w:rsidRDefault="6C530E5D" w:rsidP="39CAF30A">
      <w:pPr>
        <w:spacing w:after="200" w:line="480" w:lineRule="auto"/>
        <w:ind w:firstLine="480"/>
      </w:pPr>
      <w:r w:rsidRPr="39CAF30A">
        <w:t xml:space="preserve">The title Things Fall Apart, borrowed from Yeats’s poem “The Second Coming,” foreshadows the rupture that colonialism brings to Igbo cultural memory. Yet Achebe complicates the notion of simple cultural loss by showing how memory itself becomes a contested terrain. </w:t>
      </w:r>
      <w:proofErr w:type="spellStart"/>
      <w:r w:rsidRPr="39CAF30A">
        <w:t>Irele’s</w:t>
      </w:r>
      <w:proofErr w:type="spellEnd"/>
      <w:r w:rsidRPr="39CAF30A">
        <w:t xml:space="preserve"> concept of the “crisis of cultural memory” applies here, as the novel demonstrates how colonial power destabilizes traditional practices and institutions. The missionaries’ ability to attract outcasts, twins, and marginalized individuals reveals both the inclusivity of Christianity and the social exclusions already present within the Igbo community.</w:t>
      </w:r>
    </w:p>
    <w:p w14:paraId="26325DE8" w14:textId="31580665" w:rsidR="6C530E5D" w:rsidRDefault="6C530E5D" w:rsidP="39CAF30A">
      <w:pPr>
        <w:spacing w:after="200" w:line="480" w:lineRule="auto"/>
        <w:ind w:firstLine="480"/>
      </w:pPr>
      <w:r w:rsidRPr="39CAF30A">
        <w:t xml:space="preserve">Achebe’s nuanced depiction of cultural change suggests that memory is not static; it adapts, resists, and transforms under pressure. This dynamic process is captured in moments such as </w:t>
      </w:r>
      <w:proofErr w:type="spellStart"/>
      <w:r w:rsidRPr="39CAF30A">
        <w:t>Obierika’s</w:t>
      </w:r>
      <w:proofErr w:type="spellEnd"/>
      <w:r w:rsidRPr="39CAF30A">
        <w:t xml:space="preserve"> critical reflections on the community’s response to colonial encroachment. Through characters like Obierika, Achebe shows that some members of the community recognize both the strengths and the flaws of their traditions, creating a space for self-assessment rather than blind adherence to the past.</w:t>
      </w:r>
    </w:p>
    <w:p w14:paraId="3584E51F" w14:textId="1C04A794" w:rsidR="6C530E5D" w:rsidRDefault="6C530E5D" w:rsidP="39CAF30A">
      <w:pPr>
        <w:spacing w:after="200" w:line="480" w:lineRule="auto"/>
        <w:ind w:firstLine="480"/>
      </w:pPr>
      <w:r w:rsidRPr="39CAF30A">
        <w:t>IV. Hybridity and Ambivalence in Colonial Encounters</w:t>
      </w:r>
    </w:p>
    <w:p w14:paraId="1B9A1EA5" w14:textId="4C277B19" w:rsidR="6C530E5D" w:rsidRDefault="6C530E5D" w:rsidP="39CAF30A">
      <w:pPr>
        <w:spacing w:after="200" w:line="480" w:lineRule="auto"/>
        <w:ind w:firstLine="480"/>
      </w:pPr>
      <w:r w:rsidRPr="39CAF30A">
        <w:t>Homi Bhabha’s theory of hybridity and the “third space” deepens our understanding of the colonial encounters depicted in Things Fall Apart. Rather than presenting a stark binary of tradition versus modernity, Achebe illustrates how new identities emerge from the contact zone between Igbo culture and Western influence. Converts like Nwoye/Isaac navigate a hybrid identity, finding spiritual and ethical resonance in Christianity while retaining elements of their Igbo heritage.</w:t>
      </w:r>
    </w:p>
    <w:p w14:paraId="7E92F5DF" w14:textId="607A6888" w:rsidR="6C530E5D" w:rsidRDefault="6C530E5D" w:rsidP="39CAF30A">
      <w:pPr>
        <w:spacing w:after="200" w:line="480" w:lineRule="auto"/>
        <w:ind w:firstLine="480"/>
      </w:pPr>
      <w:r w:rsidRPr="39CAF30A">
        <w:lastRenderedPageBreak/>
        <w:t>Bhabha argues that colonial power is never absolute; it produces mimicry and ambivalence, which can destabilize the colonizer’s authority (Bhabha 88). This is evident in Achebe’s portrayal of Mr. Brown, the missionary who respects Igbo customs and seeks dialogue rather than domination. Mr. Brown’s approach contrasts with that of Reverend Smith and the District Commissioner, whose authoritarian tactics provoke resistance and violence. The resulting cultural collision demonstrates how hybridity, while fraught with tension, also offers opportunities for negotiation and transformation.</w:t>
      </w:r>
    </w:p>
    <w:p w14:paraId="33E93C53" w14:textId="3257CAB0" w:rsidR="6C530E5D" w:rsidRDefault="6C530E5D" w:rsidP="39CAF30A">
      <w:pPr>
        <w:spacing w:after="200" w:line="480" w:lineRule="auto"/>
        <w:ind w:firstLine="480"/>
      </w:pPr>
      <w:r w:rsidRPr="39CAF30A">
        <w:t xml:space="preserve">V. Conclusion: </w:t>
      </w:r>
      <w:proofErr w:type="spellStart"/>
      <w:r w:rsidRPr="39CAF30A">
        <w:t>Multiperspectival</w:t>
      </w:r>
      <w:proofErr w:type="spellEnd"/>
      <w:r w:rsidRPr="39CAF30A">
        <w:t xml:space="preserve"> Insight and Cultural Resilience</w:t>
      </w:r>
    </w:p>
    <w:p w14:paraId="4D548A13" w14:textId="609CA88D" w:rsidR="6C530E5D" w:rsidRDefault="6C530E5D" w:rsidP="39CAF30A">
      <w:pPr>
        <w:spacing w:after="200" w:line="480" w:lineRule="auto"/>
        <w:ind w:firstLine="480"/>
      </w:pPr>
      <w:r w:rsidRPr="39CAF30A">
        <w:t xml:space="preserve">By integrating the perspectives of </w:t>
      </w:r>
      <w:proofErr w:type="spellStart"/>
      <w:r w:rsidRPr="39CAF30A">
        <w:t>Gikandi</w:t>
      </w:r>
      <w:proofErr w:type="spellEnd"/>
      <w:r w:rsidRPr="39CAF30A">
        <w:t xml:space="preserve">, </w:t>
      </w:r>
      <w:proofErr w:type="spellStart"/>
      <w:r w:rsidRPr="39CAF30A">
        <w:t>Irele</w:t>
      </w:r>
      <w:proofErr w:type="spellEnd"/>
      <w:r w:rsidRPr="39CAF30A">
        <w:t xml:space="preserve">, and Bhabha, we gain a fuller understanding of Achebe’s achievement in Things Fall Apart. </w:t>
      </w:r>
      <w:proofErr w:type="spellStart"/>
      <w:r w:rsidRPr="39CAF30A">
        <w:t>Gikandi</w:t>
      </w:r>
      <w:proofErr w:type="spellEnd"/>
      <w:r w:rsidRPr="39CAF30A">
        <w:t xml:space="preserve"> illuminates the novel’s role in reclaiming narrative authority and inventing a modern African literary tradition. </w:t>
      </w:r>
      <w:proofErr w:type="spellStart"/>
      <w:r w:rsidRPr="39CAF30A">
        <w:t>Irele</w:t>
      </w:r>
      <w:proofErr w:type="spellEnd"/>
      <w:r w:rsidRPr="39CAF30A">
        <w:t xml:space="preserve"> emphasizes the crisis and resilience of cultural memory, while Bhabha highlights the hybrid, ambivalent identities that emerge in the colonial encounter. Together, these frameworks reveal that Achebe’s novel is not merely about the destruction of a culture but also about its capacity for adaptation and self-examination.</w:t>
      </w:r>
    </w:p>
    <w:p w14:paraId="3ED2BFDB" w14:textId="35760B14" w:rsidR="6C530E5D" w:rsidRDefault="6C530E5D" w:rsidP="39CAF30A">
      <w:pPr>
        <w:spacing w:after="200" w:line="480" w:lineRule="auto"/>
        <w:ind w:firstLine="480"/>
      </w:pPr>
      <w:r w:rsidRPr="39CAF30A">
        <w:t>Ultimately, Things Fall Apart challenges readers to question simplistic narratives of colonizer versus colonized and to recognize the internal complexities of cultural identity. Achebe’s work endures because it offers both a reclamation of African voice and a universal meditation on the costs of pride, fear, and change. Through a multi-layered narrative that integrates oral traditions, gender critique, and postcolonial theory, Achebe leaves us with a story that is as much about resilience as it is about loss.</w:t>
      </w:r>
    </w:p>
    <w:p w14:paraId="0640B431" w14:textId="72CF3D7E" w:rsidR="6C530E5D" w:rsidRDefault="6C530E5D" w:rsidP="39CAF30A">
      <w:pPr>
        <w:spacing w:after="200" w:line="480" w:lineRule="auto"/>
        <w:jc w:val="center"/>
      </w:pPr>
      <w:r w:rsidRPr="39CAF30A">
        <w:t>Works Cited</w:t>
      </w:r>
    </w:p>
    <w:p w14:paraId="39E12CDC" w14:textId="26914CC9" w:rsidR="6C530E5D" w:rsidRDefault="6C530E5D" w:rsidP="39CAF30A">
      <w:pPr>
        <w:spacing w:after="200" w:line="480" w:lineRule="auto"/>
        <w:ind w:left="720"/>
      </w:pPr>
      <w:r w:rsidRPr="39CAF30A">
        <w:t>Achebe, Chinua. Things Fall Apart. Anchor Books, 1994.</w:t>
      </w:r>
    </w:p>
    <w:p w14:paraId="3C428D32" w14:textId="24180876" w:rsidR="6C530E5D" w:rsidRDefault="6C530E5D" w:rsidP="39CAF30A">
      <w:pPr>
        <w:spacing w:after="200" w:line="480" w:lineRule="auto"/>
        <w:ind w:left="720"/>
      </w:pPr>
      <w:r w:rsidRPr="39CAF30A">
        <w:t>Achebe, Chinua. Morning Yet on Creation Day: Essays. Heinemann, 1975.</w:t>
      </w:r>
    </w:p>
    <w:p w14:paraId="22D7351C" w14:textId="26B412DA" w:rsidR="6C530E5D" w:rsidRDefault="6C530E5D" w:rsidP="39CAF30A">
      <w:pPr>
        <w:spacing w:after="200" w:line="480" w:lineRule="auto"/>
        <w:ind w:left="720"/>
      </w:pPr>
      <w:r w:rsidRPr="39CAF30A">
        <w:lastRenderedPageBreak/>
        <w:t>Bhabha, Homi K. The Location of Culture. Routledge, 1994.</w:t>
      </w:r>
    </w:p>
    <w:p w14:paraId="11FC7932" w14:textId="4B2720D2" w:rsidR="6C530E5D" w:rsidRDefault="6C530E5D" w:rsidP="39CAF30A">
      <w:pPr>
        <w:spacing w:after="200" w:line="480" w:lineRule="auto"/>
        <w:ind w:left="720"/>
      </w:pPr>
      <w:proofErr w:type="spellStart"/>
      <w:r w:rsidRPr="39CAF30A">
        <w:t>Gikandi</w:t>
      </w:r>
      <w:proofErr w:type="spellEnd"/>
      <w:r w:rsidRPr="39CAF30A">
        <w:t>, Simon. “Chinua Achebe and the Invention of African Literature.” Research in African Literatures, vol. 32, no. 3, 2001, pp. 3–8.</w:t>
      </w:r>
    </w:p>
    <w:p w14:paraId="738FC376" w14:textId="5E7F02C4" w:rsidR="6C530E5D" w:rsidRDefault="6C530E5D" w:rsidP="39CAF30A">
      <w:pPr>
        <w:spacing w:after="200" w:line="480" w:lineRule="auto"/>
        <w:ind w:left="720"/>
      </w:pPr>
      <w:proofErr w:type="spellStart"/>
      <w:r w:rsidRPr="39CAF30A">
        <w:t>Irele</w:t>
      </w:r>
      <w:proofErr w:type="spellEnd"/>
      <w:r w:rsidRPr="39CAF30A">
        <w:t xml:space="preserve">, Abiola. “The Crisis of Cultural Memory in Chinua Achebe’s Things Fall Apart.” African Literature: An Anthology of Criticism and Theory, edited by Tejumola Olaniyan and Ato </w:t>
      </w:r>
      <w:proofErr w:type="spellStart"/>
      <w:r w:rsidRPr="39CAF30A">
        <w:t>Quayson</w:t>
      </w:r>
      <w:proofErr w:type="spellEnd"/>
      <w:r w:rsidRPr="39CAF30A">
        <w:t>, Blackwell, 2007, pp. 396–412.</w:t>
      </w:r>
    </w:p>
    <w:p w14:paraId="462B4D5B" w14:textId="5EAADFEE" w:rsidR="39CAF30A" w:rsidRDefault="39CAF30A" w:rsidP="39CAF30A">
      <w:pPr>
        <w:spacing w:line="240" w:lineRule="auto"/>
      </w:pPr>
    </w:p>
    <w:p w14:paraId="0B29F472" w14:textId="296A99EE" w:rsidR="39CAF30A" w:rsidRDefault="39CAF30A" w:rsidP="39CAF30A"/>
    <w:sectPr w:rsidR="39CAF30A">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117C" w14:textId="77777777" w:rsidR="00C70554" w:rsidRDefault="00C70554">
      <w:pPr>
        <w:spacing w:after="0" w:line="240" w:lineRule="auto"/>
      </w:pPr>
      <w:r>
        <w:separator/>
      </w:r>
    </w:p>
  </w:endnote>
  <w:endnote w:type="continuationSeparator" w:id="0">
    <w:p w14:paraId="5CD9B244" w14:textId="77777777" w:rsidR="00C70554" w:rsidRDefault="00C7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24C5E4B" w14:paraId="50B5E512" w14:textId="77777777" w:rsidTr="724C5E4B">
      <w:trPr>
        <w:trHeight w:val="300"/>
      </w:trPr>
      <w:tc>
        <w:tcPr>
          <w:tcW w:w="3405" w:type="dxa"/>
        </w:tcPr>
        <w:p w14:paraId="29B1BA25" w14:textId="786EE002" w:rsidR="724C5E4B" w:rsidRDefault="724C5E4B" w:rsidP="724C5E4B">
          <w:pPr>
            <w:pStyle w:val="Header"/>
            <w:ind w:left="-115"/>
          </w:pPr>
        </w:p>
      </w:tc>
      <w:tc>
        <w:tcPr>
          <w:tcW w:w="3405" w:type="dxa"/>
        </w:tcPr>
        <w:p w14:paraId="4E143755" w14:textId="531B4902" w:rsidR="724C5E4B" w:rsidRDefault="724C5E4B" w:rsidP="724C5E4B">
          <w:pPr>
            <w:pStyle w:val="Header"/>
            <w:jc w:val="center"/>
          </w:pPr>
        </w:p>
      </w:tc>
      <w:tc>
        <w:tcPr>
          <w:tcW w:w="3405" w:type="dxa"/>
        </w:tcPr>
        <w:p w14:paraId="39B4AF47" w14:textId="58AC67AB" w:rsidR="724C5E4B" w:rsidRDefault="724C5E4B" w:rsidP="724C5E4B">
          <w:pPr>
            <w:pStyle w:val="Header"/>
            <w:ind w:right="-115"/>
            <w:jc w:val="right"/>
          </w:pPr>
          <w:r w:rsidRPr="724C5E4B">
            <w:rPr>
              <w:sz w:val="16"/>
              <w:szCs w:val="16"/>
            </w:rPr>
            <w:fldChar w:fldCharType="begin"/>
          </w:r>
          <w:r>
            <w:instrText>PAGE</w:instrText>
          </w:r>
          <w:r w:rsidRPr="724C5E4B">
            <w:fldChar w:fldCharType="separate"/>
          </w:r>
          <w:r w:rsidR="007F57D5">
            <w:rPr>
              <w:noProof/>
            </w:rPr>
            <w:t>1</w:t>
          </w:r>
          <w:r w:rsidRPr="724C5E4B">
            <w:rPr>
              <w:sz w:val="16"/>
              <w:szCs w:val="16"/>
            </w:rPr>
            <w:fldChar w:fldCharType="end"/>
          </w:r>
        </w:p>
      </w:tc>
    </w:tr>
  </w:tbl>
  <w:p w14:paraId="08176301" w14:textId="2B4BF7C9" w:rsidR="724C5E4B" w:rsidRDefault="724C5E4B" w:rsidP="724C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B3BF" w14:textId="77777777" w:rsidR="00C70554" w:rsidRDefault="00C70554">
      <w:pPr>
        <w:spacing w:after="0" w:line="240" w:lineRule="auto"/>
      </w:pPr>
      <w:r>
        <w:separator/>
      </w:r>
    </w:p>
  </w:footnote>
  <w:footnote w:type="continuationSeparator" w:id="0">
    <w:p w14:paraId="17C87CF1" w14:textId="77777777" w:rsidR="00C70554" w:rsidRDefault="00C70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24C5E4B" w14:paraId="625EE029" w14:textId="77777777" w:rsidTr="724C5E4B">
      <w:trPr>
        <w:trHeight w:val="300"/>
      </w:trPr>
      <w:tc>
        <w:tcPr>
          <w:tcW w:w="3405" w:type="dxa"/>
        </w:tcPr>
        <w:p w14:paraId="27A0DD10" w14:textId="624A594F" w:rsidR="724C5E4B" w:rsidRDefault="724C5E4B" w:rsidP="724C5E4B">
          <w:pPr>
            <w:pStyle w:val="Header"/>
            <w:ind w:left="-115"/>
          </w:pPr>
        </w:p>
      </w:tc>
      <w:tc>
        <w:tcPr>
          <w:tcW w:w="3405" w:type="dxa"/>
        </w:tcPr>
        <w:p w14:paraId="2224CB2A" w14:textId="07E215E2" w:rsidR="724C5E4B" w:rsidRDefault="724C5E4B" w:rsidP="724C5E4B">
          <w:pPr>
            <w:pStyle w:val="Header"/>
            <w:jc w:val="center"/>
          </w:pPr>
        </w:p>
      </w:tc>
      <w:tc>
        <w:tcPr>
          <w:tcW w:w="3405" w:type="dxa"/>
        </w:tcPr>
        <w:p w14:paraId="573C0789" w14:textId="4CF7B51F" w:rsidR="724C5E4B" w:rsidRDefault="724C5E4B" w:rsidP="724C5E4B">
          <w:pPr>
            <w:pStyle w:val="Header"/>
            <w:ind w:right="-115"/>
            <w:jc w:val="right"/>
          </w:pPr>
        </w:p>
      </w:tc>
    </w:tr>
  </w:tbl>
  <w:p w14:paraId="3295A8BB" w14:textId="321F3048" w:rsidR="724C5E4B" w:rsidRDefault="724C5E4B" w:rsidP="724C5E4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838"/>
    <w:multiLevelType w:val="multilevel"/>
    <w:tmpl w:val="ABA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17032"/>
    <w:multiLevelType w:val="multilevel"/>
    <w:tmpl w:val="11B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C7269"/>
    <w:multiLevelType w:val="multilevel"/>
    <w:tmpl w:val="D6A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13260">
    <w:abstractNumId w:val="2"/>
  </w:num>
  <w:num w:numId="2" w16cid:durableId="1937244578">
    <w:abstractNumId w:val="1"/>
  </w:num>
  <w:num w:numId="3" w16cid:durableId="148990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13"/>
    <w:rsid w:val="002D6EBD"/>
    <w:rsid w:val="003424D1"/>
    <w:rsid w:val="003A5E0A"/>
    <w:rsid w:val="004C786B"/>
    <w:rsid w:val="0058C9CF"/>
    <w:rsid w:val="005D25E6"/>
    <w:rsid w:val="00644AF8"/>
    <w:rsid w:val="00723065"/>
    <w:rsid w:val="007379B4"/>
    <w:rsid w:val="00761D34"/>
    <w:rsid w:val="00770209"/>
    <w:rsid w:val="007B674F"/>
    <w:rsid w:val="007F57D5"/>
    <w:rsid w:val="00844438"/>
    <w:rsid w:val="008612CF"/>
    <w:rsid w:val="008F0FA8"/>
    <w:rsid w:val="009E1D8A"/>
    <w:rsid w:val="00A8339C"/>
    <w:rsid w:val="00B31EF6"/>
    <w:rsid w:val="00B43F13"/>
    <w:rsid w:val="00B87E96"/>
    <w:rsid w:val="00C70554"/>
    <w:rsid w:val="00C91AE3"/>
    <w:rsid w:val="00D81A4C"/>
    <w:rsid w:val="00E308EC"/>
    <w:rsid w:val="00F132BD"/>
    <w:rsid w:val="00F6446A"/>
    <w:rsid w:val="026EC338"/>
    <w:rsid w:val="03B6B18A"/>
    <w:rsid w:val="04532392"/>
    <w:rsid w:val="07F37A1B"/>
    <w:rsid w:val="0AE6ED39"/>
    <w:rsid w:val="0DB94F1F"/>
    <w:rsid w:val="0E40E7CC"/>
    <w:rsid w:val="126B38AA"/>
    <w:rsid w:val="1297B447"/>
    <w:rsid w:val="133C5E60"/>
    <w:rsid w:val="1410AFCD"/>
    <w:rsid w:val="1640B478"/>
    <w:rsid w:val="167033F8"/>
    <w:rsid w:val="167D231A"/>
    <w:rsid w:val="189736EC"/>
    <w:rsid w:val="1B6D4813"/>
    <w:rsid w:val="1BA85207"/>
    <w:rsid w:val="1BF5E4A7"/>
    <w:rsid w:val="1CE53D61"/>
    <w:rsid w:val="1D0D018F"/>
    <w:rsid w:val="1EDFAD3C"/>
    <w:rsid w:val="1F4D3F52"/>
    <w:rsid w:val="20F58529"/>
    <w:rsid w:val="21ADE8B9"/>
    <w:rsid w:val="22162685"/>
    <w:rsid w:val="22CADE9B"/>
    <w:rsid w:val="231EB22F"/>
    <w:rsid w:val="2366EDBC"/>
    <w:rsid w:val="25AA3742"/>
    <w:rsid w:val="27E7B809"/>
    <w:rsid w:val="281CDCAB"/>
    <w:rsid w:val="290C2B86"/>
    <w:rsid w:val="2D6CD2CE"/>
    <w:rsid w:val="2EE27EA8"/>
    <w:rsid w:val="31D038E1"/>
    <w:rsid w:val="334ACCAF"/>
    <w:rsid w:val="33C86D01"/>
    <w:rsid w:val="3431609D"/>
    <w:rsid w:val="34984E1B"/>
    <w:rsid w:val="35206AC9"/>
    <w:rsid w:val="3748BF2A"/>
    <w:rsid w:val="3783B437"/>
    <w:rsid w:val="378A7F01"/>
    <w:rsid w:val="38092449"/>
    <w:rsid w:val="388A1FB7"/>
    <w:rsid w:val="390F293F"/>
    <w:rsid w:val="391B35E8"/>
    <w:rsid w:val="39CAF30A"/>
    <w:rsid w:val="3A14958F"/>
    <w:rsid w:val="3AF4F885"/>
    <w:rsid w:val="3B0D4D15"/>
    <w:rsid w:val="3BCF26F3"/>
    <w:rsid w:val="3CB91DAA"/>
    <w:rsid w:val="3D62C4CD"/>
    <w:rsid w:val="3E505851"/>
    <w:rsid w:val="3EE8833E"/>
    <w:rsid w:val="3FC7361D"/>
    <w:rsid w:val="41A3806E"/>
    <w:rsid w:val="41D748F8"/>
    <w:rsid w:val="4457D0AC"/>
    <w:rsid w:val="45606294"/>
    <w:rsid w:val="46006407"/>
    <w:rsid w:val="463C45C0"/>
    <w:rsid w:val="4654BCE4"/>
    <w:rsid w:val="467A5D58"/>
    <w:rsid w:val="47C85DA9"/>
    <w:rsid w:val="47FDC71E"/>
    <w:rsid w:val="48ACF067"/>
    <w:rsid w:val="48FD8AA2"/>
    <w:rsid w:val="4BC145D3"/>
    <w:rsid w:val="4C08182D"/>
    <w:rsid w:val="4CAD4B60"/>
    <w:rsid w:val="4CB699AB"/>
    <w:rsid w:val="4E3E407A"/>
    <w:rsid w:val="509D0197"/>
    <w:rsid w:val="50A5F38F"/>
    <w:rsid w:val="50BB47B8"/>
    <w:rsid w:val="50BC5201"/>
    <w:rsid w:val="5326F7D2"/>
    <w:rsid w:val="53CC47F8"/>
    <w:rsid w:val="54A81A15"/>
    <w:rsid w:val="57635170"/>
    <w:rsid w:val="577278F6"/>
    <w:rsid w:val="585A1E84"/>
    <w:rsid w:val="59AD23C8"/>
    <w:rsid w:val="59B1F445"/>
    <w:rsid w:val="5AFC60BB"/>
    <w:rsid w:val="5AFDFBEC"/>
    <w:rsid w:val="5B71A4E1"/>
    <w:rsid w:val="5BD3E708"/>
    <w:rsid w:val="5BDBAA88"/>
    <w:rsid w:val="5E4C3BF4"/>
    <w:rsid w:val="5E8B1676"/>
    <w:rsid w:val="5E9ABBAA"/>
    <w:rsid w:val="5EEC19C0"/>
    <w:rsid w:val="5F30D6CE"/>
    <w:rsid w:val="60E82E99"/>
    <w:rsid w:val="60F44C9E"/>
    <w:rsid w:val="62742E52"/>
    <w:rsid w:val="6278EAB0"/>
    <w:rsid w:val="627E33DF"/>
    <w:rsid w:val="627EF3E4"/>
    <w:rsid w:val="62BA5D8B"/>
    <w:rsid w:val="63AFBD09"/>
    <w:rsid w:val="6447FB12"/>
    <w:rsid w:val="6475D97A"/>
    <w:rsid w:val="648AE66E"/>
    <w:rsid w:val="64FA4B87"/>
    <w:rsid w:val="667DD5CF"/>
    <w:rsid w:val="6720F94C"/>
    <w:rsid w:val="6BA0B3CE"/>
    <w:rsid w:val="6C530E5D"/>
    <w:rsid w:val="6D0470BB"/>
    <w:rsid w:val="6D066512"/>
    <w:rsid w:val="6DB0A45F"/>
    <w:rsid w:val="6E195D38"/>
    <w:rsid w:val="6E20B770"/>
    <w:rsid w:val="6E313E32"/>
    <w:rsid w:val="6E5D5590"/>
    <w:rsid w:val="6EFCC183"/>
    <w:rsid w:val="7201F73A"/>
    <w:rsid w:val="724C5E4B"/>
    <w:rsid w:val="73B8301C"/>
    <w:rsid w:val="74AF52AD"/>
    <w:rsid w:val="75D9A360"/>
    <w:rsid w:val="75DE6A17"/>
    <w:rsid w:val="76AE46F3"/>
    <w:rsid w:val="779D6C46"/>
    <w:rsid w:val="7972B361"/>
    <w:rsid w:val="7A615C1C"/>
    <w:rsid w:val="7B5ED4F2"/>
    <w:rsid w:val="7C6BD5E4"/>
    <w:rsid w:val="7D7DA2C0"/>
    <w:rsid w:val="7F793972"/>
    <w:rsid w:val="7FD41B5B"/>
    <w:rsid w:val="7FD5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0E8C"/>
  <w15:chartTrackingRefBased/>
  <w15:docId w15:val="{0E1EC242-D0DE-E04A-B286-4289E403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0F44C9E"/>
    <w:rPr>
      <w:rFonts w:ascii="Calibri" w:eastAsia="Calibri" w:hAnsi="Calibri" w:cs="Calibri"/>
    </w:rPr>
  </w:style>
  <w:style w:type="paragraph" w:styleId="Heading1">
    <w:name w:val="heading 1"/>
    <w:basedOn w:val="Normal"/>
    <w:next w:val="Normal"/>
    <w:link w:val="Heading1Char"/>
    <w:uiPriority w:val="9"/>
    <w:qFormat/>
    <w:rsid w:val="390F293F"/>
    <w:pPr>
      <w:spacing w:after="0" w:line="240" w:lineRule="auto"/>
      <w:outlineLvl w:val="0"/>
    </w:pPr>
    <w:rPr>
      <w:rFonts w:asciiTheme="minorHAnsi" w:eastAsiaTheme="minorEastAsia" w:hAnsiTheme="minorHAnsi" w:cstheme="minorBidi"/>
      <w:color w:val="2F5597"/>
      <w:sz w:val="32"/>
      <w:szCs w:val="32"/>
    </w:rPr>
  </w:style>
  <w:style w:type="paragraph" w:styleId="Heading2">
    <w:name w:val="heading 2"/>
    <w:basedOn w:val="Normal"/>
    <w:next w:val="Normal"/>
    <w:link w:val="Heading2Char"/>
    <w:uiPriority w:val="9"/>
    <w:unhideWhenUsed/>
    <w:qFormat/>
    <w:rsid w:val="390F293F"/>
    <w:pPr>
      <w:spacing w:after="0" w:line="240" w:lineRule="auto"/>
      <w:outlineLvl w:val="1"/>
    </w:pPr>
    <w:rPr>
      <w:rFonts w:asciiTheme="minorHAnsi" w:eastAsiaTheme="minorEastAsia" w:hAnsiTheme="minorHAnsi" w:cstheme="minorBidi"/>
      <w:color w:val="2F5597"/>
      <w:sz w:val="26"/>
      <w:szCs w:val="26"/>
    </w:rPr>
  </w:style>
  <w:style w:type="paragraph" w:styleId="Heading3">
    <w:name w:val="heading 3"/>
    <w:basedOn w:val="Normal"/>
    <w:next w:val="Normal"/>
    <w:link w:val="Heading3Char"/>
    <w:uiPriority w:val="9"/>
    <w:unhideWhenUsed/>
    <w:qFormat/>
    <w:rsid w:val="60F44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0F44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60F44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60F44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60F44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0F44C9E"/>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0F44C9E"/>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90F293F"/>
    <w:rPr>
      <w:rFonts w:asciiTheme="minorHAnsi" w:eastAsiaTheme="minorEastAsia" w:hAnsiTheme="minorHAnsi" w:cstheme="minorBidi"/>
      <w:color w:val="2F5597"/>
      <w:sz w:val="32"/>
      <w:szCs w:val="32"/>
    </w:rPr>
  </w:style>
  <w:style w:type="character" w:customStyle="1" w:styleId="Heading2Char">
    <w:name w:val="Heading 2 Char"/>
    <w:basedOn w:val="DefaultParagraphFont"/>
    <w:link w:val="Heading2"/>
    <w:uiPriority w:val="9"/>
    <w:rsid w:val="390F293F"/>
    <w:rPr>
      <w:rFonts w:asciiTheme="minorHAnsi" w:eastAsiaTheme="minorEastAsia" w:hAnsiTheme="minorHAnsi" w:cstheme="minorBidi"/>
      <w:color w:val="2F5597"/>
      <w:sz w:val="26"/>
      <w:szCs w:val="26"/>
    </w:rPr>
  </w:style>
  <w:style w:type="character" w:customStyle="1" w:styleId="Heading3Char">
    <w:name w:val="Heading 3 Char"/>
    <w:basedOn w:val="DefaultParagraphFont"/>
    <w:link w:val="Heading3"/>
    <w:uiPriority w:val="9"/>
    <w:rsid w:val="00B4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F13"/>
    <w:rPr>
      <w:rFonts w:eastAsiaTheme="majorEastAsia" w:cstheme="majorBidi"/>
      <w:color w:val="272727" w:themeColor="text1" w:themeTint="D8"/>
    </w:rPr>
  </w:style>
  <w:style w:type="paragraph" w:styleId="Title">
    <w:name w:val="Title"/>
    <w:basedOn w:val="Normal"/>
    <w:next w:val="Normal"/>
    <w:link w:val="TitleChar"/>
    <w:uiPriority w:val="10"/>
    <w:qFormat/>
    <w:rsid w:val="60F44C9E"/>
    <w:pPr>
      <w:spacing w:after="80" w:line="24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60F44C9E"/>
    <w:rPr>
      <w:rFonts w:asciiTheme="minorHAnsi" w:eastAsiaTheme="minorEastAsia" w:hAnsiTheme="minorHAnsi" w:cstheme="minorBidi"/>
      <w:color w:val="2F5597"/>
      <w:sz w:val="56"/>
      <w:szCs w:val="56"/>
    </w:rPr>
  </w:style>
  <w:style w:type="paragraph" w:styleId="Subtitle">
    <w:name w:val="Subtitle"/>
    <w:basedOn w:val="Normal"/>
    <w:next w:val="Normal"/>
    <w:link w:val="SubtitleChar"/>
    <w:uiPriority w:val="11"/>
    <w:qFormat/>
    <w:rsid w:val="60F44C9E"/>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4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0F44C9E"/>
    <w:pPr>
      <w:spacing w:before="160"/>
      <w:jc w:val="center"/>
    </w:pPr>
    <w:rPr>
      <w:i/>
      <w:iCs/>
      <w:color w:val="404040" w:themeColor="text1" w:themeTint="BF"/>
    </w:rPr>
  </w:style>
  <w:style w:type="character" w:customStyle="1" w:styleId="QuoteChar">
    <w:name w:val="Quote Char"/>
    <w:basedOn w:val="DefaultParagraphFont"/>
    <w:link w:val="Quote"/>
    <w:uiPriority w:val="29"/>
    <w:rsid w:val="00B43F13"/>
    <w:rPr>
      <w:i/>
      <w:iCs/>
      <w:color w:val="404040" w:themeColor="text1" w:themeTint="BF"/>
    </w:rPr>
  </w:style>
  <w:style w:type="paragraph" w:styleId="ListParagraph">
    <w:name w:val="List Paragraph"/>
    <w:basedOn w:val="Normal"/>
    <w:uiPriority w:val="34"/>
    <w:qFormat/>
    <w:rsid w:val="60F44C9E"/>
    <w:pPr>
      <w:ind w:left="720"/>
      <w:contextualSpacing/>
    </w:pPr>
  </w:style>
  <w:style w:type="character" w:styleId="IntenseEmphasis">
    <w:name w:val="Intense Emphasis"/>
    <w:basedOn w:val="DefaultParagraphFont"/>
    <w:uiPriority w:val="21"/>
    <w:qFormat/>
    <w:rsid w:val="00B43F13"/>
    <w:rPr>
      <w:i/>
      <w:iCs/>
      <w:color w:val="0F4761" w:themeColor="accent1" w:themeShade="BF"/>
    </w:rPr>
  </w:style>
  <w:style w:type="paragraph" w:styleId="IntenseQuote">
    <w:name w:val="Intense Quote"/>
    <w:basedOn w:val="Normal"/>
    <w:next w:val="Normal"/>
    <w:link w:val="IntenseQuoteChar"/>
    <w:uiPriority w:val="30"/>
    <w:qFormat/>
    <w:rsid w:val="60F4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F13"/>
    <w:rPr>
      <w:i/>
      <w:iCs/>
      <w:color w:val="0F4761" w:themeColor="accent1" w:themeShade="BF"/>
    </w:rPr>
  </w:style>
  <w:style w:type="character" w:styleId="IntenseReference">
    <w:name w:val="Intense Reference"/>
    <w:basedOn w:val="DefaultParagraphFont"/>
    <w:uiPriority w:val="32"/>
    <w:qFormat/>
    <w:rsid w:val="00B43F13"/>
    <w:rPr>
      <w:b/>
      <w:bCs/>
      <w:smallCaps/>
      <w:color w:val="0F4761" w:themeColor="accent1" w:themeShade="BF"/>
      <w:spacing w:val="5"/>
    </w:rPr>
  </w:style>
  <w:style w:type="character" w:styleId="Strong">
    <w:name w:val="Strong"/>
    <w:basedOn w:val="DefaultParagraphFont"/>
    <w:uiPriority w:val="22"/>
    <w:qFormat/>
    <w:rsid w:val="00B43F13"/>
    <w:rPr>
      <w:b/>
      <w:bCs/>
    </w:rPr>
  </w:style>
  <w:style w:type="paragraph" w:styleId="NormalWeb">
    <w:name w:val="Normal (Web)"/>
    <w:basedOn w:val="Normal"/>
    <w:uiPriority w:val="99"/>
    <w:semiHidden/>
    <w:unhideWhenUsed/>
    <w:rsid w:val="60F44C9E"/>
    <w:pPr>
      <w:spacing w:beforeAutospacing="1"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43F13"/>
    <w:rPr>
      <w:i/>
      <w:iCs/>
    </w:rPr>
  </w:style>
  <w:style w:type="paragraph" w:styleId="Header">
    <w:name w:val="header"/>
    <w:basedOn w:val="Normal"/>
    <w:uiPriority w:val="99"/>
    <w:unhideWhenUsed/>
    <w:rsid w:val="724C5E4B"/>
    <w:pPr>
      <w:tabs>
        <w:tab w:val="center" w:pos="4680"/>
        <w:tab w:val="right" w:pos="9360"/>
      </w:tabs>
      <w:spacing w:after="0" w:line="240" w:lineRule="auto"/>
    </w:pPr>
  </w:style>
  <w:style w:type="paragraph" w:styleId="Footer">
    <w:name w:val="footer"/>
    <w:basedOn w:val="Normal"/>
    <w:uiPriority w:val="99"/>
    <w:unhideWhenUsed/>
    <w:rsid w:val="724C5E4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7F57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839347">
      <w:bodyDiv w:val="1"/>
      <w:marLeft w:val="0"/>
      <w:marRight w:val="0"/>
      <w:marTop w:val="0"/>
      <w:marBottom w:val="0"/>
      <w:divBdr>
        <w:top w:val="none" w:sz="0" w:space="0" w:color="auto"/>
        <w:left w:val="none" w:sz="0" w:space="0" w:color="auto"/>
        <w:bottom w:val="none" w:sz="0" w:space="0" w:color="auto"/>
        <w:right w:val="none" w:sz="0" w:space="0" w:color="auto"/>
      </w:divBdr>
    </w:div>
    <w:div w:id="1628118643">
      <w:bodyDiv w:val="1"/>
      <w:marLeft w:val="0"/>
      <w:marRight w:val="0"/>
      <w:marTop w:val="0"/>
      <w:marBottom w:val="0"/>
      <w:divBdr>
        <w:top w:val="none" w:sz="0" w:space="0" w:color="auto"/>
        <w:left w:val="none" w:sz="0" w:space="0" w:color="auto"/>
        <w:bottom w:val="none" w:sz="0" w:space="0" w:color="auto"/>
        <w:right w:val="none" w:sz="0" w:space="0" w:color="auto"/>
      </w:divBdr>
      <w:divsChild>
        <w:div w:id="62221315">
          <w:marLeft w:val="0"/>
          <w:marRight w:val="0"/>
          <w:marTop w:val="0"/>
          <w:marBottom w:val="0"/>
          <w:divBdr>
            <w:top w:val="none" w:sz="0" w:space="0" w:color="auto"/>
            <w:left w:val="none" w:sz="0" w:space="0" w:color="auto"/>
            <w:bottom w:val="none" w:sz="0" w:space="0" w:color="auto"/>
            <w:right w:val="none" w:sz="0" w:space="0" w:color="auto"/>
          </w:divBdr>
          <w:divsChild>
            <w:div w:id="1346634425">
              <w:marLeft w:val="0"/>
              <w:marRight w:val="0"/>
              <w:marTop w:val="0"/>
              <w:marBottom w:val="0"/>
              <w:divBdr>
                <w:top w:val="none" w:sz="0" w:space="0" w:color="auto"/>
                <w:left w:val="none" w:sz="0" w:space="0" w:color="auto"/>
                <w:bottom w:val="none" w:sz="0" w:space="0" w:color="auto"/>
                <w:right w:val="none" w:sz="0" w:space="0" w:color="auto"/>
              </w:divBdr>
              <w:divsChild>
                <w:div w:id="1384062323">
                  <w:marLeft w:val="0"/>
                  <w:marRight w:val="0"/>
                  <w:marTop w:val="0"/>
                  <w:marBottom w:val="0"/>
                  <w:divBdr>
                    <w:top w:val="none" w:sz="0" w:space="0" w:color="auto"/>
                    <w:left w:val="none" w:sz="0" w:space="0" w:color="auto"/>
                    <w:bottom w:val="none" w:sz="0" w:space="0" w:color="auto"/>
                    <w:right w:val="none" w:sz="0" w:space="0" w:color="auto"/>
                  </w:divBdr>
                  <w:divsChild>
                    <w:div w:id="1699626577">
                      <w:marLeft w:val="0"/>
                      <w:marRight w:val="0"/>
                      <w:marTop w:val="0"/>
                      <w:marBottom w:val="0"/>
                      <w:divBdr>
                        <w:top w:val="none" w:sz="0" w:space="0" w:color="auto"/>
                        <w:left w:val="none" w:sz="0" w:space="0" w:color="auto"/>
                        <w:bottom w:val="none" w:sz="0" w:space="0" w:color="auto"/>
                        <w:right w:val="none" w:sz="0" w:space="0" w:color="auto"/>
                      </w:divBdr>
                      <w:divsChild>
                        <w:div w:id="21185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63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CC766-7F89-4B85-803E-3E7EA8FBCBD9}">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5216CE2B-6E4A-4BE8-A079-FA37B2256EEC}">
  <ds:schemaRefs>
    <ds:schemaRef ds:uri="http://schemas.microsoft.com/sharepoint/v3/contenttype/forms"/>
  </ds:schemaRefs>
</ds:datastoreItem>
</file>

<file path=customXml/itemProps3.xml><?xml version="1.0" encoding="utf-8"?>
<ds:datastoreItem xmlns:ds="http://schemas.openxmlformats.org/officeDocument/2006/customXml" ds:itemID="{4E26F719-3FEA-483F-923F-316B54E6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24</cp:revision>
  <dcterms:created xsi:type="dcterms:W3CDTF">2025-07-02T13:58:00Z</dcterms:created>
  <dcterms:modified xsi:type="dcterms:W3CDTF">2025-09-12T16:24:00Z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