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2915" w14:textId="4C4E5333" w:rsidR="00CF77F7" w:rsidRPr="00CF77F7" w:rsidRDefault="00CF77F7" w:rsidP="63DC2C97">
      <w:pPr>
        <w:pStyle w:val="Heading3"/>
        <w:spacing w:line="240" w:lineRule="auto"/>
        <w:rPr>
          <w:b/>
          <w:bCs/>
        </w:rPr>
      </w:pPr>
      <w:r w:rsidRPr="63DC2C97">
        <w:t>Market Research Report Assignment</w:t>
      </w:r>
    </w:p>
    <w:p w14:paraId="2AA09158" w14:textId="6E471A19" w:rsidR="3E6C5B35" w:rsidRDefault="3E6C5B35" w:rsidP="63DC2C97">
      <w:pPr>
        <w:spacing w:line="240" w:lineRule="auto"/>
      </w:pPr>
    </w:p>
    <w:p w14:paraId="431DC380" w14:textId="77777777" w:rsidR="00CF77F7" w:rsidRPr="00CF77F7" w:rsidRDefault="00CF77F7" w:rsidP="63DC2C97">
      <w:pPr>
        <w:pStyle w:val="Heading1"/>
        <w:keepNext w:val="0"/>
        <w:keepLines w:val="0"/>
        <w:contextualSpacing/>
      </w:pPr>
      <w:r w:rsidRPr="63DC2C97">
        <w:t>Information for Instructors</w:t>
      </w:r>
    </w:p>
    <w:p w14:paraId="23860077" w14:textId="4C4E5333" w:rsidR="42CA74B8" w:rsidRDefault="42CA74B8" w:rsidP="63DC2C97">
      <w:pPr>
        <w:pStyle w:val="Heading1"/>
        <w:keepNext w:val="0"/>
        <w:keepLines w:val="0"/>
        <w:contextualSpacing/>
        <w:rPr>
          <w:b/>
          <w:bCs/>
          <w:sz w:val="56"/>
          <w:szCs w:val="56"/>
        </w:rPr>
      </w:pPr>
      <w:r w:rsidRPr="63DC2C97">
        <w:t>Market Research Report Assignment</w:t>
      </w:r>
    </w:p>
    <w:p w14:paraId="67E1DA2B" w14:textId="77777777" w:rsidR="00CF77F7" w:rsidRPr="00CF77F7" w:rsidRDefault="00CF77F7" w:rsidP="00C81F50">
      <w:pPr>
        <w:pStyle w:val="Heading2"/>
        <w:keepNext w:val="0"/>
        <w:keepLines w:val="0"/>
        <w:contextualSpacing/>
      </w:pPr>
      <w:r w:rsidRPr="63DC2C97">
        <w:t>Overview</w:t>
      </w:r>
    </w:p>
    <w:p w14:paraId="3B7C3508" w14:textId="3BC948DE" w:rsidR="00CF77F7" w:rsidRPr="00CF77F7" w:rsidRDefault="00CF77F7" w:rsidP="00C81F50">
      <w:pPr>
        <w:spacing w:beforeAutospacing="0" w:line="240" w:lineRule="auto"/>
        <w:contextualSpacing/>
      </w:pPr>
      <w:r w:rsidRPr="63DC2C97">
        <w:t xml:space="preserve">This assignment addresses the Pathways outcome: Gather, interpret, and assess information from a variety of sources and points of view. </w:t>
      </w:r>
    </w:p>
    <w:p w14:paraId="43FE98BA" w14:textId="49FE951D" w:rsidR="00CF77F7" w:rsidRPr="00CF77F7" w:rsidRDefault="00CF77F7" w:rsidP="00C81F50">
      <w:pPr>
        <w:spacing w:beforeAutospacing="0" w:line="240" w:lineRule="auto"/>
        <w:contextualSpacing/>
      </w:pPr>
      <w:r w:rsidRPr="27032E6A">
        <w:t xml:space="preserve">In this assignment, students will write a market research report analyzing </w:t>
      </w:r>
      <w:r w:rsidR="223E89BA" w:rsidRPr="27032E6A">
        <w:t>industry trends</w:t>
      </w:r>
      <w:r w:rsidR="26E55F0E" w:rsidRPr="27032E6A">
        <w:t>,</w:t>
      </w:r>
      <w:r w:rsidR="223E89BA" w:rsidRPr="27032E6A">
        <w:t xml:space="preserve"> </w:t>
      </w:r>
      <w:r w:rsidRPr="27032E6A">
        <w:t xml:space="preserve">market </w:t>
      </w:r>
      <w:r w:rsidR="6C7AE826" w:rsidRPr="27032E6A">
        <w:t>patterns</w:t>
      </w:r>
      <w:r w:rsidRPr="27032E6A">
        <w:t xml:space="preserve">, </w:t>
      </w:r>
      <w:r w:rsidR="52693DA9" w:rsidRPr="27032E6A">
        <w:t>and</w:t>
      </w:r>
      <w:r w:rsidRPr="27032E6A">
        <w:t xml:space="preserve"> potential business </w:t>
      </w:r>
      <w:r w:rsidR="0945382F" w:rsidRPr="27032E6A">
        <w:t>opportunities</w:t>
      </w:r>
      <w:r w:rsidRPr="27032E6A">
        <w:t xml:space="preserve">. They will </w:t>
      </w:r>
      <w:r w:rsidR="6E8DE280" w:rsidRPr="27032E6A">
        <w:t xml:space="preserve">identify </w:t>
      </w:r>
      <w:r w:rsidRPr="27032E6A">
        <w:t>credible sources, assess different perspectives, and make recommendations based on their findings. This assignment builds skills in research analysis, business communication, and strategic decision-making needed for careers in business and management.</w:t>
      </w:r>
    </w:p>
    <w:p w14:paraId="20161FCE" w14:textId="412E6FA9" w:rsidR="07141CB6" w:rsidRDefault="07141CB6" w:rsidP="00C81F50">
      <w:pPr>
        <w:spacing w:beforeAutospacing="0" w:line="240" w:lineRule="auto"/>
        <w:contextualSpacing/>
      </w:pPr>
    </w:p>
    <w:p w14:paraId="1935F250" w14:textId="77777777" w:rsidR="00CF77F7" w:rsidRPr="00CF77F7" w:rsidRDefault="00CF77F7" w:rsidP="00C81F50">
      <w:pPr>
        <w:pStyle w:val="Heading1"/>
        <w:keepNext w:val="0"/>
        <w:keepLines w:val="0"/>
        <w:contextualSpacing/>
        <w:rPr>
          <w:b/>
          <w:bCs/>
          <w:sz w:val="27"/>
          <w:szCs w:val="27"/>
        </w:rPr>
      </w:pPr>
      <w:r w:rsidRPr="63DC2C97">
        <w:t>Information for Students</w:t>
      </w:r>
    </w:p>
    <w:p w14:paraId="29CF0EEA" w14:textId="347D0E28" w:rsidR="2AF64F70" w:rsidRDefault="2AF64F70" w:rsidP="00C81F50">
      <w:pPr>
        <w:pStyle w:val="Heading1"/>
        <w:keepNext w:val="0"/>
        <w:keepLines w:val="0"/>
        <w:contextualSpacing/>
      </w:pPr>
      <w:r w:rsidRPr="63DC2C97">
        <w:t>Market Research Report Assignment</w:t>
      </w:r>
    </w:p>
    <w:p w14:paraId="459D9944" w14:textId="77777777" w:rsidR="00CF77F7" w:rsidRPr="00CF77F7" w:rsidRDefault="00CF77F7" w:rsidP="00C81F50">
      <w:pPr>
        <w:pStyle w:val="Heading2"/>
        <w:keepNext w:val="0"/>
        <w:keepLines w:val="0"/>
        <w:contextualSpacing/>
        <w:rPr>
          <w:b/>
          <w:bCs/>
        </w:rPr>
      </w:pPr>
      <w:r w:rsidRPr="63DC2C97">
        <w:t>Overview</w:t>
      </w:r>
    </w:p>
    <w:p w14:paraId="4A0D9401" w14:textId="1EDC1E6F" w:rsidR="00CF77F7" w:rsidRPr="00CF77F7" w:rsidRDefault="00CF77F7" w:rsidP="00C81F50">
      <w:pPr>
        <w:spacing w:beforeAutospacing="0" w:line="240" w:lineRule="auto"/>
        <w:contextualSpacing/>
        <w:rPr>
          <w:kern w:val="0"/>
          <w14:ligatures w14:val="none"/>
        </w:rPr>
      </w:pPr>
      <w:r w:rsidRPr="5E735C23">
        <w:rPr>
          <w:kern w:val="0"/>
          <w14:ligatures w14:val="none"/>
        </w:rPr>
        <w:t xml:space="preserve">For this assignment, you will write a market research report on </w:t>
      </w:r>
      <w:r w:rsidR="1331975C" w:rsidRPr="27032E6A">
        <w:t xml:space="preserve">industry trends, market patterns, </w:t>
      </w:r>
      <w:r w:rsidR="0C26A411" w:rsidRPr="27032E6A">
        <w:t>and</w:t>
      </w:r>
      <w:r w:rsidR="1331975C" w:rsidRPr="27032E6A">
        <w:t xml:space="preserve"> potential business opportunities</w:t>
      </w:r>
      <w:r w:rsidRPr="5E735C23">
        <w:rPr>
          <w:kern w:val="0"/>
          <w14:ligatures w14:val="none"/>
        </w:rPr>
        <w:t xml:space="preserve">. You will </w:t>
      </w:r>
      <w:r w:rsidR="5B7F7325" w:rsidRPr="5E735C23">
        <w:rPr>
          <w:kern w:val="0"/>
          <w14:ligatures w14:val="none"/>
        </w:rPr>
        <w:t>identify</w:t>
      </w:r>
      <w:r w:rsidRPr="5E735C23">
        <w:rPr>
          <w:kern w:val="0"/>
          <w14:ligatures w14:val="none"/>
        </w:rPr>
        <w:t xml:space="preserve"> information from at least three credible sources (such as industry reports, news articles, company websites, or scholarly business journals) </w:t>
      </w:r>
      <w:r w:rsidR="3271E97A" w:rsidRPr="5E735C23">
        <w:rPr>
          <w:kern w:val="0"/>
          <w14:ligatures w14:val="none"/>
        </w:rPr>
        <w:t xml:space="preserve">that you will use to </w:t>
      </w:r>
      <w:r w:rsidRPr="5E735C23">
        <w:rPr>
          <w:kern w:val="0"/>
          <w14:ligatures w14:val="none"/>
        </w:rPr>
        <w:t>interpret trends and assess opportunities or challenges. Your report will conclude with recommendations based on your analysis.</w:t>
      </w:r>
    </w:p>
    <w:p w14:paraId="094C7A2B" w14:textId="2A958639" w:rsidR="30729721" w:rsidRDefault="30729721" w:rsidP="63DC2C97">
      <w:pPr>
        <w:spacing w:afterAutospacing="1" w:line="240" w:lineRule="auto"/>
        <w:contextualSpacing/>
      </w:pPr>
    </w:p>
    <w:p w14:paraId="05F3BD17" w14:textId="77777777" w:rsidR="00CF77F7" w:rsidRPr="00CF77F7" w:rsidRDefault="00CF77F7" w:rsidP="63DC2C97">
      <w:pPr>
        <w:spacing w:before="100" w:after="100" w:afterAutospacing="1" w:line="240" w:lineRule="auto"/>
        <w:contextualSpacing/>
        <w:rPr>
          <w:kern w:val="0"/>
          <w14:ligatures w14:val="none"/>
        </w:rPr>
      </w:pPr>
      <w:r w:rsidRPr="5E735C23">
        <w:rPr>
          <w:kern w:val="0"/>
          <w14:ligatures w14:val="none"/>
        </w:rPr>
        <w:t>As you work on this assignment you will:</w:t>
      </w:r>
    </w:p>
    <w:p w14:paraId="72A9BCD8" w14:textId="77777777" w:rsidR="00CF77F7" w:rsidRPr="00CF77F7" w:rsidRDefault="00CF77F7" w:rsidP="63DC2C97">
      <w:pPr>
        <w:numPr>
          <w:ilvl w:val="0"/>
          <w:numId w:val="1"/>
        </w:numPr>
        <w:spacing w:before="100" w:after="100" w:afterAutospacing="1" w:line="240" w:lineRule="auto"/>
        <w:contextualSpacing/>
        <w:rPr>
          <w:kern w:val="0"/>
          <w14:ligatures w14:val="none"/>
        </w:rPr>
      </w:pPr>
      <w:r w:rsidRPr="5E735C23">
        <w:rPr>
          <w:kern w:val="0"/>
          <w14:ligatures w14:val="none"/>
        </w:rPr>
        <w:t>Select an industry, trend, or business opportunity to research.</w:t>
      </w:r>
    </w:p>
    <w:p w14:paraId="74BEB216" w14:textId="77777777" w:rsidR="00CF77F7" w:rsidRPr="00CF77F7" w:rsidRDefault="00CF77F7" w:rsidP="63DC2C97">
      <w:pPr>
        <w:numPr>
          <w:ilvl w:val="0"/>
          <w:numId w:val="1"/>
        </w:numPr>
        <w:spacing w:before="100" w:after="100" w:afterAutospacing="1" w:line="240" w:lineRule="auto"/>
        <w:contextualSpacing/>
        <w:rPr>
          <w:kern w:val="0"/>
          <w14:ligatures w14:val="none"/>
        </w:rPr>
      </w:pPr>
      <w:r w:rsidRPr="5E735C23">
        <w:rPr>
          <w:kern w:val="0"/>
          <w14:ligatures w14:val="none"/>
        </w:rPr>
        <w:t>Gather information from at least three credible sources.</w:t>
      </w:r>
    </w:p>
    <w:p w14:paraId="52C2ED81" w14:textId="77777777" w:rsidR="00CF77F7" w:rsidRPr="00CF77F7" w:rsidRDefault="00CF77F7" w:rsidP="63DC2C97">
      <w:pPr>
        <w:numPr>
          <w:ilvl w:val="0"/>
          <w:numId w:val="1"/>
        </w:numPr>
        <w:spacing w:before="100" w:after="100" w:afterAutospacing="1" w:line="240" w:lineRule="auto"/>
        <w:contextualSpacing/>
        <w:rPr>
          <w:kern w:val="0"/>
          <w14:ligatures w14:val="none"/>
        </w:rPr>
      </w:pPr>
      <w:r w:rsidRPr="5E735C23">
        <w:rPr>
          <w:kern w:val="0"/>
          <w14:ligatures w14:val="none"/>
        </w:rPr>
        <w:t>Interpret data and information from multiple perspectives.</w:t>
      </w:r>
    </w:p>
    <w:p w14:paraId="1B1E3CEA" w14:textId="77777777" w:rsidR="00CF77F7" w:rsidRPr="00CF77F7" w:rsidRDefault="00CF77F7" w:rsidP="63DC2C97">
      <w:pPr>
        <w:numPr>
          <w:ilvl w:val="0"/>
          <w:numId w:val="1"/>
        </w:numPr>
        <w:spacing w:before="100" w:after="100" w:afterAutospacing="1" w:line="240" w:lineRule="auto"/>
        <w:contextualSpacing/>
        <w:rPr>
          <w:kern w:val="0"/>
          <w14:ligatures w14:val="none"/>
        </w:rPr>
      </w:pPr>
      <w:r w:rsidRPr="5E735C23">
        <w:rPr>
          <w:kern w:val="0"/>
          <w14:ligatures w14:val="none"/>
        </w:rPr>
        <w:t>Assess opportunities, challenges, and implications for businesses.</w:t>
      </w:r>
    </w:p>
    <w:p w14:paraId="7213A8AF" w14:textId="77777777" w:rsidR="00CF77F7" w:rsidRPr="00CF77F7" w:rsidRDefault="00CF77F7" w:rsidP="63DC2C97">
      <w:pPr>
        <w:numPr>
          <w:ilvl w:val="0"/>
          <w:numId w:val="1"/>
        </w:numPr>
        <w:spacing w:before="100" w:after="100" w:afterAutospacing="1" w:line="240" w:lineRule="auto"/>
        <w:contextualSpacing/>
        <w:rPr>
          <w:kern w:val="0"/>
          <w14:ligatures w14:val="none"/>
        </w:rPr>
      </w:pPr>
      <w:r w:rsidRPr="5E735C23">
        <w:rPr>
          <w:kern w:val="0"/>
          <w14:ligatures w14:val="none"/>
        </w:rPr>
        <w:t>Develop recommendations supported by your research findings.</w:t>
      </w:r>
    </w:p>
    <w:p w14:paraId="773B2CF2" w14:textId="44982FA7" w:rsidR="00CF77F7" w:rsidRPr="00CF77F7" w:rsidRDefault="00CF77F7" w:rsidP="63DC2C97">
      <w:pPr>
        <w:spacing w:line="240" w:lineRule="auto"/>
        <w:contextualSpacing/>
      </w:pPr>
    </w:p>
    <w:p w14:paraId="343824FE" w14:textId="77777777" w:rsidR="00CF77F7" w:rsidRPr="00CF77F7" w:rsidRDefault="00CF77F7" w:rsidP="00C81F50">
      <w:pPr>
        <w:pStyle w:val="Heading1"/>
        <w:keepNext w:val="0"/>
        <w:keepLines w:val="0"/>
        <w:contextualSpacing/>
        <w:rPr>
          <w:b/>
          <w:bCs/>
          <w:sz w:val="27"/>
          <w:szCs w:val="27"/>
        </w:rPr>
      </w:pPr>
      <w:r w:rsidRPr="63DC2C97">
        <w:t>Assignment Format &amp; Guidelines</w:t>
      </w:r>
    </w:p>
    <w:p w14:paraId="68EFFF76" w14:textId="77777777" w:rsidR="00CF77F7" w:rsidRPr="00CF77F7" w:rsidRDefault="00CF77F7" w:rsidP="00C81F50">
      <w:pPr>
        <w:spacing w:beforeAutospacing="0" w:line="240" w:lineRule="auto"/>
        <w:contextualSpacing/>
        <w:rPr>
          <w:kern w:val="0"/>
          <w14:ligatures w14:val="none"/>
        </w:rPr>
      </w:pPr>
      <w:r w:rsidRPr="5E735C23">
        <w:rPr>
          <w:kern w:val="0"/>
          <w14:ligatures w14:val="none"/>
        </w:rPr>
        <w:t>Your market research report will:</w:t>
      </w:r>
    </w:p>
    <w:p w14:paraId="5A282DE1" w14:textId="77777777" w:rsidR="00CF77F7" w:rsidRPr="00CF77F7" w:rsidRDefault="00CF77F7" w:rsidP="00C81F50">
      <w:pPr>
        <w:numPr>
          <w:ilvl w:val="0"/>
          <w:numId w:val="2"/>
        </w:numPr>
        <w:spacing w:beforeAutospacing="0" w:line="240" w:lineRule="auto"/>
        <w:contextualSpacing/>
        <w:rPr>
          <w:kern w:val="0"/>
          <w14:ligatures w14:val="none"/>
        </w:rPr>
      </w:pPr>
      <w:r w:rsidRPr="5E735C23">
        <w:rPr>
          <w:kern w:val="0"/>
          <w14:ligatures w14:val="none"/>
        </w:rPr>
        <w:t>Be 3–4 pages in length, typed and double-spaced, using 12-point font.</w:t>
      </w:r>
    </w:p>
    <w:p w14:paraId="6AA87DD0" w14:textId="44CD10FF" w:rsidR="00CF77F7" w:rsidRPr="00CF77F7" w:rsidRDefault="00CF77F7" w:rsidP="63DC2C97">
      <w:pPr>
        <w:numPr>
          <w:ilvl w:val="0"/>
          <w:numId w:val="2"/>
        </w:numPr>
        <w:spacing w:before="100" w:after="100" w:afterAutospacing="1" w:line="240" w:lineRule="auto"/>
        <w:contextualSpacing/>
        <w:rPr>
          <w:kern w:val="0"/>
          <w14:ligatures w14:val="none"/>
        </w:rPr>
      </w:pPr>
      <w:r w:rsidRPr="5E735C23">
        <w:rPr>
          <w:kern w:val="0"/>
          <w14:ligatures w14:val="none"/>
        </w:rPr>
        <w:t xml:space="preserve">Follow a business report structure </w:t>
      </w:r>
      <w:r w:rsidR="158C652C" w:rsidRPr="5E735C23">
        <w:rPr>
          <w:kern w:val="0"/>
          <w14:ligatures w14:val="none"/>
        </w:rPr>
        <w:t xml:space="preserve">that </w:t>
      </w:r>
      <w:r w:rsidR="72DBD6A3" w:rsidRPr="5E735C23">
        <w:rPr>
          <w:kern w:val="0"/>
          <w14:ligatures w14:val="none"/>
        </w:rPr>
        <w:t>includes</w:t>
      </w:r>
      <w:r w:rsidR="45708AE7" w:rsidRPr="5E735C23">
        <w:rPr>
          <w:kern w:val="0"/>
          <w14:ligatures w14:val="none"/>
        </w:rPr>
        <w:t xml:space="preserve"> an e</w:t>
      </w:r>
      <w:r w:rsidRPr="5E735C23">
        <w:rPr>
          <w:kern w:val="0"/>
          <w14:ligatures w14:val="none"/>
        </w:rPr>
        <w:t xml:space="preserve">xecutive </w:t>
      </w:r>
      <w:r w:rsidR="58F7B2E0" w:rsidRPr="5E735C23">
        <w:rPr>
          <w:kern w:val="0"/>
          <w14:ligatures w14:val="none"/>
        </w:rPr>
        <w:t>s</w:t>
      </w:r>
      <w:r w:rsidRPr="5E735C23">
        <w:rPr>
          <w:kern w:val="0"/>
          <w14:ligatures w14:val="none"/>
        </w:rPr>
        <w:t xml:space="preserve">ummary, </w:t>
      </w:r>
      <w:r w:rsidR="000CB24C" w:rsidRPr="5E735C23">
        <w:rPr>
          <w:kern w:val="0"/>
          <w14:ligatures w14:val="none"/>
        </w:rPr>
        <w:t>i</w:t>
      </w:r>
      <w:r w:rsidRPr="5E735C23">
        <w:rPr>
          <w:kern w:val="0"/>
          <w14:ligatures w14:val="none"/>
        </w:rPr>
        <w:t xml:space="preserve">ntroduction, </w:t>
      </w:r>
      <w:r w:rsidR="797595A2" w:rsidRPr="5E735C23">
        <w:rPr>
          <w:kern w:val="0"/>
          <w14:ligatures w14:val="none"/>
        </w:rPr>
        <w:t>f</w:t>
      </w:r>
      <w:r w:rsidRPr="5E735C23">
        <w:rPr>
          <w:kern w:val="0"/>
          <w14:ligatures w14:val="none"/>
        </w:rPr>
        <w:t xml:space="preserve">indings, </w:t>
      </w:r>
      <w:r w:rsidR="64583F1B" w:rsidRPr="5E735C23">
        <w:rPr>
          <w:kern w:val="0"/>
          <w14:ligatures w14:val="none"/>
        </w:rPr>
        <w:t>a</w:t>
      </w:r>
      <w:r w:rsidRPr="5E735C23">
        <w:rPr>
          <w:kern w:val="0"/>
          <w14:ligatures w14:val="none"/>
        </w:rPr>
        <w:t xml:space="preserve">nalysis, </w:t>
      </w:r>
      <w:r w:rsidR="0F0DD386" w:rsidRPr="5E735C23">
        <w:rPr>
          <w:kern w:val="0"/>
          <w14:ligatures w14:val="none"/>
        </w:rPr>
        <w:t>r</w:t>
      </w:r>
      <w:r w:rsidRPr="5E735C23">
        <w:rPr>
          <w:kern w:val="0"/>
          <w14:ligatures w14:val="none"/>
        </w:rPr>
        <w:t xml:space="preserve">ecommendations, and </w:t>
      </w:r>
      <w:r w:rsidR="172A076B" w:rsidRPr="5E735C23">
        <w:rPr>
          <w:kern w:val="0"/>
          <w14:ligatures w14:val="none"/>
        </w:rPr>
        <w:t>r</w:t>
      </w:r>
      <w:r w:rsidRPr="5E735C23">
        <w:rPr>
          <w:kern w:val="0"/>
          <w14:ligatures w14:val="none"/>
        </w:rPr>
        <w:t>eferences.</w:t>
      </w:r>
    </w:p>
    <w:p w14:paraId="6E0E362A" w14:textId="7B1CAD88" w:rsidR="00CF77F7" w:rsidRPr="00CF77F7" w:rsidRDefault="76E7CCB6" w:rsidP="63DC2C97">
      <w:pPr>
        <w:numPr>
          <w:ilvl w:val="0"/>
          <w:numId w:val="2"/>
        </w:numPr>
        <w:spacing w:before="100" w:after="100" w:afterAutospacing="1" w:line="240" w:lineRule="auto"/>
        <w:contextualSpacing/>
        <w:rPr>
          <w:kern w:val="0"/>
          <w14:ligatures w14:val="none"/>
        </w:rPr>
      </w:pPr>
      <w:r w:rsidRPr="5E735C23">
        <w:rPr>
          <w:kern w:val="0"/>
          <w14:ligatures w14:val="none"/>
        </w:rPr>
        <w:t xml:space="preserve">Include </w:t>
      </w:r>
      <w:r w:rsidR="00CF77F7" w:rsidRPr="5E735C23">
        <w:rPr>
          <w:kern w:val="0"/>
          <w14:ligatures w14:val="none"/>
        </w:rPr>
        <w:t xml:space="preserve">in-text citations and a </w:t>
      </w:r>
      <w:r w:rsidR="04F65B0E" w:rsidRPr="5E735C23">
        <w:rPr>
          <w:kern w:val="0"/>
          <w14:ligatures w14:val="none"/>
        </w:rPr>
        <w:t>r</w:t>
      </w:r>
      <w:r w:rsidR="00CF77F7" w:rsidRPr="5E735C23">
        <w:rPr>
          <w:kern w:val="0"/>
          <w14:ligatures w14:val="none"/>
        </w:rPr>
        <w:t>eferences page.</w:t>
      </w:r>
    </w:p>
    <w:p w14:paraId="7FA52179" w14:textId="61CB3210" w:rsidR="00CF77F7" w:rsidRPr="00CF77F7" w:rsidRDefault="05FB0DB3" w:rsidP="63DC2C97">
      <w:pPr>
        <w:numPr>
          <w:ilvl w:val="0"/>
          <w:numId w:val="2"/>
        </w:numPr>
        <w:spacing w:before="100" w:after="100" w:afterAutospacing="1" w:line="240" w:lineRule="auto"/>
        <w:contextualSpacing/>
        <w:rPr>
          <w:kern w:val="0"/>
          <w14:ligatures w14:val="none"/>
        </w:rPr>
      </w:pPr>
      <w:r w:rsidRPr="5E735C23">
        <w:rPr>
          <w:kern w:val="0"/>
          <w14:ligatures w14:val="none"/>
        </w:rPr>
        <w:t xml:space="preserve">Use professional business tone, </w:t>
      </w:r>
      <w:r w:rsidR="070BEAEF" w:rsidRPr="5E735C23">
        <w:rPr>
          <w:kern w:val="0"/>
          <w14:ligatures w14:val="none"/>
        </w:rPr>
        <w:t>grammar</w:t>
      </w:r>
      <w:r w:rsidRPr="5E735C23">
        <w:rPr>
          <w:kern w:val="0"/>
          <w14:ligatures w14:val="none"/>
        </w:rPr>
        <w:t>, and sentence structure.</w:t>
      </w:r>
    </w:p>
    <w:p w14:paraId="7D0214E4" w14:textId="1AFCF14C" w:rsidR="00CF77F7" w:rsidRPr="00CF77F7" w:rsidRDefault="00CF77F7" w:rsidP="63DC2C97">
      <w:pPr>
        <w:spacing w:line="240" w:lineRule="auto"/>
        <w:contextualSpacing/>
      </w:pPr>
    </w:p>
    <w:p w14:paraId="53E86B6F" w14:textId="77777777" w:rsidR="00CF77F7" w:rsidRPr="00CF77F7" w:rsidRDefault="00CF77F7" w:rsidP="63DC2C97">
      <w:pPr>
        <w:pStyle w:val="Heading1"/>
        <w:keepNext w:val="0"/>
        <w:keepLines w:val="0"/>
        <w:contextualSpacing/>
        <w:rPr>
          <w:b/>
          <w:bCs/>
          <w:sz w:val="27"/>
          <w:szCs w:val="27"/>
        </w:rPr>
      </w:pPr>
      <w:r w:rsidRPr="63DC2C97">
        <w:t>Assessment Criteria</w:t>
      </w:r>
    </w:p>
    <w:p w14:paraId="123D83AE" w14:textId="2EE892EB" w:rsidR="2B0A4FC4" w:rsidRDefault="2B0A4FC4" w:rsidP="63DC2C97">
      <w:pPr>
        <w:spacing w:beforeAutospacing="0" w:line="240" w:lineRule="auto"/>
        <w:contextualSpacing/>
      </w:pPr>
      <w:r w:rsidRPr="227431AC">
        <w:t>Your paper will be graded on</w:t>
      </w:r>
      <w:r w:rsidR="57968350" w:rsidRPr="227431AC">
        <w:t xml:space="preserve"> your</w:t>
      </w:r>
      <w:r w:rsidRPr="227431AC">
        <w:t xml:space="preserve">: </w:t>
      </w:r>
    </w:p>
    <w:p w14:paraId="166E5DDD" w14:textId="48DB67CA" w:rsidR="00CF77F7" w:rsidRPr="00CF77F7" w:rsidRDefault="65DE29CD" w:rsidP="63DC2C97">
      <w:pPr>
        <w:numPr>
          <w:ilvl w:val="0"/>
          <w:numId w:val="3"/>
        </w:numPr>
        <w:spacing w:before="100" w:after="100" w:afterAutospacing="1" w:line="240" w:lineRule="auto"/>
        <w:contextualSpacing/>
        <w:rPr>
          <w:kern w:val="0"/>
          <w14:ligatures w14:val="none"/>
        </w:rPr>
      </w:pPr>
      <w:r w:rsidRPr="5E735C23">
        <w:rPr>
          <w:kern w:val="0"/>
          <w14:ligatures w14:val="none"/>
        </w:rPr>
        <w:t>S</w:t>
      </w:r>
      <w:r w:rsidR="00CF77F7" w:rsidRPr="5E735C23">
        <w:rPr>
          <w:kern w:val="0"/>
          <w14:ligatures w14:val="none"/>
        </w:rPr>
        <w:t>elect</w:t>
      </w:r>
      <w:r w:rsidR="6FB9C366" w:rsidRPr="5E735C23">
        <w:rPr>
          <w:kern w:val="0"/>
          <w14:ligatures w14:val="none"/>
        </w:rPr>
        <w:t xml:space="preserve">ion of </w:t>
      </w:r>
      <w:r w:rsidR="0B2BE8AD" w:rsidRPr="5E735C23">
        <w:rPr>
          <w:kern w:val="0"/>
          <w14:ligatures w14:val="none"/>
        </w:rPr>
        <w:t xml:space="preserve">an </w:t>
      </w:r>
      <w:r w:rsidR="00CF77F7" w:rsidRPr="5E735C23">
        <w:rPr>
          <w:kern w:val="0"/>
          <w14:ligatures w14:val="none"/>
        </w:rPr>
        <w:t>appropriate market or industry topic</w:t>
      </w:r>
      <w:bookmarkStart w:id="0" w:name="_Int_nit4CdF7"/>
      <w:r w:rsidR="00CF77F7" w:rsidRPr="5E735C23">
        <w:rPr>
          <w:kern w:val="0"/>
          <w14:ligatures w14:val="none"/>
        </w:rPr>
        <w:t>.</w:t>
      </w:r>
      <w:bookmarkEnd w:id="0"/>
    </w:p>
    <w:p w14:paraId="2313A747" w14:textId="4D2DA898" w:rsidR="00CF77F7" w:rsidRPr="00CF77F7" w:rsidRDefault="66AB845C" w:rsidP="63DC2C97">
      <w:pPr>
        <w:numPr>
          <w:ilvl w:val="0"/>
          <w:numId w:val="3"/>
        </w:numPr>
        <w:spacing w:before="100" w:after="100" w:afterAutospacing="1" w:line="240" w:lineRule="auto"/>
        <w:contextualSpacing/>
        <w:rPr>
          <w:kern w:val="0"/>
          <w14:ligatures w14:val="none"/>
        </w:rPr>
      </w:pPr>
      <w:r w:rsidRPr="5E735C23">
        <w:rPr>
          <w:kern w:val="0"/>
          <w14:ligatures w14:val="none"/>
        </w:rPr>
        <w:t xml:space="preserve">Identification and use of </w:t>
      </w:r>
      <w:r w:rsidR="00CF77F7" w:rsidRPr="5E735C23">
        <w:rPr>
          <w:kern w:val="0"/>
          <w14:ligatures w14:val="none"/>
        </w:rPr>
        <w:t>at least three credible sources.</w:t>
      </w:r>
    </w:p>
    <w:p w14:paraId="440506EA" w14:textId="338B62CB" w:rsidR="00CF77F7" w:rsidRPr="00CF77F7" w:rsidRDefault="053B8942" w:rsidP="63DC2C97">
      <w:pPr>
        <w:numPr>
          <w:ilvl w:val="0"/>
          <w:numId w:val="3"/>
        </w:numPr>
        <w:spacing w:before="100" w:after="100" w:afterAutospacing="1" w:line="240" w:lineRule="auto"/>
        <w:contextualSpacing/>
        <w:rPr>
          <w:kern w:val="0"/>
          <w14:ligatures w14:val="none"/>
        </w:rPr>
      </w:pPr>
      <w:r w:rsidRPr="5E735C23">
        <w:rPr>
          <w:kern w:val="0"/>
          <w14:ligatures w14:val="none"/>
        </w:rPr>
        <w:t>D</w:t>
      </w:r>
      <w:r w:rsidR="00CF77F7" w:rsidRPr="5E735C23">
        <w:rPr>
          <w:kern w:val="0"/>
          <w14:ligatures w14:val="none"/>
        </w:rPr>
        <w:t xml:space="preserve">ata </w:t>
      </w:r>
      <w:r w:rsidR="7A5E9E75" w:rsidRPr="5E735C23">
        <w:rPr>
          <w:kern w:val="0"/>
          <w14:ligatures w14:val="none"/>
        </w:rPr>
        <w:t xml:space="preserve">usage and </w:t>
      </w:r>
      <w:r w:rsidR="35741C09" w:rsidRPr="5E735C23">
        <w:rPr>
          <w:kern w:val="0"/>
          <w14:ligatures w14:val="none"/>
        </w:rPr>
        <w:t>interpretation</w:t>
      </w:r>
      <w:r w:rsidR="00CF77F7" w:rsidRPr="5E735C23">
        <w:rPr>
          <w:kern w:val="0"/>
          <w14:ligatures w14:val="none"/>
        </w:rPr>
        <w:t>.</w:t>
      </w:r>
    </w:p>
    <w:p w14:paraId="0FE71AB9" w14:textId="48296752" w:rsidR="00CF77F7" w:rsidRPr="00CF77F7" w:rsidRDefault="3242ABAA" w:rsidP="63DC2C97">
      <w:pPr>
        <w:numPr>
          <w:ilvl w:val="0"/>
          <w:numId w:val="3"/>
        </w:numPr>
        <w:spacing w:before="100" w:after="100" w:afterAutospacing="1" w:line="240" w:lineRule="auto"/>
        <w:contextualSpacing/>
        <w:rPr>
          <w:kern w:val="0"/>
          <w14:ligatures w14:val="none"/>
        </w:rPr>
      </w:pPr>
      <w:r w:rsidRPr="5E735C23">
        <w:rPr>
          <w:kern w:val="0"/>
          <w14:ligatures w14:val="none"/>
        </w:rPr>
        <w:lastRenderedPageBreak/>
        <w:t xml:space="preserve">Assessment of </w:t>
      </w:r>
      <w:r w:rsidR="00CF77F7" w:rsidRPr="5E735C23">
        <w:rPr>
          <w:kern w:val="0"/>
          <w14:ligatures w14:val="none"/>
        </w:rPr>
        <w:t>opportunities, challenges, and implications effectively.</w:t>
      </w:r>
    </w:p>
    <w:p w14:paraId="2FF8EB46" w14:textId="74120EA7" w:rsidR="00CF77F7" w:rsidRPr="00CF77F7" w:rsidRDefault="58BEF265" w:rsidP="63DC2C97">
      <w:pPr>
        <w:numPr>
          <w:ilvl w:val="0"/>
          <w:numId w:val="3"/>
        </w:numPr>
        <w:spacing w:before="100" w:after="100" w:afterAutospacing="1" w:line="240" w:lineRule="auto"/>
        <w:contextualSpacing/>
        <w:rPr>
          <w:kern w:val="0"/>
          <w14:ligatures w14:val="none"/>
        </w:rPr>
      </w:pPr>
      <w:r w:rsidRPr="5E735C23">
        <w:rPr>
          <w:kern w:val="0"/>
          <w14:ligatures w14:val="none"/>
        </w:rPr>
        <w:t>R</w:t>
      </w:r>
      <w:r w:rsidR="00CF77F7" w:rsidRPr="5E735C23">
        <w:rPr>
          <w:kern w:val="0"/>
          <w14:ligatures w14:val="none"/>
        </w:rPr>
        <w:t>ecommendations based on research findings</w:t>
      </w:r>
      <w:bookmarkStart w:id="1" w:name="_Int_8dO48wJ9"/>
      <w:r w:rsidR="00CF77F7" w:rsidRPr="5E735C23">
        <w:rPr>
          <w:kern w:val="0"/>
          <w14:ligatures w14:val="none"/>
        </w:rPr>
        <w:t>.</w:t>
      </w:r>
      <w:bookmarkEnd w:id="1"/>
    </w:p>
    <w:p w14:paraId="1C53EF29" w14:textId="260DDD8F" w:rsidR="00CF77F7" w:rsidRPr="00CF77F7" w:rsidRDefault="00CF77F7" w:rsidP="63DC2C97">
      <w:pPr>
        <w:numPr>
          <w:ilvl w:val="0"/>
          <w:numId w:val="3"/>
        </w:numPr>
        <w:spacing w:before="100" w:after="100" w:afterAutospacing="1" w:line="240" w:lineRule="auto"/>
        <w:contextualSpacing/>
        <w:rPr>
          <w:kern w:val="0"/>
          <w14:ligatures w14:val="none"/>
        </w:rPr>
      </w:pPr>
      <w:r w:rsidRPr="5E735C23">
        <w:rPr>
          <w:kern w:val="0"/>
          <w14:ligatures w14:val="none"/>
        </w:rPr>
        <w:t>Use</w:t>
      </w:r>
      <w:r w:rsidR="55EC09EF" w:rsidRPr="5E735C23">
        <w:rPr>
          <w:kern w:val="0"/>
          <w14:ligatures w14:val="none"/>
        </w:rPr>
        <w:t xml:space="preserve"> </w:t>
      </w:r>
      <w:r w:rsidR="48DE39DF" w:rsidRPr="5E735C23">
        <w:rPr>
          <w:kern w:val="0"/>
          <w14:ligatures w14:val="none"/>
        </w:rPr>
        <w:t xml:space="preserve">of appropriate </w:t>
      </w:r>
      <w:r w:rsidRPr="5E735C23">
        <w:rPr>
          <w:kern w:val="0"/>
          <w14:ligatures w14:val="none"/>
        </w:rPr>
        <w:t>citation</w:t>
      </w:r>
      <w:r w:rsidR="5AFDE663" w:rsidRPr="5E735C23">
        <w:rPr>
          <w:kern w:val="0"/>
          <w14:ligatures w14:val="none"/>
        </w:rPr>
        <w:t>s</w:t>
      </w:r>
      <w:r w:rsidR="33AC94A4" w:rsidRPr="5E735C23">
        <w:rPr>
          <w:kern w:val="0"/>
          <w14:ligatures w14:val="none"/>
        </w:rPr>
        <w:t xml:space="preserve"> and</w:t>
      </w:r>
      <w:r w:rsidR="38277712" w:rsidRPr="5E735C23">
        <w:rPr>
          <w:kern w:val="0"/>
          <w14:ligatures w14:val="none"/>
        </w:rPr>
        <w:t xml:space="preserve"> </w:t>
      </w:r>
      <w:r w:rsidR="27B7006D" w:rsidRPr="5E735C23">
        <w:rPr>
          <w:kern w:val="0"/>
          <w14:ligatures w14:val="none"/>
        </w:rPr>
        <w:t>appropriate</w:t>
      </w:r>
      <w:r w:rsidR="38277712" w:rsidRPr="5E735C23">
        <w:rPr>
          <w:kern w:val="0"/>
          <w14:ligatures w14:val="none"/>
        </w:rPr>
        <w:t xml:space="preserve"> business writing tone</w:t>
      </w:r>
      <w:r w:rsidR="5E613C88" w:rsidRPr="5E735C23">
        <w:rPr>
          <w:kern w:val="0"/>
          <w14:ligatures w14:val="none"/>
        </w:rPr>
        <w:t>, f</w:t>
      </w:r>
      <w:r w:rsidR="38277712" w:rsidRPr="5E735C23">
        <w:rPr>
          <w:kern w:val="0"/>
          <w14:ligatures w14:val="none"/>
        </w:rPr>
        <w:t xml:space="preserve">ormat </w:t>
      </w:r>
      <w:r w:rsidRPr="5E735C23">
        <w:rPr>
          <w:kern w:val="0"/>
          <w14:ligatures w14:val="none"/>
        </w:rPr>
        <w:t xml:space="preserve">and </w:t>
      </w:r>
      <w:r w:rsidR="5434D8DD" w:rsidRPr="5E735C23">
        <w:rPr>
          <w:kern w:val="0"/>
          <w14:ligatures w14:val="none"/>
        </w:rPr>
        <w:t>grammar</w:t>
      </w:r>
      <w:r w:rsidRPr="5E735C23">
        <w:rPr>
          <w:kern w:val="0"/>
          <w14:ligatures w14:val="none"/>
        </w:rPr>
        <w:t>.</w:t>
      </w:r>
    </w:p>
    <w:p w14:paraId="459EF330" w14:textId="60F6CED7" w:rsidR="00CF77F7" w:rsidRPr="00CF77F7" w:rsidRDefault="00CF77F7" w:rsidP="63DC2C97">
      <w:pPr>
        <w:spacing w:line="240" w:lineRule="auto"/>
      </w:pPr>
    </w:p>
    <w:tbl>
      <w:tblPr>
        <w:tblStyle w:val="TableGrid"/>
        <w:tblW w:w="0" w:type="auto"/>
        <w:tblLook w:val="04A0" w:firstRow="1" w:lastRow="0" w:firstColumn="1" w:lastColumn="0" w:noHBand="0" w:noVBand="1"/>
      </w:tblPr>
      <w:tblGrid>
        <w:gridCol w:w="2076"/>
        <w:gridCol w:w="2051"/>
        <w:gridCol w:w="1990"/>
        <w:gridCol w:w="2036"/>
        <w:gridCol w:w="2051"/>
      </w:tblGrid>
      <w:tr w:rsidR="003A132C" w14:paraId="7764650A" w14:textId="77777777" w:rsidTr="00EA7497">
        <w:tc>
          <w:tcPr>
            <w:tcW w:w="10225" w:type="dxa"/>
            <w:gridSpan w:val="5"/>
            <w:tcBorders>
              <w:top w:val="single" w:sz="8" w:space="0" w:color="FFFFFF"/>
              <w:left w:val="single" w:sz="8" w:space="0" w:color="FFFFFF"/>
              <w:bottom w:val="single" w:sz="8" w:space="0" w:color="FFFFFF"/>
              <w:right w:val="single" w:sz="8" w:space="0" w:color="FFFFFF"/>
            </w:tcBorders>
            <w:shd w:val="clear" w:color="auto" w:fill="000000"/>
          </w:tcPr>
          <w:p w14:paraId="3A30A630" w14:textId="77777777" w:rsidR="003A132C" w:rsidRDefault="003A132C" w:rsidP="00C97CBC">
            <w:pPr>
              <w:spacing w:before="100"/>
              <w:contextualSpacing/>
              <w:jc w:val="center"/>
            </w:pPr>
            <w:r>
              <w:rPr>
                <w:b/>
                <w:color w:val="FFFFFF"/>
                <w:sz w:val="28"/>
              </w:rPr>
              <w:t>Market Research Report Grading Rubric</w:t>
            </w:r>
          </w:p>
        </w:tc>
      </w:tr>
      <w:tr w:rsidR="003A132C" w14:paraId="55672E2F" w14:textId="77777777" w:rsidTr="00EA7497">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61851629" w14:textId="77777777" w:rsidR="003A132C" w:rsidRDefault="003A132C" w:rsidP="00C97CBC">
            <w:pPr>
              <w:spacing w:before="100"/>
              <w:contextualSpacing/>
              <w:jc w:val="center"/>
            </w:pPr>
            <w:r>
              <w:rPr>
                <w:b/>
                <w:color w:val="FFFFFF"/>
              </w:rPr>
              <w:t>Criteria</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49B00187" w14:textId="77777777" w:rsidR="003A132C" w:rsidRDefault="003A132C" w:rsidP="00C97CBC">
            <w:pPr>
              <w:spacing w:before="100"/>
              <w:contextualSpacing/>
              <w:jc w:val="center"/>
            </w:pPr>
            <w:r>
              <w:rPr>
                <w:b/>
                <w:color w:val="FFFFFF"/>
              </w:rPr>
              <w:t>Exceeds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003781B2" w14:textId="77777777" w:rsidR="003A132C" w:rsidRDefault="003A132C" w:rsidP="00C97CBC">
            <w:pPr>
              <w:spacing w:before="100"/>
              <w:contextualSpacing/>
              <w:jc w:val="center"/>
            </w:pPr>
            <w:r>
              <w:rPr>
                <w:b/>
                <w:color w:val="FFFFFF"/>
              </w:rPr>
              <w:t>Meets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6C77417C" w14:textId="77777777" w:rsidR="003A132C" w:rsidRDefault="003A132C" w:rsidP="00C97CBC">
            <w:pPr>
              <w:spacing w:before="100"/>
              <w:contextualSpacing/>
              <w:jc w:val="center"/>
            </w:pPr>
            <w:r>
              <w:rPr>
                <w:b/>
                <w:color w:val="FFFFFF"/>
              </w:rPr>
              <w:t>Approaches Expectations</w:t>
            </w:r>
          </w:p>
        </w:tc>
        <w:tc>
          <w:tcPr>
            <w:tcW w:w="2045" w:type="dxa"/>
            <w:tcBorders>
              <w:top w:val="single" w:sz="8" w:space="0" w:color="FFFFFF"/>
              <w:left w:val="single" w:sz="8" w:space="0" w:color="FFFFFF"/>
              <w:bottom w:val="single" w:sz="8" w:space="0" w:color="FFFFFF"/>
              <w:right w:val="single" w:sz="8" w:space="0" w:color="FFFFFF"/>
            </w:tcBorders>
            <w:shd w:val="clear" w:color="auto" w:fill="000000"/>
          </w:tcPr>
          <w:p w14:paraId="36181840" w14:textId="77777777" w:rsidR="003A132C" w:rsidRDefault="003A132C" w:rsidP="00C97CBC">
            <w:pPr>
              <w:spacing w:before="100"/>
              <w:contextualSpacing/>
              <w:jc w:val="center"/>
            </w:pPr>
            <w:r>
              <w:rPr>
                <w:b/>
                <w:color w:val="FFFFFF"/>
              </w:rPr>
              <w:t>Developing</w:t>
            </w:r>
          </w:p>
        </w:tc>
      </w:tr>
      <w:tr w:rsidR="003A132C" w14:paraId="53F50565" w14:textId="77777777" w:rsidTr="00EA7497">
        <w:tc>
          <w:tcPr>
            <w:tcW w:w="2045" w:type="dxa"/>
          </w:tcPr>
          <w:p w14:paraId="7263A03B" w14:textId="77777777" w:rsidR="003A132C" w:rsidRDefault="003A132C" w:rsidP="00C97CBC">
            <w:pPr>
              <w:spacing w:before="100"/>
              <w:contextualSpacing/>
              <w:rPr>
                <w:b/>
              </w:rPr>
            </w:pPr>
            <w:r>
              <w:rPr>
                <w:b/>
              </w:rPr>
              <w:t xml:space="preserve">Topic Selection &amp; Executive Summary </w:t>
            </w:r>
          </w:p>
          <w:p w14:paraId="7306EB7F" w14:textId="77777777" w:rsidR="003A132C" w:rsidRDefault="003A132C" w:rsidP="00C97CBC">
            <w:pPr>
              <w:spacing w:before="100"/>
              <w:contextualSpacing/>
            </w:pPr>
            <w:r>
              <w:rPr>
                <w:b/>
              </w:rPr>
              <w:t>(20 points)</w:t>
            </w:r>
          </w:p>
        </w:tc>
        <w:tc>
          <w:tcPr>
            <w:tcW w:w="2045" w:type="dxa"/>
          </w:tcPr>
          <w:p w14:paraId="6B854EE9" w14:textId="77777777" w:rsidR="003A132C" w:rsidRDefault="003A132C" w:rsidP="00C97CBC">
            <w:pPr>
              <w:spacing w:before="100"/>
              <w:contextualSpacing/>
            </w:pPr>
            <w:r>
              <w:t>Selects an insightful topic with a concise, strategic executive summary.</w:t>
            </w:r>
            <w:r>
              <w:br/>
              <w:t>(18–20 points)</w:t>
            </w:r>
          </w:p>
        </w:tc>
        <w:tc>
          <w:tcPr>
            <w:tcW w:w="2045" w:type="dxa"/>
          </w:tcPr>
          <w:p w14:paraId="74313082" w14:textId="77777777" w:rsidR="003A132C" w:rsidRDefault="003A132C" w:rsidP="00C97CBC">
            <w:pPr>
              <w:spacing w:before="100"/>
              <w:contextualSpacing/>
            </w:pPr>
            <w:r>
              <w:t>Selects an appropriate topic with a clear executive summary.</w:t>
            </w:r>
            <w:r>
              <w:br/>
              <w:t>(14–17 points)</w:t>
            </w:r>
          </w:p>
        </w:tc>
        <w:tc>
          <w:tcPr>
            <w:tcW w:w="2045" w:type="dxa"/>
          </w:tcPr>
          <w:p w14:paraId="1E1EF2C6" w14:textId="77777777" w:rsidR="003A132C" w:rsidRDefault="003A132C" w:rsidP="00C97CBC">
            <w:pPr>
              <w:spacing w:before="100"/>
              <w:contextualSpacing/>
            </w:pPr>
            <w:r>
              <w:t>Topic is somewhat appropriate but executive summary is vague or incomplete.</w:t>
            </w:r>
            <w:r>
              <w:br/>
              <w:t>(10–13 points)</w:t>
            </w:r>
          </w:p>
        </w:tc>
        <w:tc>
          <w:tcPr>
            <w:tcW w:w="2045" w:type="dxa"/>
          </w:tcPr>
          <w:p w14:paraId="24546009" w14:textId="77777777" w:rsidR="003A132C" w:rsidRDefault="003A132C" w:rsidP="00C97CBC">
            <w:pPr>
              <w:spacing w:before="100"/>
              <w:contextualSpacing/>
            </w:pPr>
            <w:r>
              <w:t>Topic is too broad/narrow or executive summary is unclear.</w:t>
            </w:r>
            <w:r>
              <w:br/>
              <w:t>(0–9 points)</w:t>
            </w:r>
          </w:p>
        </w:tc>
      </w:tr>
      <w:tr w:rsidR="003A132C" w14:paraId="4CFD7483" w14:textId="77777777" w:rsidTr="00EA7497">
        <w:tc>
          <w:tcPr>
            <w:tcW w:w="2045" w:type="dxa"/>
          </w:tcPr>
          <w:p w14:paraId="79DCE282" w14:textId="77777777" w:rsidR="003A132C" w:rsidRDefault="003A132C" w:rsidP="00C97CBC">
            <w:pPr>
              <w:spacing w:before="100"/>
              <w:contextualSpacing/>
              <w:rPr>
                <w:b/>
              </w:rPr>
            </w:pPr>
            <w:r>
              <w:rPr>
                <w:b/>
              </w:rPr>
              <w:t xml:space="preserve">Findings &amp; Use of Sources </w:t>
            </w:r>
          </w:p>
          <w:p w14:paraId="29EA87DE" w14:textId="77777777" w:rsidR="003A132C" w:rsidRDefault="003A132C" w:rsidP="00C97CBC">
            <w:pPr>
              <w:spacing w:before="100"/>
              <w:contextualSpacing/>
            </w:pPr>
            <w:r>
              <w:rPr>
                <w:b/>
              </w:rPr>
              <w:t>(20 points)</w:t>
            </w:r>
          </w:p>
        </w:tc>
        <w:tc>
          <w:tcPr>
            <w:tcW w:w="2045" w:type="dxa"/>
          </w:tcPr>
          <w:p w14:paraId="256B2631" w14:textId="77777777" w:rsidR="003A132C" w:rsidRDefault="003A132C" w:rsidP="00C97CBC">
            <w:pPr>
              <w:spacing w:before="100"/>
              <w:contextualSpacing/>
            </w:pPr>
            <w:r>
              <w:t>Thoroughly gathers and interprets information from three or more credible sources with strong connections to analysis.</w:t>
            </w:r>
            <w:r>
              <w:br/>
              <w:t>(18–20 points)</w:t>
            </w:r>
          </w:p>
        </w:tc>
        <w:tc>
          <w:tcPr>
            <w:tcW w:w="2045" w:type="dxa"/>
          </w:tcPr>
          <w:p w14:paraId="1AA4F7C6" w14:textId="77777777" w:rsidR="003A132C" w:rsidRDefault="003A132C" w:rsidP="00C97CBC">
            <w:pPr>
              <w:spacing w:before="100"/>
              <w:contextualSpacing/>
            </w:pPr>
            <w:r>
              <w:t>Gathers and interprets information from at least three credible sources with general connections to analysis.</w:t>
            </w:r>
            <w:r>
              <w:br/>
              <w:t>(14–17 points)</w:t>
            </w:r>
          </w:p>
        </w:tc>
        <w:tc>
          <w:tcPr>
            <w:tcW w:w="2045" w:type="dxa"/>
          </w:tcPr>
          <w:p w14:paraId="45C235D4" w14:textId="77777777" w:rsidR="003A132C" w:rsidRDefault="003A132C" w:rsidP="00C97CBC">
            <w:pPr>
              <w:spacing w:before="100"/>
              <w:contextualSpacing/>
            </w:pPr>
            <w:r>
              <w:t>Uses fewer than three sources or connections are not strongly tied to analysis.</w:t>
            </w:r>
            <w:r>
              <w:br/>
              <w:t>(10–13 points)</w:t>
            </w:r>
          </w:p>
        </w:tc>
        <w:tc>
          <w:tcPr>
            <w:tcW w:w="2045" w:type="dxa"/>
          </w:tcPr>
          <w:p w14:paraId="4697EA1F" w14:textId="77777777" w:rsidR="003A132C" w:rsidRDefault="003A132C" w:rsidP="00C97CBC">
            <w:pPr>
              <w:spacing w:before="100"/>
              <w:contextualSpacing/>
            </w:pPr>
            <w:r>
              <w:t>Connections are minimal or sources are missing/irrelevant.</w:t>
            </w:r>
            <w:r>
              <w:br/>
              <w:t>(0–9 points)</w:t>
            </w:r>
          </w:p>
        </w:tc>
      </w:tr>
      <w:tr w:rsidR="003A132C" w14:paraId="497A17BE" w14:textId="77777777" w:rsidTr="00EA7497">
        <w:tc>
          <w:tcPr>
            <w:tcW w:w="2045" w:type="dxa"/>
          </w:tcPr>
          <w:p w14:paraId="326BA9D8" w14:textId="77777777" w:rsidR="003A132C" w:rsidRDefault="003A132C" w:rsidP="00C97CBC">
            <w:pPr>
              <w:spacing w:before="100"/>
              <w:contextualSpacing/>
              <w:rPr>
                <w:b/>
              </w:rPr>
            </w:pPr>
            <w:r>
              <w:rPr>
                <w:b/>
              </w:rPr>
              <w:t xml:space="preserve">Analysis &amp; Assessment </w:t>
            </w:r>
          </w:p>
          <w:p w14:paraId="675F9EA8" w14:textId="77777777" w:rsidR="003A132C" w:rsidRDefault="003A132C" w:rsidP="00C97CBC">
            <w:pPr>
              <w:spacing w:before="100"/>
              <w:contextualSpacing/>
            </w:pPr>
            <w:r>
              <w:rPr>
                <w:b/>
              </w:rPr>
              <w:t>(20 points)</w:t>
            </w:r>
          </w:p>
        </w:tc>
        <w:tc>
          <w:tcPr>
            <w:tcW w:w="2045" w:type="dxa"/>
          </w:tcPr>
          <w:p w14:paraId="5A566F0B" w14:textId="77777777" w:rsidR="003A132C" w:rsidRDefault="003A132C" w:rsidP="00C97CBC">
            <w:pPr>
              <w:spacing w:before="100"/>
              <w:contextualSpacing/>
            </w:pPr>
            <w:r>
              <w:t>Provides sophisticated analysis assessing opportunities, challenges, and implications.</w:t>
            </w:r>
            <w:r>
              <w:br/>
              <w:t>(18–20 points)</w:t>
            </w:r>
          </w:p>
        </w:tc>
        <w:tc>
          <w:tcPr>
            <w:tcW w:w="2045" w:type="dxa"/>
          </w:tcPr>
          <w:p w14:paraId="40EED4EF" w14:textId="77777777" w:rsidR="003A132C" w:rsidRDefault="003A132C" w:rsidP="00C97CBC">
            <w:pPr>
              <w:spacing w:before="100"/>
              <w:contextualSpacing/>
            </w:pPr>
            <w:r>
              <w:t>Provides clear analysis assessing opportunities, challenges, and implications.</w:t>
            </w:r>
            <w:r>
              <w:br/>
              <w:t>(14–17 points)</w:t>
            </w:r>
          </w:p>
        </w:tc>
        <w:tc>
          <w:tcPr>
            <w:tcW w:w="2045" w:type="dxa"/>
          </w:tcPr>
          <w:p w14:paraId="256BA9CB" w14:textId="77777777" w:rsidR="003A132C" w:rsidRDefault="003A132C" w:rsidP="00C97CBC">
            <w:pPr>
              <w:spacing w:before="100"/>
              <w:contextualSpacing/>
            </w:pPr>
            <w:r>
              <w:t xml:space="preserve">Analysis is unclear, incomplete and inaccurate </w:t>
            </w:r>
          </w:p>
          <w:p w14:paraId="2E5DA9D6" w14:textId="77777777" w:rsidR="003A132C" w:rsidRDefault="003A132C" w:rsidP="00C97CBC">
            <w:pPr>
              <w:spacing w:before="100"/>
              <w:contextualSpacing/>
            </w:pPr>
            <w:r>
              <w:t>(10–13 points)</w:t>
            </w:r>
          </w:p>
        </w:tc>
        <w:tc>
          <w:tcPr>
            <w:tcW w:w="2045" w:type="dxa"/>
          </w:tcPr>
          <w:p w14:paraId="5A494F75" w14:textId="77777777" w:rsidR="003A132C" w:rsidRDefault="003A132C" w:rsidP="00C97CBC">
            <w:pPr>
              <w:spacing w:before="100"/>
              <w:contextualSpacing/>
            </w:pPr>
            <w:r>
              <w:t xml:space="preserve">Provides minimal or unclear analysis that include inaccuracies. </w:t>
            </w:r>
            <w:r>
              <w:br/>
              <w:t>(0–9 points)</w:t>
            </w:r>
          </w:p>
        </w:tc>
      </w:tr>
      <w:tr w:rsidR="003A132C" w14:paraId="3A208A89" w14:textId="77777777" w:rsidTr="00EA7497">
        <w:tc>
          <w:tcPr>
            <w:tcW w:w="2045" w:type="dxa"/>
          </w:tcPr>
          <w:p w14:paraId="6BED9E80" w14:textId="77777777" w:rsidR="003A132C" w:rsidRDefault="003A132C" w:rsidP="00C97CBC">
            <w:pPr>
              <w:spacing w:before="100"/>
              <w:contextualSpacing/>
            </w:pPr>
            <w:r>
              <w:rPr>
                <w:b/>
              </w:rPr>
              <w:t>Recommendations (20 points)</w:t>
            </w:r>
          </w:p>
        </w:tc>
        <w:tc>
          <w:tcPr>
            <w:tcW w:w="2045" w:type="dxa"/>
          </w:tcPr>
          <w:p w14:paraId="15E68379" w14:textId="77777777" w:rsidR="003A132C" w:rsidRDefault="003A132C" w:rsidP="00C97CBC">
            <w:pPr>
              <w:spacing w:before="100"/>
              <w:contextualSpacing/>
            </w:pPr>
            <w:r>
              <w:t>Develops strategic, well-supported recommendations.</w:t>
            </w:r>
            <w:r>
              <w:br/>
              <w:t>(18–20 points)</w:t>
            </w:r>
          </w:p>
        </w:tc>
        <w:tc>
          <w:tcPr>
            <w:tcW w:w="2045" w:type="dxa"/>
          </w:tcPr>
          <w:p w14:paraId="474E6CE2" w14:textId="77777777" w:rsidR="003A132C" w:rsidRDefault="003A132C" w:rsidP="00C97CBC">
            <w:pPr>
              <w:spacing w:before="100"/>
              <w:contextualSpacing/>
            </w:pPr>
            <w:r>
              <w:t>Develops clear recommendations with some rationale.</w:t>
            </w:r>
            <w:r>
              <w:br/>
              <w:t>(14–17 points)</w:t>
            </w:r>
          </w:p>
        </w:tc>
        <w:tc>
          <w:tcPr>
            <w:tcW w:w="2045" w:type="dxa"/>
          </w:tcPr>
          <w:p w14:paraId="26B3EF39" w14:textId="77777777" w:rsidR="003A132C" w:rsidRDefault="003A132C" w:rsidP="00C97CBC">
            <w:pPr>
              <w:spacing w:before="100"/>
              <w:contextualSpacing/>
            </w:pPr>
            <w:r>
              <w:t>Recommendations are somewhat unclear and are somewhat supported.</w:t>
            </w:r>
          </w:p>
          <w:p w14:paraId="5FED1E5E" w14:textId="77777777" w:rsidR="003A132C" w:rsidRDefault="003A132C" w:rsidP="00C97CBC">
            <w:pPr>
              <w:spacing w:before="100"/>
              <w:contextualSpacing/>
            </w:pPr>
            <w:r>
              <w:t>(10–13 points)</w:t>
            </w:r>
          </w:p>
        </w:tc>
        <w:tc>
          <w:tcPr>
            <w:tcW w:w="2045" w:type="dxa"/>
          </w:tcPr>
          <w:p w14:paraId="26B2F2FD" w14:textId="77777777" w:rsidR="003A132C" w:rsidRDefault="003A132C" w:rsidP="00C97CBC">
            <w:pPr>
              <w:spacing w:before="100"/>
              <w:contextualSpacing/>
            </w:pPr>
            <w:r>
              <w:t>Provides minimal or unsupported recommendations.</w:t>
            </w:r>
            <w:r>
              <w:br/>
              <w:t>(0–9 points)</w:t>
            </w:r>
          </w:p>
        </w:tc>
      </w:tr>
      <w:tr w:rsidR="003A132C" w14:paraId="0575344D" w14:textId="77777777" w:rsidTr="00EA7497">
        <w:tc>
          <w:tcPr>
            <w:tcW w:w="2045" w:type="dxa"/>
          </w:tcPr>
          <w:p w14:paraId="0D6F6D35" w14:textId="77777777" w:rsidR="003A132C" w:rsidRDefault="003A132C" w:rsidP="00C97CBC">
            <w:pPr>
              <w:spacing w:before="100"/>
              <w:contextualSpacing/>
              <w:rPr>
                <w:b/>
              </w:rPr>
            </w:pPr>
            <w:r>
              <w:rPr>
                <w:b/>
              </w:rPr>
              <w:t xml:space="preserve">Organization &amp; Writing </w:t>
            </w:r>
          </w:p>
          <w:p w14:paraId="06BD5004" w14:textId="77777777" w:rsidR="003A132C" w:rsidRDefault="003A132C" w:rsidP="00C97CBC">
            <w:pPr>
              <w:spacing w:before="100"/>
              <w:contextualSpacing/>
            </w:pPr>
            <w:r>
              <w:rPr>
                <w:b/>
              </w:rPr>
              <w:t>(10 points)</w:t>
            </w:r>
          </w:p>
        </w:tc>
        <w:tc>
          <w:tcPr>
            <w:tcW w:w="2045" w:type="dxa"/>
          </w:tcPr>
          <w:p w14:paraId="27B3610D" w14:textId="77777777" w:rsidR="003A132C" w:rsidRDefault="003A132C" w:rsidP="00C97CBC">
            <w:pPr>
              <w:spacing w:before="100"/>
              <w:contextualSpacing/>
            </w:pPr>
            <w:r>
              <w:t>Writing is exceptionally clear, organized, and professional with virtually no errors.</w:t>
            </w:r>
            <w:r>
              <w:br/>
              <w:t>(9–10 points)</w:t>
            </w:r>
          </w:p>
        </w:tc>
        <w:tc>
          <w:tcPr>
            <w:tcW w:w="2045" w:type="dxa"/>
          </w:tcPr>
          <w:p w14:paraId="279F0106" w14:textId="77777777" w:rsidR="003A132C" w:rsidRDefault="003A132C" w:rsidP="00C97CBC">
            <w:pPr>
              <w:spacing w:before="100"/>
              <w:contextualSpacing/>
            </w:pPr>
            <w:r>
              <w:t>Writing is mostly clear and organized with few errors.</w:t>
            </w:r>
            <w:r>
              <w:br/>
              <w:t>(6–8 points)</w:t>
            </w:r>
          </w:p>
        </w:tc>
        <w:tc>
          <w:tcPr>
            <w:tcW w:w="2045" w:type="dxa"/>
          </w:tcPr>
          <w:p w14:paraId="19F6F9BB" w14:textId="77777777" w:rsidR="003A132C" w:rsidRDefault="003A132C" w:rsidP="00C97CBC">
            <w:pPr>
              <w:spacing w:before="100"/>
              <w:contextualSpacing/>
            </w:pPr>
            <w:r>
              <w:t xml:space="preserve">Writing shows some </w:t>
            </w:r>
            <w:proofErr w:type="gramStart"/>
            <w:r>
              <w:t>organization</w:t>
            </w:r>
            <w:proofErr w:type="gramEnd"/>
            <w:r>
              <w:t xml:space="preserve"> but clarity and tone are inconsistent.</w:t>
            </w:r>
            <w:r>
              <w:br/>
              <w:t>(3–5 points)</w:t>
            </w:r>
          </w:p>
        </w:tc>
        <w:tc>
          <w:tcPr>
            <w:tcW w:w="2045" w:type="dxa"/>
          </w:tcPr>
          <w:p w14:paraId="32D73767" w14:textId="77777777" w:rsidR="003A132C" w:rsidRDefault="003A132C" w:rsidP="00C97CBC">
            <w:pPr>
              <w:spacing w:before="100"/>
              <w:contextualSpacing/>
            </w:pPr>
            <w:r>
              <w:t>Writing lacks clarity, organization, or professional tone.</w:t>
            </w:r>
            <w:r>
              <w:br/>
              <w:t>(0–2 points)</w:t>
            </w:r>
          </w:p>
        </w:tc>
      </w:tr>
      <w:tr w:rsidR="003A132C" w14:paraId="21C271CB" w14:textId="77777777" w:rsidTr="00EA7497">
        <w:tc>
          <w:tcPr>
            <w:tcW w:w="2045" w:type="dxa"/>
          </w:tcPr>
          <w:p w14:paraId="7C642531" w14:textId="77777777" w:rsidR="003A132C" w:rsidRDefault="003A132C" w:rsidP="00C97CBC">
            <w:pPr>
              <w:spacing w:before="100"/>
              <w:contextualSpacing/>
            </w:pPr>
            <w:r>
              <w:rPr>
                <w:b/>
              </w:rPr>
              <w:t>Citation &amp; Format (10 points)</w:t>
            </w:r>
          </w:p>
        </w:tc>
        <w:tc>
          <w:tcPr>
            <w:tcW w:w="2045" w:type="dxa"/>
          </w:tcPr>
          <w:p w14:paraId="28F3C3FC" w14:textId="77777777" w:rsidR="003A132C" w:rsidRDefault="003A132C" w:rsidP="00C97CBC">
            <w:pPr>
              <w:spacing w:before="100"/>
              <w:contextualSpacing/>
            </w:pPr>
            <w:r>
              <w:t xml:space="preserve">Uses citation appropriately, </w:t>
            </w:r>
            <w:r>
              <w:lastRenderedPageBreak/>
              <w:t>with exceptional tone and grammar usage.</w:t>
            </w:r>
            <w:r>
              <w:br/>
              <w:t>(9–10 points)</w:t>
            </w:r>
          </w:p>
        </w:tc>
        <w:tc>
          <w:tcPr>
            <w:tcW w:w="2045" w:type="dxa"/>
          </w:tcPr>
          <w:p w14:paraId="2AB265B4" w14:textId="77777777" w:rsidR="003A132C" w:rsidRDefault="003A132C" w:rsidP="00C97CBC">
            <w:pPr>
              <w:spacing w:before="100"/>
              <w:contextualSpacing/>
            </w:pPr>
            <w:r>
              <w:lastRenderedPageBreak/>
              <w:t xml:space="preserve">Uses citation with few errors; </w:t>
            </w:r>
            <w:r>
              <w:lastRenderedPageBreak/>
              <w:t>appropriate tone and grammar usage.</w:t>
            </w:r>
            <w:r>
              <w:br/>
              <w:t>(6–8 points)</w:t>
            </w:r>
          </w:p>
        </w:tc>
        <w:tc>
          <w:tcPr>
            <w:tcW w:w="2045" w:type="dxa"/>
          </w:tcPr>
          <w:p w14:paraId="18F464FD" w14:textId="77777777" w:rsidR="003A132C" w:rsidRDefault="003A132C" w:rsidP="00C97CBC">
            <w:pPr>
              <w:spacing w:before="100"/>
              <w:contextualSpacing/>
            </w:pPr>
            <w:r>
              <w:lastRenderedPageBreak/>
              <w:t xml:space="preserve">Citations have numerous errors </w:t>
            </w:r>
            <w:r>
              <w:lastRenderedPageBreak/>
              <w:t>or tone/grammar need further development.</w:t>
            </w:r>
            <w:r>
              <w:br/>
              <w:t>(3–5 points)</w:t>
            </w:r>
          </w:p>
        </w:tc>
        <w:tc>
          <w:tcPr>
            <w:tcW w:w="2045" w:type="dxa"/>
          </w:tcPr>
          <w:p w14:paraId="72D2F308" w14:textId="77777777" w:rsidR="003A132C" w:rsidRDefault="003A132C" w:rsidP="00C97CBC">
            <w:pPr>
              <w:spacing w:before="100"/>
              <w:contextualSpacing/>
            </w:pPr>
            <w:r>
              <w:lastRenderedPageBreak/>
              <w:t xml:space="preserve">Citations are missing or </w:t>
            </w:r>
            <w:r>
              <w:lastRenderedPageBreak/>
              <w:t>incorrect; tone and grammar are not appropriate.</w:t>
            </w:r>
            <w:r>
              <w:br/>
              <w:t>(0–2 points)</w:t>
            </w:r>
          </w:p>
        </w:tc>
      </w:tr>
    </w:tbl>
    <w:p w14:paraId="090B98D6" w14:textId="77777777" w:rsidR="00CF77F7" w:rsidRPr="00CF77F7" w:rsidRDefault="00CF77F7" w:rsidP="27032E6A">
      <w:pPr>
        <w:spacing w:before="100" w:after="100" w:afterAutospacing="1" w:line="240" w:lineRule="auto"/>
        <w:rPr>
          <w:b/>
          <w:bCs/>
          <w:kern w:val="0"/>
          <w14:ligatures w14:val="none"/>
        </w:rPr>
      </w:pPr>
    </w:p>
    <w:p w14:paraId="0B019C79" w14:textId="0FA2F4FE" w:rsidR="07141CB6" w:rsidRDefault="07141CB6" w:rsidP="63DC2C97">
      <w:pPr>
        <w:spacing w:afterAutospacing="1" w:line="240" w:lineRule="auto"/>
        <w:rPr>
          <w:b/>
          <w:bCs/>
        </w:rPr>
      </w:pPr>
    </w:p>
    <w:p w14:paraId="7D107227" w14:textId="77777777" w:rsidR="00BE53E0" w:rsidRDefault="00BE53E0" w:rsidP="63DC2C97">
      <w:pPr>
        <w:spacing w:afterAutospacing="1" w:line="240" w:lineRule="auto"/>
        <w:rPr>
          <w:b/>
          <w:bCs/>
        </w:rPr>
      </w:pPr>
    </w:p>
    <w:p w14:paraId="20481192" w14:textId="77777777" w:rsidR="00BE53E0" w:rsidRDefault="00BE53E0" w:rsidP="63DC2C97">
      <w:pPr>
        <w:spacing w:afterAutospacing="1" w:line="240" w:lineRule="auto"/>
        <w:rPr>
          <w:b/>
          <w:bCs/>
        </w:rPr>
      </w:pPr>
    </w:p>
    <w:p w14:paraId="4C043D3E" w14:textId="4C660090" w:rsidR="1734270D" w:rsidRDefault="00CF77F7" w:rsidP="00C81F50">
      <w:pPr>
        <w:pStyle w:val="Heading1"/>
        <w:keepNext w:val="0"/>
        <w:keepLines w:val="0"/>
        <w:contextualSpacing/>
        <w:rPr>
          <w:b/>
          <w:bCs/>
          <w:sz w:val="27"/>
          <w:szCs w:val="27"/>
        </w:rPr>
      </w:pPr>
      <w:r w:rsidRPr="63DC2C97">
        <w:t>Sample Student Submission</w:t>
      </w:r>
    </w:p>
    <w:p w14:paraId="3946F32B" w14:textId="63917E78" w:rsidR="3E6C5B35" w:rsidRDefault="3E6C5B35" w:rsidP="00C81F50">
      <w:pPr>
        <w:spacing w:beforeAutospacing="0" w:line="240" w:lineRule="auto"/>
        <w:contextualSpacing/>
      </w:pPr>
    </w:p>
    <w:p w14:paraId="32993CC6" w14:textId="4B6328B6" w:rsidR="0599BCD6" w:rsidRDefault="0599BCD6" w:rsidP="00C81F50">
      <w:pPr>
        <w:spacing w:beforeAutospacing="0" w:line="240" w:lineRule="auto"/>
        <w:contextualSpacing/>
        <w:rPr>
          <w:b/>
          <w:bCs/>
        </w:rPr>
      </w:pPr>
      <w:r w:rsidRPr="27032E6A">
        <w:rPr>
          <w:b/>
          <w:bCs/>
        </w:rPr>
        <w:t xml:space="preserve">Ruby </w:t>
      </w:r>
      <w:r w:rsidR="739A4219" w:rsidRPr="27032E6A">
        <w:rPr>
          <w:b/>
          <w:bCs/>
        </w:rPr>
        <w:t>Drake</w:t>
      </w:r>
    </w:p>
    <w:p w14:paraId="5AEA72AA" w14:textId="1B7CBF52" w:rsidR="05C735E9" w:rsidRDefault="1E627D14" w:rsidP="00C81F50">
      <w:pPr>
        <w:spacing w:beforeAutospacing="0" w:line="240" w:lineRule="auto"/>
        <w:contextualSpacing/>
      </w:pPr>
      <w:r w:rsidRPr="27032E6A">
        <w:rPr>
          <w:b/>
          <w:bCs/>
        </w:rPr>
        <w:t>Market Research Report</w:t>
      </w:r>
      <w:r w:rsidR="00CF77F7">
        <w:br/>
      </w:r>
      <w:r w:rsidR="00CF77F7" w:rsidRPr="27032E6A">
        <w:rPr>
          <w:b/>
          <w:bCs/>
        </w:rPr>
        <w:t>BUS 201: Principles of Marketing</w:t>
      </w:r>
      <w:r w:rsidR="00CF77F7">
        <w:br/>
      </w:r>
    </w:p>
    <w:p w14:paraId="6FFCB990" w14:textId="207B9D00" w:rsidR="05C735E9" w:rsidRDefault="05C735E9" w:rsidP="27032E6A">
      <w:pPr>
        <w:spacing w:beforeAutospacing="0" w:line="276" w:lineRule="auto"/>
      </w:pPr>
      <w:r w:rsidRPr="27032E6A">
        <w:t xml:space="preserve"> </w:t>
      </w:r>
    </w:p>
    <w:p w14:paraId="3B48D468" w14:textId="07C5F210" w:rsidR="05C735E9" w:rsidRDefault="05C735E9" w:rsidP="27032E6A">
      <w:pPr>
        <w:spacing w:beforeAutospacing="0" w:line="276" w:lineRule="auto"/>
      </w:pPr>
      <w:r w:rsidRPr="27032E6A">
        <w:t>Market Research Report: The Plant</w:t>
      </w:r>
      <w:r w:rsidRPr="27032E6A">
        <w:rPr>
          <w:rFonts w:ascii="Cambria Math" w:eastAsia="Cambria Math" w:hAnsi="Cambria Math" w:cs="Cambria Math"/>
        </w:rPr>
        <w:t>‑</w:t>
      </w:r>
      <w:r w:rsidRPr="27032E6A">
        <w:t>Based Meat Industry</w:t>
      </w:r>
    </w:p>
    <w:p w14:paraId="326E4FC3" w14:textId="6FB7D2E9" w:rsidR="05C735E9" w:rsidRDefault="05C735E9" w:rsidP="27032E6A">
      <w:pPr>
        <w:spacing w:beforeAutospacing="0" w:line="276" w:lineRule="auto"/>
      </w:pPr>
      <w:r w:rsidRPr="27032E6A">
        <w:t>Executive Summary</w:t>
      </w:r>
    </w:p>
    <w:p w14:paraId="16D96AEB" w14:textId="49629D5D" w:rsidR="05C735E9" w:rsidRDefault="05C735E9" w:rsidP="27032E6A">
      <w:pPr>
        <w:spacing w:beforeAutospacing="0" w:line="276" w:lineRule="auto"/>
      </w:pPr>
      <w:r w:rsidRPr="27032E6A">
        <w:t>The plant-based meat (PBM) category is at an inflection point. After a surge of trial and investment from 2018–2021, retail sales and unit volumes have softened amid a widening price premium versus conventional meat, persistent taste and texture gaps, and concerns about ultra-processing. Despite near-term headwinds, the long-term opportunity remains meaningful: global forecasts still model double-digit growth if the industry can deliver sensory parity, close the price gap, and reframe messaging around taste, value, and versatility. This report sizes and segments the market, diagnoses the demand headwinds, assesses the competitive and channel landscape, and delivers an actionable strategy centered on sensory R&amp;D, price engineering, blended protein products, channel partnerships, and evidence-backed messaging.</w:t>
      </w:r>
    </w:p>
    <w:p w14:paraId="5A85244A" w14:textId="2C05807D" w:rsidR="05C735E9" w:rsidRDefault="05C735E9" w:rsidP="27032E6A">
      <w:pPr>
        <w:spacing w:beforeAutospacing="0" w:line="276" w:lineRule="auto"/>
      </w:pPr>
      <w:r w:rsidRPr="27032E6A">
        <w:t xml:space="preserve"> </w:t>
      </w:r>
    </w:p>
    <w:p w14:paraId="6187414A" w14:textId="63BF77CC" w:rsidR="05C735E9" w:rsidRDefault="05C735E9" w:rsidP="27032E6A">
      <w:pPr>
        <w:spacing w:beforeAutospacing="0" w:line="276" w:lineRule="auto"/>
      </w:pPr>
      <w:r w:rsidRPr="27032E6A">
        <w:t>1. Introduction &amp; Topic Rationale</w:t>
      </w:r>
    </w:p>
    <w:p w14:paraId="1A1287AA" w14:textId="5C12328F" w:rsidR="05C735E9" w:rsidRDefault="05C735E9" w:rsidP="27032E6A">
      <w:pPr>
        <w:spacing w:beforeAutospacing="0" w:line="276" w:lineRule="auto"/>
      </w:pPr>
      <w:r w:rsidRPr="27032E6A">
        <w:t>Plant-based meat sits at the intersection of multiple secular forces—health, sustainability, animal welfare, and food technology—making it a strategically rich topic for market analysis. The industry’s recent slowdown creates an opportunity to move beyond hype cycles and build a grounded, data-driven strategy that aligns with an 'Exceeds Expectations' rubric: clear framing, robust sourcing, sophisticated analysis, and well-supported recommendations.</w:t>
      </w:r>
    </w:p>
    <w:p w14:paraId="0E143D9F" w14:textId="25750EB1" w:rsidR="05C735E9" w:rsidRDefault="05C735E9" w:rsidP="27032E6A">
      <w:pPr>
        <w:spacing w:beforeAutospacing="0" w:line="276" w:lineRule="auto"/>
      </w:pPr>
      <w:r w:rsidRPr="27032E6A">
        <w:t xml:space="preserve"> </w:t>
      </w:r>
    </w:p>
    <w:p w14:paraId="77F4230F" w14:textId="5C8CF822" w:rsidR="05C735E9" w:rsidRDefault="05C735E9" w:rsidP="27032E6A">
      <w:pPr>
        <w:spacing w:beforeAutospacing="0" w:line="276" w:lineRule="auto"/>
      </w:pPr>
      <w:r w:rsidRPr="27032E6A">
        <w:t>2. Market Definition, Size &amp; Trajectory</w:t>
      </w:r>
    </w:p>
    <w:p w14:paraId="6DC2BA27" w14:textId="57B36F23" w:rsidR="05C735E9" w:rsidRDefault="05C735E9" w:rsidP="27032E6A">
      <w:pPr>
        <w:spacing w:beforeAutospacing="0" w:line="276" w:lineRule="auto"/>
      </w:pPr>
      <w:r w:rsidRPr="27032E6A">
        <w:lastRenderedPageBreak/>
        <w:t>Market definition: Plant-based meat products are designed to replicate the taste, texture, and culinary functionality of conventional meat using plant proteins (e.g., soy, pea, wheat gluten), fats, and flavor systems.</w:t>
      </w:r>
    </w:p>
    <w:p w14:paraId="0A42925C" w14:textId="13A801AE" w:rsidR="05C735E9" w:rsidRDefault="05C735E9" w:rsidP="27032E6A">
      <w:pPr>
        <w:spacing w:beforeAutospacing="0" w:line="276" w:lineRule="auto"/>
      </w:pPr>
      <w:r w:rsidRPr="27032E6A">
        <w:t>U.S. retail share &amp; pricing: Plant-based meat and seafood account for a low single-digit share of packaged meat sales, reflecting both the market’s nascency and room to grow. A sizable average price premium versus conventional meat remains one of the most significant adoption barriers.</w:t>
      </w:r>
    </w:p>
    <w:p w14:paraId="18186AD6" w14:textId="6A40A2FC" w:rsidR="05C735E9" w:rsidRDefault="05C735E9" w:rsidP="27032E6A">
      <w:pPr>
        <w:spacing w:beforeAutospacing="0" w:line="276" w:lineRule="auto"/>
      </w:pPr>
      <w:r w:rsidRPr="27032E6A">
        <w:t>Sales trend: Since the pandemic boom, multiple datasets report declines in both dollar and unit sales in U.S. retail for PBM, indicating that improving taste, price, and positioning are critical to reignite growth.</w:t>
      </w:r>
    </w:p>
    <w:p w14:paraId="1D12CC44" w14:textId="364EEAF6" w:rsidR="05C735E9" w:rsidRDefault="05C735E9" w:rsidP="27032E6A">
      <w:pPr>
        <w:spacing w:beforeAutospacing="0" w:line="276" w:lineRule="auto"/>
      </w:pPr>
      <w:r w:rsidRPr="27032E6A">
        <w:t>Global outlook: Despite U.S. softness, many analysts still forecast double</w:t>
      </w:r>
      <w:r w:rsidRPr="27032E6A">
        <w:rPr>
          <w:rFonts w:ascii="Cambria Math" w:eastAsia="Cambria Math" w:hAnsi="Cambria Math" w:cs="Cambria Math"/>
        </w:rPr>
        <w:t>‑</w:t>
      </w:r>
      <w:r w:rsidRPr="27032E6A">
        <w:t>digit CAGR through 2030, driven by innovation, geographic expansion, and foodservice partnerships. These projections must be tempered with realistic execution plans.</w:t>
      </w:r>
    </w:p>
    <w:p w14:paraId="10BDA10C" w14:textId="5EE773B4" w:rsidR="05C735E9" w:rsidRDefault="05C735E9" w:rsidP="27032E6A">
      <w:pPr>
        <w:spacing w:beforeAutospacing="0" w:line="276" w:lineRule="auto"/>
      </w:pPr>
      <w:r w:rsidRPr="27032E6A">
        <w:t>Company lens: Public-company reporting (e.g., Beyond Meat) reveals continued pressure on revenue and margins, reinforcing the need for category-wide price, taste, and channel interventions.</w:t>
      </w:r>
    </w:p>
    <w:p w14:paraId="329D394F" w14:textId="58BAAC8C" w:rsidR="05C735E9" w:rsidRDefault="05C735E9" w:rsidP="27032E6A">
      <w:pPr>
        <w:spacing w:beforeAutospacing="0" w:line="276" w:lineRule="auto"/>
      </w:pPr>
      <w:r w:rsidRPr="27032E6A">
        <w:t xml:space="preserve"> </w:t>
      </w:r>
    </w:p>
    <w:p w14:paraId="5A620EC1" w14:textId="71459488" w:rsidR="05C735E9" w:rsidRDefault="05C735E9" w:rsidP="27032E6A">
      <w:pPr>
        <w:spacing w:beforeAutospacing="0" w:line="276" w:lineRule="auto"/>
      </w:pPr>
      <w:r w:rsidRPr="27032E6A">
        <w:t>3. Demand Drivers &amp; Consumer Perceptions</w:t>
      </w:r>
    </w:p>
    <w:p w14:paraId="79CAE700" w14:textId="51C3159F" w:rsidR="05C735E9" w:rsidRDefault="05C735E9" w:rsidP="27032E6A">
      <w:pPr>
        <w:spacing w:beforeAutospacing="0" w:line="276" w:lineRule="auto"/>
      </w:pPr>
      <w:r w:rsidRPr="27032E6A">
        <w:t>Primary trial drivers remain health and environmental benefits. However, the main barriers to broader adoption are taste/texture gaps and price premiums. Academic research, syndicated surveys, and retail performance data consistently echo these pain points.</w:t>
      </w:r>
    </w:p>
    <w:p w14:paraId="0DF94B0E" w14:textId="2EF0E4A6" w:rsidR="05C735E9" w:rsidRDefault="05C735E9" w:rsidP="27032E6A">
      <w:pPr>
        <w:spacing w:beforeAutospacing="0" w:line="276" w:lineRule="auto"/>
      </w:pPr>
      <w:r w:rsidRPr="27032E6A">
        <w:t>Critically, many lapsed consumers say they would return if products achieved taste/texture parity and reduced the price gap. This makes targeted investments in sensory performance and cost-down engineering highly leverageable.</w:t>
      </w:r>
    </w:p>
    <w:p w14:paraId="382C8D9B" w14:textId="64B9BB46" w:rsidR="05C735E9" w:rsidRDefault="05C735E9" w:rsidP="27032E6A">
      <w:pPr>
        <w:spacing w:beforeAutospacing="0" w:line="276" w:lineRule="auto"/>
      </w:pPr>
      <w:r w:rsidRPr="27032E6A">
        <w:t>Blended or hybrid proteins (combining animal and plant proteins) are emerging as a pragmatic bridge to the mainstream, allowing improved taste and price while reducing the environmental and nutritional footprint of conventional meat.</w:t>
      </w:r>
    </w:p>
    <w:p w14:paraId="4C2A0C0E" w14:textId="4994A9C9" w:rsidR="05C735E9" w:rsidRDefault="05C735E9" w:rsidP="27032E6A">
      <w:pPr>
        <w:spacing w:beforeAutospacing="0" w:line="276" w:lineRule="auto"/>
      </w:pPr>
      <w:r w:rsidRPr="27032E6A">
        <w:t xml:space="preserve"> </w:t>
      </w:r>
    </w:p>
    <w:p w14:paraId="7A5F81E2" w14:textId="05BEA003" w:rsidR="05C735E9" w:rsidRDefault="05C735E9" w:rsidP="27032E6A">
      <w:pPr>
        <w:spacing w:beforeAutospacing="0" w:line="276" w:lineRule="auto"/>
      </w:pPr>
      <w:r w:rsidRPr="27032E6A">
        <w:t>4. Competitive Landscape</w:t>
      </w:r>
    </w:p>
    <w:p w14:paraId="1F6FBCFD" w14:textId="78E635D6" w:rsidR="05C735E9" w:rsidRDefault="05C735E9" w:rsidP="27032E6A">
      <w:pPr>
        <w:spacing w:beforeAutospacing="0" w:line="276" w:lineRule="auto"/>
      </w:pPr>
      <w:r w:rsidRPr="27032E6A">
        <w:t>Pure-play leaders such as Beyond Meat and Impossible Foods are doubling down on sensory parity, cleaner labels, and price actions, yet face shrinking retail space and investor scrutiny. Incumbent meat companies (e.g., Tyson, JBS, Maple Leaf) are building multi-protein portfolios—including fully plant-based and blended lines—leveraging their scale in sourcing, manufacturing, and distribution.</w:t>
      </w:r>
    </w:p>
    <w:p w14:paraId="765D2FFE" w14:textId="7A4248CB" w:rsidR="05C735E9" w:rsidRDefault="05C735E9" w:rsidP="27032E6A">
      <w:pPr>
        <w:spacing w:beforeAutospacing="0" w:line="276" w:lineRule="auto"/>
      </w:pPr>
      <w:r w:rsidRPr="27032E6A">
        <w:t>Private-label offerings and the natural channel are important battlegrounds. Private labels may compress price premiums, pressuring branded players to differentiate on sensory quality and nutrition, while the natural channel remains an important environment for early adopters.</w:t>
      </w:r>
    </w:p>
    <w:p w14:paraId="414AF795" w14:textId="785B87CC" w:rsidR="05C735E9" w:rsidRDefault="05C735E9" w:rsidP="27032E6A">
      <w:pPr>
        <w:spacing w:beforeAutospacing="0" w:line="276" w:lineRule="auto"/>
      </w:pPr>
      <w:r w:rsidRPr="27032E6A">
        <w:t xml:space="preserve"> </w:t>
      </w:r>
    </w:p>
    <w:p w14:paraId="317AB433" w14:textId="43DE6049" w:rsidR="05C735E9" w:rsidRDefault="05C735E9" w:rsidP="27032E6A">
      <w:pPr>
        <w:spacing w:beforeAutospacing="0" w:line="276" w:lineRule="auto"/>
      </w:pPr>
      <w:r w:rsidRPr="27032E6A">
        <w:t xml:space="preserve">5. Industry Structure: Porter’s Five Forces </w:t>
      </w:r>
    </w:p>
    <w:p w14:paraId="2A84D91D" w14:textId="3F2BCCEE" w:rsidR="05C735E9" w:rsidRDefault="05C735E9" w:rsidP="27032E6A">
      <w:pPr>
        <w:spacing w:beforeAutospacing="0" w:line="276" w:lineRule="auto"/>
      </w:pPr>
      <w:r w:rsidRPr="27032E6A">
        <w:t>Threat of new entrants – Moderate: Co</w:t>
      </w:r>
      <w:r w:rsidRPr="27032E6A">
        <w:rPr>
          <w:rFonts w:ascii="Cambria Math" w:eastAsia="Cambria Math" w:hAnsi="Cambria Math" w:cs="Cambria Math"/>
        </w:rPr>
        <w:t>‑</w:t>
      </w:r>
      <w:r w:rsidRPr="27032E6A">
        <w:t xml:space="preserve">manufacturing and ingredient availability lower </w:t>
      </w:r>
      <w:proofErr w:type="gramStart"/>
      <w:r w:rsidRPr="27032E6A">
        <w:t>barriers, but</w:t>
      </w:r>
      <w:proofErr w:type="gramEnd"/>
      <w:r w:rsidRPr="27032E6A">
        <w:t xml:space="preserve"> achieving true sensory parity and scale economics is difficult.</w:t>
      </w:r>
    </w:p>
    <w:p w14:paraId="74A2A52F" w14:textId="60671ED1" w:rsidR="05C735E9" w:rsidRDefault="05C735E9" w:rsidP="27032E6A">
      <w:pPr>
        <w:spacing w:beforeAutospacing="0" w:line="276" w:lineRule="auto"/>
      </w:pPr>
      <w:r w:rsidRPr="27032E6A">
        <w:t>Supplier power – Moderate/High: Concentration among key ingredients (pea/soy isolates, specialty fats, flavors) can pressure costs, especially during commodity shocks.</w:t>
      </w:r>
    </w:p>
    <w:p w14:paraId="72234527" w14:textId="3844D7E9" w:rsidR="05C735E9" w:rsidRDefault="05C735E9" w:rsidP="27032E6A">
      <w:pPr>
        <w:spacing w:beforeAutospacing="0" w:line="276" w:lineRule="auto"/>
      </w:pPr>
      <w:r w:rsidRPr="27032E6A">
        <w:lastRenderedPageBreak/>
        <w:t>Buyer power – High: Major retailers and QSR chains wield significant leverage; with category velocity slowing, slotting, promotions, and price expectations are intensifying.</w:t>
      </w:r>
    </w:p>
    <w:p w14:paraId="6FE8864F" w14:textId="2E213C0E" w:rsidR="05C735E9" w:rsidRDefault="05C735E9" w:rsidP="27032E6A">
      <w:pPr>
        <w:spacing w:beforeAutospacing="0" w:line="276" w:lineRule="auto"/>
      </w:pPr>
      <w:r w:rsidRPr="27032E6A">
        <w:t>Threat of substitutes – Very High: Conventional meat remains the default, and blended and cultivated meat/fats could further fragment demand over time.</w:t>
      </w:r>
    </w:p>
    <w:p w14:paraId="5C99101E" w14:textId="704D969E" w:rsidR="05C735E9" w:rsidRDefault="05C735E9" w:rsidP="27032E6A">
      <w:pPr>
        <w:spacing w:beforeAutospacing="0" w:line="276" w:lineRule="auto"/>
      </w:pPr>
      <w:r w:rsidRPr="27032E6A">
        <w:t>Competitive rivalry – High: Overcrowded shelves, heavy promotional dependence, and feature parity intensify competition—necessitating breakthroughs in taste/texture, price, and nutrition differentiation.</w:t>
      </w:r>
    </w:p>
    <w:p w14:paraId="00C42CBB" w14:textId="777F5FF0" w:rsidR="05C735E9" w:rsidRDefault="05C735E9" w:rsidP="27032E6A">
      <w:pPr>
        <w:spacing w:beforeAutospacing="0" w:line="276" w:lineRule="auto"/>
      </w:pPr>
      <w:r w:rsidRPr="27032E6A">
        <w:t xml:space="preserve"> </w:t>
      </w:r>
    </w:p>
    <w:p w14:paraId="31AA3546" w14:textId="69CF9019" w:rsidR="05C735E9" w:rsidRDefault="05C735E9" w:rsidP="27032E6A">
      <w:pPr>
        <w:spacing w:beforeAutospacing="0" w:line="276" w:lineRule="auto"/>
      </w:pPr>
      <w:r w:rsidRPr="27032E6A">
        <w:t>6. Key Challenges</w:t>
      </w:r>
    </w:p>
    <w:p w14:paraId="786114DE" w14:textId="5D9404F8" w:rsidR="05C735E9" w:rsidRDefault="05C735E9" w:rsidP="27032E6A">
      <w:pPr>
        <w:spacing w:beforeAutospacing="0" w:line="276" w:lineRule="auto"/>
      </w:pPr>
      <w:r w:rsidRPr="27032E6A">
        <w:t>Price Parity Gap: A sizable price premium versus conventional meat directly correlates with slowing demand. Ingredient optimization, co</w:t>
      </w:r>
      <w:r w:rsidRPr="27032E6A">
        <w:rPr>
          <w:rFonts w:ascii="Cambria Math" w:eastAsia="Cambria Math" w:hAnsi="Cambria Math" w:cs="Cambria Math"/>
        </w:rPr>
        <w:t>‑</w:t>
      </w:r>
      <w:r w:rsidRPr="27032E6A">
        <w:t>manufacturing, and supply-chain partnerships are essential to narrow the gap.</w:t>
      </w:r>
    </w:p>
    <w:p w14:paraId="3520CF16" w14:textId="321043AB" w:rsidR="05C735E9" w:rsidRDefault="05C735E9" w:rsidP="27032E6A">
      <w:pPr>
        <w:spacing w:beforeAutospacing="0" w:line="276" w:lineRule="auto"/>
      </w:pPr>
      <w:r w:rsidRPr="27032E6A">
        <w:t>Sensory &amp; Processing Perceptions: Even as some products achieve strong blind-test results, labeling effects and concerns about ultra-processing diminish purchase intent. Clean-label reformulations and transparent, evidence-based messaging can mitigate this.</w:t>
      </w:r>
    </w:p>
    <w:p w14:paraId="76D1E212" w14:textId="5C53ECD5" w:rsidR="05C735E9" w:rsidRDefault="05C735E9" w:rsidP="27032E6A">
      <w:pPr>
        <w:spacing w:beforeAutospacing="0" w:line="276" w:lineRule="auto"/>
      </w:pPr>
      <w:r w:rsidRPr="27032E6A">
        <w:t xml:space="preserve">Velocity &amp; Shelf Economics: Slower turns raise the bar for retailer support and promotions, heightening the risk of </w:t>
      </w:r>
      <w:r w:rsidR="00C81F50" w:rsidRPr="27032E6A">
        <w:t>delisting</w:t>
      </w:r>
      <w:r w:rsidRPr="27032E6A">
        <w:t>.</w:t>
      </w:r>
    </w:p>
    <w:p w14:paraId="581E476B" w14:textId="5D205C36" w:rsidR="05C735E9" w:rsidRDefault="05C735E9" w:rsidP="27032E6A">
      <w:pPr>
        <w:spacing w:beforeAutospacing="0" w:line="276" w:lineRule="auto"/>
      </w:pPr>
      <w:r w:rsidRPr="27032E6A">
        <w:t>Fragmented Innovation Bets: Startups pursue whole-cuts, mycoprotein, and precision fermentation as funding tightens, complicating scale-up and consumer education.</w:t>
      </w:r>
    </w:p>
    <w:p w14:paraId="6565FAD7" w14:textId="017898DF" w:rsidR="05C735E9" w:rsidRDefault="05C735E9" w:rsidP="27032E6A">
      <w:pPr>
        <w:spacing w:beforeAutospacing="0" w:line="276" w:lineRule="auto"/>
      </w:pPr>
      <w:r w:rsidRPr="27032E6A">
        <w:t xml:space="preserve"> </w:t>
      </w:r>
    </w:p>
    <w:p w14:paraId="30EA9648" w14:textId="487DB7B4" w:rsidR="05C735E9" w:rsidRDefault="05C735E9" w:rsidP="27032E6A">
      <w:pPr>
        <w:spacing w:beforeAutospacing="0" w:line="276" w:lineRule="auto"/>
      </w:pPr>
      <w:r w:rsidRPr="27032E6A">
        <w:t>7. Opportunities</w:t>
      </w:r>
    </w:p>
    <w:p w14:paraId="6B57C5DC" w14:textId="186ADC8F" w:rsidR="05C735E9" w:rsidRDefault="05C735E9" w:rsidP="27032E6A">
      <w:pPr>
        <w:spacing w:beforeAutospacing="0" w:line="276" w:lineRule="auto"/>
      </w:pPr>
      <w:r w:rsidRPr="27032E6A">
        <w:t>Blended Products as a Scale Bridge: With strong reported consumer interest, blended SKUs can lower costs, improve taste/texture, and expand household penetration. Position them as 'enhanced meat' rather than 'less meat.'</w:t>
      </w:r>
    </w:p>
    <w:p w14:paraId="223241BD" w14:textId="5802296C" w:rsidR="05C735E9" w:rsidRDefault="05C735E9" w:rsidP="27032E6A">
      <w:pPr>
        <w:spacing w:beforeAutospacing="0" w:line="276" w:lineRule="auto"/>
      </w:pPr>
      <w:r w:rsidRPr="27032E6A">
        <w:t>Aggressive Price Engineering: Diversify protein inputs, leverage co</w:t>
      </w:r>
      <w:r w:rsidRPr="27032E6A">
        <w:rPr>
          <w:rFonts w:ascii="Cambria Math" w:eastAsia="Cambria Math" w:hAnsi="Cambria Math" w:cs="Cambria Math"/>
        </w:rPr>
        <w:t>‑</w:t>
      </w:r>
      <w:r w:rsidRPr="27032E6A">
        <w:t>manufacturing, and design promotion calendars to hit critical price points (e.g., &lt;$5 per burger pack on deal).</w:t>
      </w:r>
    </w:p>
    <w:p w14:paraId="732780D4" w14:textId="3B626759" w:rsidR="05C735E9" w:rsidRDefault="05C735E9" w:rsidP="27032E6A">
      <w:pPr>
        <w:spacing w:beforeAutospacing="0" w:line="276" w:lineRule="auto"/>
      </w:pPr>
      <w:r w:rsidRPr="27032E6A">
        <w:t>Sensory Breakthroughs &amp; Clean Labels: Invest in next</w:t>
      </w:r>
      <w:r w:rsidRPr="27032E6A">
        <w:rPr>
          <w:rFonts w:ascii="Cambria Math" w:eastAsia="Cambria Math" w:hAnsi="Cambria Math" w:cs="Cambria Math"/>
        </w:rPr>
        <w:t>‑</w:t>
      </w:r>
      <w:r w:rsidRPr="27032E6A">
        <w:t>gen fats (precision</w:t>
      </w:r>
      <w:r w:rsidRPr="27032E6A">
        <w:rPr>
          <w:rFonts w:ascii="Cambria Math" w:eastAsia="Cambria Math" w:hAnsi="Cambria Math" w:cs="Cambria Math"/>
        </w:rPr>
        <w:t>‑</w:t>
      </w:r>
      <w:r w:rsidRPr="27032E6A">
        <w:t>fermented, cultivated) and improved texturization; simplify ingredient decks without sacrificing performance.</w:t>
      </w:r>
    </w:p>
    <w:p w14:paraId="0E91F5D2" w14:textId="0CC85F2D" w:rsidR="05C735E9" w:rsidRDefault="05C735E9" w:rsidP="27032E6A">
      <w:pPr>
        <w:spacing w:beforeAutospacing="0" w:line="276" w:lineRule="auto"/>
      </w:pPr>
      <w:r w:rsidRPr="27032E6A">
        <w:t>Foodservice &amp; QSR Partnerships: Restaurants can drive trial at scale, control preparation, and present products in their best form, improving first impressions and repeat intent.</w:t>
      </w:r>
    </w:p>
    <w:p w14:paraId="62F9BF00" w14:textId="5ED0B8AF" w:rsidR="05C735E9" w:rsidRDefault="05C735E9" w:rsidP="27032E6A">
      <w:pPr>
        <w:spacing w:beforeAutospacing="0" w:line="276" w:lineRule="auto"/>
      </w:pPr>
      <w:r w:rsidRPr="27032E6A">
        <w:t>Behavioral Science</w:t>
      </w:r>
      <w:r w:rsidRPr="27032E6A">
        <w:rPr>
          <w:rFonts w:ascii="Cambria Math" w:eastAsia="Cambria Math" w:hAnsi="Cambria Math" w:cs="Cambria Math"/>
        </w:rPr>
        <w:t>‑</w:t>
      </w:r>
      <w:r w:rsidRPr="27032E6A">
        <w:t>Informed Marketing: Blind tests, default swaps, and descriptive naming (e.g., 'smoky, char</w:t>
      </w:r>
      <w:r w:rsidRPr="27032E6A">
        <w:rPr>
          <w:rFonts w:ascii="Cambria Math" w:eastAsia="Cambria Math" w:hAnsi="Cambria Math" w:cs="Cambria Math"/>
        </w:rPr>
        <w:t>‑</w:t>
      </w:r>
      <w:r w:rsidRPr="27032E6A">
        <w:t>grilled burger') can reduce bias and anchor on flavor.</w:t>
      </w:r>
    </w:p>
    <w:p w14:paraId="405AF68D" w14:textId="3DD19183" w:rsidR="05C735E9" w:rsidRDefault="05C735E9" w:rsidP="27032E6A">
      <w:pPr>
        <w:spacing w:beforeAutospacing="0" w:line="276" w:lineRule="auto"/>
      </w:pPr>
      <w:r w:rsidRPr="27032E6A">
        <w:t xml:space="preserve"> </w:t>
      </w:r>
    </w:p>
    <w:p w14:paraId="7BDC9444" w14:textId="20161554" w:rsidR="05C735E9" w:rsidRDefault="05C735E9" w:rsidP="27032E6A">
      <w:pPr>
        <w:spacing w:beforeAutospacing="0" w:line="276" w:lineRule="auto"/>
      </w:pPr>
      <w:r w:rsidRPr="27032E6A">
        <w:t>8. Scenario Planning (U.S. Retail PBM Outlook, 2025–2030)</w:t>
      </w:r>
    </w:p>
    <w:p w14:paraId="33CF2529" w14:textId="76C7BE76" w:rsidR="05C735E9" w:rsidRDefault="05C735E9" w:rsidP="27032E6A">
      <w:pPr>
        <w:spacing w:beforeAutospacing="0" w:line="276" w:lineRule="auto"/>
      </w:pPr>
      <w:r w:rsidRPr="27032E6A">
        <w:t>Base case: Low single-digit CAGR (1–3%) as modest price compression and sensory gains stabilize declines; share holds around ~1–2% of packaged meat. Execution risk remains high.</w:t>
      </w:r>
    </w:p>
    <w:p w14:paraId="691920EC" w14:textId="05565F83" w:rsidR="05C735E9" w:rsidRDefault="05C735E9" w:rsidP="27032E6A">
      <w:pPr>
        <w:spacing w:beforeAutospacing="0" w:line="276" w:lineRule="auto"/>
      </w:pPr>
      <w:r w:rsidRPr="27032E6A">
        <w:t>Upside case: Successful price parity moves, blended adoption, and clean</w:t>
      </w:r>
      <w:r w:rsidRPr="27032E6A">
        <w:rPr>
          <w:rFonts w:ascii="Cambria Math" w:eastAsia="Cambria Math" w:hAnsi="Cambria Math" w:cs="Cambria Math"/>
        </w:rPr>
        <w:t>‑</w:t>
      </w:r>
      <w:r w:rsidRPr="27032E6A">
        <w:t>label innovations unlock 5–8% CAGR, with share nearing 3%+ of packaged meat.</w:t>
      </w:r>
    </w:p>
    <w:p w14:paraId="5F33D3F3" w14:textId="3D5DC8A2" w:rsidR="05C735E9" w:rsidRDefault="05C735E9" w:rsidP="27032E6A">
      <w:pPr>
        <w:spacing w:beforeAutospacing="0" w:line="276" w:lineRule="auto"/>
      </w:pPr>
      <w:r w:rsidRPr="27032E6A">
        <w:t>Downside case: Continued hefty price premiums, retailer rationalization, and anti</w:t>
      </w:r>
      <w:r w:rsidRPr="27032E6A">
        <w:rPr>
          <w:rFonts w:ascii="Cambria Math" w:eastAsia="Cambria Math" w:hAnsi="Cambria Math" w:cs="Cambria Math"/>
        </w:rPr>
        <w:t>‑</w:t>
      </w:r>
      <w:r w:rsidRPr="27032E6A">
        <w:t>processing sentiment drive flat/negative growth and share erosion.</w:t>
      </w:r>
    </w:p>
    <w:p w14:paraId="6FEC4051" w14:textId="1B964CBD" w:rsidR="05C735E9" w:rsidRDefault="05C735E9" w:rsidP="27032E6A">
      <w:pPr>
        <w:spacing w:beforeAutospacing="0" w:line="276" w:lineRule="auto"/>
      </w:pPr>
      <w:r w:rsidRPr="27032E6A">
        <w:t xml:space="preserve"> </w:t>
      </w:r>
    </w:p>
    <w:p w14:paraId="69B72184" w14:textId="41DF4512" w:rsidR="05C735E9" w:rsidRDefault="05C735E9" w:rsidP="27032E6A">
      <w:pPr>
        <w:spacing w:beforeAutospacing="0" w:line="276" w:lineRule="auto"/>
      </w:pPr>
      <w:r w:rsidRPr="27032E6A">
        <w:lastRenderedPageBreak/>
        <w:t>9. Strategic Recommendations</w:t>
      </w:r>
    </w:p>
    <w:p w14:paraId="06E6BF9C" w14:textId="3A4E7587" w:rsidR="05C735E9" w:rsidRDefault="05C735E9" w:rsidP="27032E6A">
      <w:pPr>
        <w:spacing w:beforeAutospacing="0" w:line="276" w:lineRule="auto"/>
      </w:pPr>
      <w:r w:rsidRPr="27032E6A">
        <w:t>Close the Price Gap Fast (Target ≤20% premium within 24 months)</w:t>
      </w:r>
    </w:p>
    <w:p w14:paraId="7E594632" w14:textId="6365B0E2" w:rsidR="05C735E9" w:rsidRDefault="05C735E9" w:rsidP="27032E6A">
      <w:pPr>
        <w:spacing w:beforeAutospacing="0" w:line="276" w:lineRule="auto"/>
      </w:pPr>
      <w:r w:rsidRPr="27032E6A">
        <w:t xml:space="preserve">   • Reformulate to lower-cost proteins; negotiate longer-term supply contracts; pursue co</w:t>
      </w:r>
      <w:r w:rsidRPr="27032E6A">
        <w:rPr>
          <w:rFonts w:ascii="Cambria Math" w:eastAsia="Cambria Math" w:hAnsi="Cambria Math" w:cs="Cambria Math"/>
        </w:rPr>
        <w:t>‑</w:t>
      </w:r>
      <w:r w:rsidRPr="27032E6A">
        <w:t>manufacturing for scale; and engineer promotion calendars to hit key price thresholds.</w:t>
      </w:r>
    </w:p>
    <w:p w14:paraId="3D7CD035" w14:textId="6E096683" w:rsidR="05C735E9" w:rsidRDefault="05C735E9" w:rsidP="27032E6A">
      <w:pPr>
        <w:spacing w:beforeAutospacing="0" w:line="276" w:lineRule="auto"/>
      </w:pPr>
      <w:r w:rsidRPr="27032E6A">
        <w:t xml:space="preserve">   • KPIs: Price premium vs. conventional meat; promo lift and elasticity; gross margin trajectory.</w:t>
      </w:r>
    </w:p>
    <w:p w14:paraId="17357732" w14:textId="7EC6E15B" w:rsidR="05C735E9" w:rsidRDefault="05C735E9" w:rsidP="27032E6A">
      <w:pPr>
        <w:spacing w:beforeAutospacing="0" w:line="276" w:lineRule="auto"/>
      </w:pPr>
      <w:r w:rsidRPr="27032E6A">
        <w:t>Invest Heavily in Sensory R&amp;D &amp; Clean Labels</w:t>
      </w:r>
    </w:p>
    <w:p w14:paraId="3F1A399C" w14:textId="6B2AB27C" w:rsidR="05C735E9" w:rsidRDefault="05C735E9" w:rsidP="27032E6A">
      <w:pPr>
        <w:spacing w:beforeAutospacing="0" w:line="276" w:lineRule="auto"/>
      </w:pPr>
      <w:r w:rsidRPr="27032E6A">
        <w:t xml:space="preserve">   • Incorporate next</w:t>
      </w:r>
      <w:r w:rsidRPr="27032E6A">
        <w:rPr>
          <w:rFonts w:ascii="Cambria Math" w:eastAsia="Cambria Math" w:hAnsi="Cambria Math" w:cs="Cambria Math"/>
        </w:rPr>
        <w:t>‑</w:t>
      </w:r>
      <w:r w:rsidRPr="27032E6A">
        <w:t>gen fats and improved texturization; simplify ingredient lists and highlight 'kitchen recognizable' components. Validate via independently run blind taste tests and publish the findings.</w:t>
      </w:r>
    </w:p>
    <w:p w14:paraId="00505EA0" w14:textId="1533D45E" w:rsidR="05C735E9" w:rsidRDefault="05C735E9" w:rsidP="27032E6A">
      <w:pPr>
        <w:spacing w:beforeAutospacing="0" w:line="276" w:lineRule="auto"/>
      </w:pPr>
      <w:r w:rsidRPr="27032E6A">
        <w:t>Launch a Blended Line to Re</w:t>
      </w:r>
      <w:r w:rsidRPr="27032E6A">
        <w:rPr>
          <w:rFonts w:ascii="Cambria Math" w:eastAsia="Cambria Math" w:hAnsi="Cambria Math" w:cs="Cambria Math"/>
        </w:rPr>
        <w:t>‑</w:t>
      </w:r>
      <w:r w:rsidRPr="27032E6A">
        <w:t>Engage the Mass Market</w:t>
      </w:r>
    </w:p>
    <w:p w14:paraId="14537A01" w14:textId="360A0E60" w:rsidR="05C735E9" w:rsidRDefault="05C735E9" w:rsidP="27032E6A">
      <w:pPr>
        <w:spacing w:beforeAutospacing="0" w:line="276" w:lineRule="auto"/>
      </w:pPr>
      <w:r w:rsidRPr="27032E6A">
        <w:t xml:space="preserve">   • Start with 30–50% plant inclusion in burgers and nuggets; emphasize flavor, juiciness, and nutrition (e.g., lower saturated fat). Pilot in QSR/foodservice to prove demand ahead of broad retail rollout.</w:t>
      </w:r>
    </w:p>
    <w:p w14:paraId="14F5987D" w14:textId="76197531" w:rsidR="05C735E9" w:rsidRDefault="05C735E9" w:rsidP="27032E6A">
      <w:pPr>
        <w:spacing w:beforeAutospacing="0" w:line="276" w:lineRule="auto"/>
      </w:pPr>
      <w:r w:rsidRPr="27032E6A">
        <w:t xml:space="preserve">   • KPIs: Incremental household penetration; blended line velocity vs. full PBM SKUs.</w:t>
      </w:r>
    </w:p>
    <w:p w14:paraId="4925C1E4" w14:textId="68C6B90A" w:rsidR="05C735E9" w:rsidRDefault="05C735E9" w:rsidP="27032E6A">
      <w:pPr>
        <w:spacing w:beforeAutospacing="0" w:line="276" w:lineRule="auto"/>
      </w:pPr>
      <w:r w:rsidRPr="27032E6A">
        <w:t>Reframe Messaging Around Taste, Value, and Culinary Use—Not Just Health/Planet</w:t>
      </w:r>
    </w:p>
    <w:p w14:paraId="38F44484" w14:textId="57809376" w:rsidR="05C735E9" w:rsidRDefault="05C735E9" w:rsidP="27032E6A">
      <w:pPr>
        <w:spacing w:beforeAutospacing="0" w:line="276" w:lineRule="auto"/>
      </w:pPr>
      <w:r w:rsidRPr="27032E6A">
        <w:t xml:space="preserve">   • Lead with taste-forward, cuisine-specific claims, then reinforce value (family packs, meal prep) and versatility. Use behavioral design (menu placement, defaults) to nudge trial.</w:t>
      </w:r>
    </w:p>
    <w:p w14:paraId="16899ECB" w14:textId="19FBB956" w:rsidR="05C735E9" w:rsidRDefault="05C735E9" w:rsidP="27032E6A">
      <w:pPr>
        <w:spacing w:beforeAutospacing="0" w:line="276" w:lineRule="auto"/>
      </w:pPr>
      <w:r w:rsidRPr="27032E6A">
        <w:t>Focus on High-Leverage Channels &amp; Retailer Partnerships</w:t>
      </w:r>
    </w:p>
    <w:p w14:paraId="7D914F4E" w14:textId="3C841EA4" w:rsidR="05C735E9" w:rsidRDefault="05C735E9" w:rsidP="27032E6A">
      <w:pPr>
        <w:spacing w:beforeAutospacing="0" w:line="276" w:lineRule="auto"/>
      </w:pPr>
      <w:r w:rsidRPr="27032E6A">
        <w:t xml:space="preserve">   • Double down on natural and club channels where share is higher or value packs can hit price targets; co</w:t>
      </w:r>
      <w:r w:rsidRPr="27032E6A">
        <w:rPr>
          <w:rFonts w:ascii="Cambria Math" w:eastAsia="Cambria Math" w:hAnsi="Cambria Math" w:cs="Cambria Math"/>
        </w:rPr>
        <w:t>‑</w:t>
      </w:r>
      <w:r w:rsidRPr="27032E6A">
        <w:t>fund EDLP and TPR strategies; provide category management insights to secure facings.</w:t>
      </w:r>
    </w:p>
    <w:p w14:paraId="3138284E" w14:textId="4A2C3A88" w:rsidR="05C735E9" w:rsidRDefault="05C735E9" w:rsidP="27032E6A">
      <w:pPr>
        <w:spacing w:beforeAutospacing="0" w:line="276" w:lineRule="auto"/>
      </w:pPr>
      <w:r w:rsidRPr="27032E6A">
        <w:t xml:space="preserve">   • KPIs: Distribution points retained/expanded; promo ROI; category dollar and unit share.</w:t>
      </w:r>
    </w:p>
    <w:p w14:paraId="3383514F" w14:textId="40011031" w:rsidR="05C735E9" w:rsidRDefault="05C735E9" w:rsidP="27032E6A">
      <w:pPr>
        <w:spacing w:beforeAutospacing="0" w:line="276" w:lineRule="auto"/>
      </w:pPr>
      <w:r w:rsidRPr="27032E6A">
        <w:t xml:space="preserve"> </w:t>
      </w:r>
    </w:p>
    <w:p w14:paraId="323363F9" w14:textId="62F87338" w:rsidR="05C735E9" w:rsidRDefault="05C735E9" w:rsidP="27032E6A">
      <w:pPr>
        <w:spacing w:beforeAutospacing="0" w:line="276" w:lineRule="auto"/>
      </w:pPr>
      <w:r w:rsidRPr="27032E6A">
        <w:t>10. Implementation Roadmap (12–24 Months)</w:t>
      </w:r>
    </w:p>
    <w:p w14:paraId="7359275F" w14:textId="7C86FC5D" w:rsidR="05C735E9" w:rsidRDefault="05C735E9" w:rsidP="27032E6A">
      <w:pPr>
        <w:spacing w:beforeAutospacing="0" w:line="276" w:lineRule="auto"/>
      </w:pPr>
      <w:r w:rsidRPr="27032E6A">
        <w:t>Quarter 1–2: Cost engineering sprints; supplier renegotiations; initiate blended product pilots; design and run large-scale blind taste trials.</w:t>
      </w:r>
    </w:p>
    <w:p w14:paraId="6BBA9E0A" w14:textId="3DC2FA1B" w:rsidR="05C735E9" w:rsidRDefault="05C735E9" w:rsidP="27032E6A">
      <w:pPr>
        <w:spacing w:beforeAutospacing="0" w:line="276" w:lineRule="auto"/>
      </w:pPr>
      <w:r w:rsidRPr="27032E6A">
        <w:t>Quarter 3–4: Foodservice rollouts; retail price tests with EDLP/TPR blends; publish taste test findings; launch clean</w:t>
      </w:r>
      <w:r w:rsidRPr="27032E6A">
        <w:rPr>
          <w:rFonts w:ascii="Cambria Math" w:eastAsia="Cambria Math" w:hAnsi="Cambria Math" w:cs="Cambria Math"/>
        </w:rPr>
        <w:t>‑</w:t>
      </w:r>
      <w:r w:rsidRPr="27032E6A">
        <w:t>label reformulations in top SKUs.</w:t>
      </w:r>
    </w:p>
    <w:p w14:paraId="2DDD77FB" w14:textId="0586E4AA" w:rsidR="05C735E9" w:rsidRDefault="05C735E9" w:rsidP="27032E6A">
      <w:pPr>
        <w:spacing w:beforeAutospacing="0" w:line="276" w:lineRule="auto"/>
      </w:pPr>
      <w:r w:rsidRPr="27032E6A">
        <w:t>Year 2: Broaden blended portfolio; scale successful reformulations; tighten promotion strategy to protect margins as price parity narrows; measure repeat, household penetration, and perception shifts quarterly.</w:t>
      </w:r>
    </w:p>
    <w:p w14:paraId="1350AAE1" w14:textId="3D200780" w:rsidR="05C735E9" w:rsidRDefault="05C735E9" w:rsidP="27032E6A">
      <w:pPr>
        <w:spacing w:beforeAutospacing="0" w:line="276" w:lineRule="auto"/>
      </w:pPr>
      <w:r w:rsidRPr="27032E6A">
        <w:t xml:space="preserve"> </w:t>
      </w:r>
    </w:p>
    <w:p w14:paraId="5B9EEBBF" w14:textId="1CA65E8C" w:rsidR="05C735E9" w:rsidRDefault="05C735E9" w:rsidP="27032E6A">
      <w:pPr>
        <w:spacing w:beforeAutospacing="0" w:line="276" w:lineRule="auto"/>
      </w:pPr>
      <w:r w:rsidRPr="27032E6A">
        <w:t>11. Conclusion</w:t>
      </w:r>
    </w:p>
    <w:p w14:paraId="6C6069B8" w14:textId="76553F8D" w:rsidR="05C735E9" w:rsidRDefault="05C735E9" w:rsidP="27032E6A">
      <w:pPr>
        <w:spacing w:beforeAutospacing="0" w:line="276" w:lineRule="auto"/>
      </w:pPr>
      <w:r w:rsidRPr="27032E6A">
        <w:t>The plant-based meat category’s slowdown is not destiny; it is a solvable strategy problem. By collapsing the price gap, proving taste through rigorous blind testing, meeting consumers where they are with blended products, and communicating flavor and value first, PBM brands can reclaim momentum. Companies that execute against these moves—supported by disciplined channel strategy and clean-label innovation—can expand beyond early adopters and build durable growth over the next five years.</w:t>
      </w:r>
    </w:p>
    <w:p w14:paraId="12C101EF" w14:textId="79E4ACB0" w:rsidR="05C735E9" w:rsidRDefault="05C735E9" w:rsidP="27032E6A">
      <w:pPr>
        <w:spacing w:beforeAutospacing="0" w:line="276" w:lineRule="auto"/>
      </w:pPr>
      <w:r w:rsidRPr="27032E6A">
        <w:t xml:space="preserve"> </w:t>
      </w:r>
    </w:p>
    <w:p w14:paraId="61E3B5B6" w14:textId="7152A850" w:rsidR="05C735E9" w:rsidRDefault="05C735E9" w:rsidP="27032E6A">
      <w:pPr>
        <w:spacing w:beforeAutospacing="0" w:line="276" w:lineRule="auto"/>
      </w:pPr>
      <w:r w:rsidRPr="27032E6A">
        <w:t>References</w:t>
      </w:r>
    </w:p>
    <w:p w14:paraId="703C4D63" w14:textId="0F09A065" w:rsidR="05C735E9" w:rsidRDefault="05C735E9" w:rsidP="00C81F50">
      <w:pPr>
        <w:pStyle w:val="ListParagraph"/>
        <w:numPr>
          <w:ilvl w:val="0"/>
          <w:numId w:val="5"/>
        </w:numPr>
        <w:spacing w:beforeAutospacing="0" w:line="276" w:lineRule="auto"/>
      </w:pPr>
      <w:proofErr w:type="spellStart"/>
      <w:r w:rsidRPr="27032E6A">
        <w:t>AgFunderNews</w:t>
      </w:r>
      <w:proofErr w:type="spellEnd"/>
      <w:r w:rsidRPr="27032E6A">
        <w:t xml:space="preserve"> (2024). Plant-based by numbers: US declines for alt meat; more positive news for alt dairy. (Summarizing SPINS/GFI data).</w:t>
      </w:r>
    </w:p>
    <w:p w14:paraId="0FAA37B6" w14:textId="515D7338" w:rsidR="05C735E9" w:rsidRDefault="05C735E9" w:rsidP="00C81F50">
      <w:pPr>
        <w:pStyle w:val="ListParagraph"/>
        <w:numPr>
          <w:ilvl w:val="0"/>
          <w:numId w:val="5"/>
        </w:numPr>
        <w:spacing w:beforeAutospacing="0" w:line="276" w:lineRule="auto"/>
      </w:pPr>
      <w:r w:rsidRPr="27032E6A">
        <w:t>Beyond Meat. (2025). Fourth Quarter and Full Year 2024 Financial Results.</w:t>
      </w:r>
    </w:p>
    <w:p w14:paraId="299154AB" w14:textId="41F4DA9D" w:rsidR="05C735E9" w:rsidRDefault="05C735E9" w:rsidP="00C81F50">
      <w:pPr>
        <w:pStyle w:val="ListParagraph"/>
        <w:numPr>
          <w:ilvl w:val="0"/>
          <w:numId w:val="5"/>
        </w:numPr>
        <w:spacing w:beforeAutospacing="0" w:line="276" w:lineRule="auto"/>
      </w:pPr>
      <w:r w:rsidRPr="27032E6A">
        <w:t>Business Insider. (2022). Tyson is investing in plant-based meat.</w:t>
      </w:r>
    </w:p>
    <w:p w14:paraId="19E3BE3E" w14:textId="13B0F7FB" w:rsidR="05C735E9" w:rsidRDefault="05C735E9" w:rsidP="00C81F50">
      <w:pPr>
        <w:pStyle w:val="ListParagraph"/>
        <w:numPr>
          <w:ilvl w:val="0"/>
          <w:numId w:val="5"/>
        </w:numPr>
        <w:spacing w:beforeAutospacing="0" w:line="276" w:lineRule="auto"/>
      </w:pPr>
      <w:r w:rsidRPr="27032E6A">
        <w:lastRenderedPageBreak/>
        <w:t>GFI (2024). Analyzing plant-based meat &amp; seafood sales; Plant-based meat pricing &amp; promotion insights; 2023 State of the Industry Report.</w:t>
      </w:r>
    </w:p>
    <w:p w14:paraId="1D2A3F39" w14:textId="5FBD66A5" w:rsidR="05C735E9" w:rsidRDefault="05C735E9" w:rsidP="00C81F50">
      <w:pPr>
        <w:pStyle w:val="ListParagraph"/>
        <w:numPr>
          <w:ilvl w:val="0"/>
          <w:numId w:val="5"/>
        </w:numPr>
        <w:spacing w:beforeAutospacing="0" w:line="276" w:lineRule="auto"/>
      </w:pPr>
      <w:r w:rsidRPr="27032E6A">
        <w:t>Hoek, A. C., et al. (2021). Consumer acceptance of alternative meat substitutes: A review. Food Quality and Preference, 87, 104–121.</w:t>
      </w:r>
    </w:p>
    <w:p w14:paraId="47DAF8EE" w14:textId="30FBF66D" w:rsidR="05C735E9" w:rsidRDefault="05C735E9" w:rsidP="00C81F50">
      <w:pPr>
        <w:pStyle w:val="ListParagraph"/>
        <w:numPr>
          <w:ilvl w:val="0"/>
          <w:numId w:val="5"/>
        </w:numPr>
        <w:spacing w:beforeAutospacing="0" w:line="276" w:lineRule="auto"/>
      </w:pPr>
      <w:r w:rsidRPr="27032E6A">
        <w:t>Mintel. (2022, 2024). Plant-Based Proteins – US – Market Reports.</w:t>
      </w:r>
    </w:p>
    <w:p w14:paraId="6B935078" w14:textId="642AB030" w:rsidR="05C735E9" w:rsidRDefault="05C735E9" w:rsidP="00C81F50">
      <w:pPr>
        <w:pStyle w:val="ListParagraph"/>
        <w:numPr>
          <w:ilvl w:val="0"/>
          <w:numId w:val="5"/>
        </w:numPr>
        <w:spacing w:beforeAutospacing="0" w:line="276" w:lineRule="auto"/>
      </w:pPr>
      <w:r w:rsidRPr="27032E6A">
        <w:t>Research &amp; Markets (2024). Global and U.S. plant-based meat market forecasts.</w:t>
      </w:r>
    </w:p>
    <w:p w14:paraId="038570B7" w14:textId="027A9DE3" w:rsidR="05C735E9" w:rsidRDefault="05C735E9" w:rsidP="00C81F50">
      <w:pPr>
        <w:pStyle w:val="ListParagraph"/>
        <w:numPr>
          <w:ilvl w:val="0"/>
          <w:numId w:val="5"/>
        </w:numPr>
        <w:spacing w:beforeAutospacing="0" w:line="276" w:lineRule="auto"/>
      </w:pPr>
      <w:r w:rsidRPr="27032E6A">
        <w:t>Vox (2025). Massive blind taste test of plant-based vs. animal meat.</w:t>
      </w:r>
    </w:p>
    <w:p w14:paraId="0C8528F6" w14:textId="1639F72C" w:rsidR="05C735E9" w:rsidRDefault="05C735E9" w:rsidP="00C81F50">
      <w:pPr>
        <w:pStyle w:val="ListParagraph"/>
        <w:numPr>
          <w:ilvl w:val="0"/>
          <w:numId w:val="5"/>
        </w:numPr>
        <w:spacing w:beforeAutospacing="0" w:line="276" w:lineRule="auto"/>
      </w:pPr>
      <w:r w:rsidRPr="27032E6A">
        <w:t>Washington Post (2025). Blended meat as a bridge for mainstream consumers.</w:t>
      </w:r>
    </w:p>
    <w:p w14:paraId="0F469836" w14:textId="2B1B4088" w:rsidR="05C735E9" w:rsidRDefault="05C735E9" w:rsidP="00C81F50">
      <w:pPr>
        <w:pStyle w:val="ListParagraph"/>
        <w:numPr>
          <w:ilvl w:val="0"/>
          <w:numId w:val="5"/>
        </w:numPr>
        <w:spacing w:beforeAutospacing="0" w:line="276" w:lineRule="auto"/>
      </w:pPr>
      <w:r w:rsidRPr="27032E6A">
        <w:t>Wired (2024). Plant-based meat boomed. Here comes the bust.</w:t>
      </w:r>
    </w:p>
    <w:p w14:paraId="20E1B4B8" w14:textId="3F13BDE6" w:rsidR="27032E6A" w:rsidRDefault="27032E6A" w:rsidP="27032E6A"/>
    <w:sectPr w:rsidR="27032E6A" w:rsidSect="00C81F50">
      <w:footerReference w:type="even"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3D19" w14:textId="77777777" w:rsidR="006776D0" w:rsidRDefault="006776D0" w:rsidP="00AF24B5">
      <w:pPr>
        <w:spacing w:line="240" w:lineRule="auto"/>
      </w:pPr>
      <w:r>
        <w:separator/>
      </w:r>
    </w:p>
  </w:endnote>
  <w:endnote w:type="continuationSeparator" w:id="0">
    <w:p w14:paraId="59673173" w14:textId="77777777" w:rsidR="006776D0" w:rsidRDefault="006776D0" w:rsidP="00AF2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1033036"/>
      <w:docPartObj>
        <w:docPartGallery w:val="Page Numbers (Bottom of Page)"/>
        <w:docPartUnique/>
      </w:docPartObj>
    </w:sdtPr>
    <w:sdtContent>
      <w:p w14:paraId="6E22B32E" w14:textId="059F501D" w:rsidR="00AF24B5" w:rsidRDefault="00AF24B5" w:rsidP="00DE16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7ECAFD8" w14:textId="77777777" w:rsidR="00AF24B5" w:rsidRDefault="00AF24B5" w:rsidP="00AF24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5666957"/>
      <w:docPartObj>
        <w:docPartGallery w:val="Page Numbers (Bottom of Page)"/>
        <w:docPartUnique/>
      </w:docPartObj>
    </w:sdtPr>
    <w:sdtEndPr>
      <w:rPr>
        <w:rStyle w:val="PageNumber"/>
        <w:sz w:val="16"/>
        <w:szCs w:val="16"/>
      </w:rPr>
    </w:sdtEndPr>
    <w:sdtContent>
      <w:p w14:paraId="0450BAA7" w14:textId="36DF9003" w:rsidR="00AF24B5" w:rsidRPr="00AF24B5" w:rsidRDefault="00AF24B5" w:rsidP="00DE16F8">
        <w:pPr>
          <w:pStyle w:val="Footer"/>
          <w:framePr w:wrap="none" w:vAnchor="text" w:hAnchor="margin" w:xAlign="right" w:y="1"/>
          <w:rPr>
            <w:rStyle w:val="PageNumber"/>
            <w:sz w:val="16"/>
            <w:szCs w:val="16"/>
          </w:rPr>
        </w:pPr>
        <w:r w:rsidRPr="00AF24B5">
          <w:rPr>
            <w:rStyle w:val="PageNumber"/>
            <w:sz w:val="16"/>
            <w:szCs w:val="16"/>
          </w:rPr>
          <w:fldChar w:fldCharType="begin"/>
        </w:r>
        <w:r w:rsidRPr="00AF24B5">
          <w:rPr>
            <w:rStyle w:val="PageNumber"/>
            <w:sz w:val="16"/>
            <w:szCs w:val="16"/>
          </w:rPr>
          <w:instrText xml:space="preserve"> PAGE </w:instrText>
        </w:r>
        <w:r w:rsidRPr="00AF24B5">
          <w:rPr>
            <w:rStyle w:val="PageNumber"/>
            <w:sz w:val="16"/>
            <w:szCs w:val="16"/>
          </w:rPr>
          <w:fldChar w:fldCharType="separate"/>
        </w:r>
        <w:r w:rsidRPr="00AF24B5">
          <w:rPr>
            <w:rStyle w:val="PageNumber"/>
            <w:noProof/>
            <w:sz w:val="16"/>
            <w:szCs w:val="16"/>
          </w:rPr>
          <w:t>1</w:t>
        </w:r>
        <w:r w:rsidRPr="00AF24B5">
          <w:rPr>
            <w:rStyle w:val="PageNumber"/>
            <w:sz w:val="16"/>
            <w:szCs w:val="16"/>
          </w:rPr>
          <w:fldChar w:fldCharType="end"/>
        </w:r>
      </w:p>
    </w:sdtContent>
  </w:sdt>
  <w:p w14:paraId="765A6139" w14:textId="77777777" w:rsidR="00AF24B5" w:rsidRPr="00AF24B5" w:rsidRDefault="00AF24B5" w:rsidP="00AF24B5">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E8BD" w14:textId="77777777" w:rsidR="006776D0" w:rsidRDefault="006776D0" w:rsidP="00AF24B5">
      <w:pPr>
        <w:spacing w:line="240" w:lineRule="auto"/>
      </w:pPr>
      <w:r>
        <w:separator/>
      </w:r>
    </w:p>
  </w:footnote>
  <w:footnote w:type="continuationSeparator" w:id="0">
    <w:p w14:paraId="4927F084" w14:textId="77777777" w:rsidR="006776D0" w:rsidRDefault="006776D0" w:rsidP="00AF24B5">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nit4CdF7" int2:invalidationBookmarkName="" int2:hashCode="OlLOeAlQ1NlpeS" int2:id="RD9JchZV">
      <int2:state int2:value="Rejected" int2:type="gram"/>
    </int2:bookmark>
    <int2:bookmark int2:bookmarkName="_Int_8dO48wJ9" int2:invalidationBookmarkName="" int2:hashCode="OlLOeAlQ1NlpeS" int2:id="JdVDO6V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5E76"/>
    <w:multiLevelType w:val="multilevel"/>
    <w:tmpl w:val="3DB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15246"/>
    <w:multiLevelType w:val="multilevel"/>
    <w:tmpl w:val="33E8B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507438"/>
    <w:multiLevelType w:val="multilevel"/>
    <w:tmpl w:val="C8C8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B4C2D"/>
    <w:multiLevelType w:val="multilevel"/>
    <w:tmpl w:val="5D0C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C5D13"/>
    <w:multiLevelType w:val="hybridMultilevel"/>
    <w:tmpl w:val="C7E2B3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6213023">
    <w:abstractNumId w:val="2"/>
  </w:num>
  <w:num w:numId="2" w16cid:durableId="1738360729">
    <w:abstractNumId w:val="0"/>
  </w:num>
  <w:num w:numId="3" w16cid:durableId="1158422608">
    <w:abstractNumId w:val="3"/>
  </w:num>
  <w:num w:numId="4" w16cid:durableId="1268346349">
    <w:abstractNumId w:val="1"/>
  </w:num>
  <w:num w:numId="5" w16cid:durableId="1358431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F7"/>
    <w:rsid w:val="000CB24C"/>
    <w:rsid w:val="002C28C8"/>
    <w:rsid w:val="002D6EBD"/>
    <w:rsid w:val="003424D1"/>
    <w:rsid w:val="003A132C"/>
    <w:rsid w:val="003A5E0A"/>
    <w:rsid w:val="005D25E6"/>
    <w:rsid w:val="006776D0"/>
    <w:rsid w:val="007379B4"/>
    <w:rsid w:val="00761D34"/>
    <w:rsid w:val="00770209"/>
    <w:rsid w:val="00AF24B5"/>
    <w:rsid w:val="00BE53E0"/>
    <w:rsid w:val="00C81F50"/>
    <w:rsid w:val="00C91AE3"/>
    <w:rsid w:val="00C97CBC"/>
    <w:rsid w:val="00CDEBF9"/>
    <w:rsid w:val="00CF36B4"/>
    <w:rsid w:val="00CF77F7"/>
    <w:rsid w:val="00E34997"/>
    <w:rsid w:val="00E537FC"/>
    <w:rsid w:val="00EA17F8"/>
    <w:rsid w:val="00EB722C"/>
    <w:rsid w:val="012D59A6"/>
    <w:rsid w:val="028FA8B1"/>
    <w:rsid w:val="02DB1EBB"/>
    <w:rsid w:val="02E54E14"/>
    <w:rsid w:val="03DCACC9"/>
    <w:rsid w:val="04F65B0E"/>
    <w:rsid w:val="053B8942"/>
    <w:rsid w:val="0599BCD6"/>
    <w:rsid w:val="05C735E9"/>
    <w:rsid w:val="05E677FC"/>
    <w:rsid w:val="05FB0DB3"/>
    <w:rsid w:val="070BEAEF"/>
    <w:rsid w:val="07141CB6"/>
    <w:rsid w:val="0945382F"/>
    <w:rsid w:val="09E5B39A"/>
    <w:rsid w:val="0B2BE8AD"/>
    <w:rsid w:val="0C26A411"/>
    <w:rsid w:val="0CAA6FEF"/>
    <w:rsid w:val="0DB7F4E2"/>
    <w:rsid w:val="0E0AD61A"/>
    <w:rsid w:val="0E3BF15F"/>
    <w:rsid w:val="0E54C082"/>
    <w:rsid w:val="0F0DD386"/>
    <w:rsid w:val="0F416687"/>
    <w:rsid w:val="10832D01"/>
    <w:rsid w:val="11F6FF5B"/>
    <w:rsid w:val="11FCF6F8"/>
    <w:rsid w:val="12CB5AB9"/>
    <w:rsid w:val="1331975C"/>
    <w:rsid w:val="13854D58"/>
    <w:rsid w:val="14525CEA"/>
    <w:rsid w:val="14FA547F"/>
    <w:rsid w:val="156A2BE2"/>
    <w:rsid w:val="158C652C"/>
    <w:rsid w:val="1606F529"/>
    <w:rsid w:val="16731855"/>
    <w:rsid w:val="172A076B"/>
    <w:rsid w:val="1734270D"/>
    <w:rsid w:val="18536CE6"/>
    <w:rsid w:val="1884E2BF"/>
    <w:rsid w:val="1C164591"/>
    <w:rsid w:val="1CCFE2A5"/>
    <w:rsid w:val="1CF7D0C6"/>
    <w:rsid w:val="1D62B31D"/>
    <w:rsid w:val="1E56A84C"/>
    <w:rsid w:val="1E627D14"/>
    <w:rsid w:val="1EA6CF7D"/>
    <w:rsid w:val="1F31CA80"/>
    <w:rsid w:val="205B6C1C"/>
    <w:rsid w:val="214A5CFF"/>
    <w:rsid w:val="21D0D13E"/>
    <w:rsid w:val="223E89BA"/>
    <w:rsid w:val="227431AC"/>
    <w:rsid w:val="23A2C6C7"/>
    <w:rsid w:val="24D2AC26"/>
    <w:rsid w:val="2505CFFB"/>
    <w:rsid w:val="2669B28C"/>
    <w:rsid w:val="26E1C6FF"/>
    <w:rsid w:val="26E55F0E"/>
    <w:rsid w:val="27032E6A"/>
    <w:rsid w:val="2761B09D"/>
    <w:rsid w:val="2792944D"/>
    <w:rsid w:val="27B7006D"/>
    <w:rsid w:val="27CC528A"/>
    <w:rsid w:val="28556EB1"/>
    <w:rsid w:val="29C93569"/>
    <w:rsid w:val="2A27FF4F"/>
    <w:rsid w:val="2AA10EB6"/>
    <w:rsid w:val="2AC28AEE"/>
    <w:rsid w:val="2AF64F70"/>
    <w:rsid w:val="2B0A4FC4"/>
    <w:rsid w:val="2BD2B91C"/>
    <w:rsid w:val="2BF213D7"/>
    <w:rsid w:val="2C872077"/>
    <w:rsid w:val="2D218F0C"/>
    <w:rsid w:val="2DDE0EA7"/>
    <w:rsid w:val="2DFBA6EA"/>
    <w:rsid w:val="2E33CD42"/>
    <w:rsid w:val="2F70EBC5"/>
    <w:rsid w:val="2F8B4659"/>
    <w:rsid w:val="30729721"/>
    <w:rsid w:val="311A15E3"/>
    <w:rsid w:val="324249C3"/>
    <w:rsid w:val="3242ABAA"/>
    <w:rsid w:val="3271E97A"/>
    <w:rsid w:val="3274A15D"/>
    <w:rsid w:val="3279982B"/>
    <w:rsid w:val="32B83904"/>
    <w:rsid w:val="32C410A9"/>
    <w:rsid w:val="33AC94A4"/>
    <w:rsid w:val="35741C09"/>
    <w:rsid w:val="36BFA796"/>
    <w:rsid w:val="38277712"/>
    <w:rsid w:val="383E9603"/>
    <w:rsid w:val="38B6988E"/>
    <w:rsid w:val="396927BF"/>
    <w:rsid w:val="3C7ADC90"/>
    <w:rsid w:val="3C8587F9"/>
    <w:rsid w:val="3CBBBE30"/>
    <w:rsid w:val="3CC5E497"/>
    <w:rsid w:val="3D00BC72"/>
    <w:rsid w:val="3DAC5B5F"/>
    <w:rsid w:val="3E6C5B35"/>
    <w:rsid w:val="3EFE49CD"/>
    <w:rsid w:val="3F193AEF"/>
    <w:rsid w:val="409FC520"/>
    <w:rsid w:val="41630E56"/>
    <w:rsid w:val="41ACFF24"/>
    <w:rsid w:val="41E14F3D"/>
    <w:rsid w:val="42CA74B8"/>
    <w:rsid w:val="431E6365"/>
    <w:rsid w:val="4490DCEB"/>
    <w:rsid w:val="45708AE7"/>
    <w:rsid w:val="45FA47B1"/>
    <w:rsid w:val="4698B1C1"/>
    <w:rsid w:val="46C789BA"/>
    <w:rsid w:val="47E59A86"/>
    <w:rsid w:val="48D2A6D9"/>
    <w:rsid w:val="48DE39DF"/>
    <w:rsid w:val="49EE54EE"/>
    <w:rsid w:val="4C5B3284"/>
    <w:rsid w:val="4D198CEF"/>
    <w:rsid w:val="4D25B314"/>
    <w:rsid w:val="4D51E89A"/>
    <w:rsid w:val="4EBBA934"/>
    <w:rsid w:val="52216915"/>
    <w:rsid w:val="52693DA9"/>
    <w:rsid w:val="52CBE63A"/>
    <w:rsid w:val="52F6E3B6"/>
    <w:rsid w:val="5434D8DD"/>
    <w:rsid w:val="5440BD8C"/>
    <w:rsid w:val="55EC09EF"/>
    <w:rsid w:val="55F011BE"/>
    <w:rsid w:val="56D2C2B0"/>
    <w:rsid w:val="5725D82A"/>
    <w:rsid w:val="574B5AA1"/>
    <w:rsid w:val="5795DE24"/>
    <w:rsid w:val="57968350"/>
    <w:rsid w:val="58BEF265"/>
    <w:rsid w:val="58F7B2E0"/>
    <w:rsid w:val="59913DAC"/>
    <w:rsid w:val="5A5DF354"/>
    <w:rsid w:val="5AFDE663"/>
    <w:rsid w:val="5B7F7325"/>
    <w:rsid w:val="5CB2978D"/>
    <w:rsid w:val="5CD17892"/>
    <w:rsid w:val="5E613C88"/>
    <w:rsid w:val="5E735C23"/>
    <w:rsid w:val="5ECFEEC9"/>
    <w:rsid w:val="5F913D69"/>
    <w:rsid w:val="5FB67774"/>
    <w:rsid w:val="6051635D"/>
    <w:rsid w:val="61BF9A43"/>
    <w:rsid w:val="61DDDECA"/>
    <w:rsid w:val="6210ADE5"/>
    <w:rsid w:val="63740B0F"/>
    <w:rsid w:val="63862255"/>
    <w:rsid w:val="638F6DD6"/>
    <w:rsid w:val="63A9BEBD"/>
    <w:rsid w:val="63DC2C97"/>
    <w:rsid w:val="6422340C"/>
    <w:rsid w:val="64583F1B"/>
    <w:rsid w:val="64DE1FD4"/>
    <w:rsid w:val="653747AC"/>
    <w:rsid w:val="65DE29CD"/>
    <w:rsid w:val="66AB845C"/>
    <w:rsid w:val="677461D5"/>
    <w:rsid w:val="6AD9DB6A"/>
    <w:rsid w:val="6C7AE826"/>
    <w:rsid w:val="6D4D0A2F"/>
    <w:rsid w:val="6E49B230"/>
    <w:rsid w:val="6E8DE280"/>
    <w:rsid w:val="6EA56058"/>
    <w:rsid w:val="6EAF5193"/>
    <w:rsid w:val="6EC6A07D"/>
    <w:rsid w:val="6FB9C366"/>
    <w:rsid w:val="72DBD6A3"/>
    <w:rsid w:val="72F121F5"/>
    <w:rsid w:val="738A1A86"/>
    <w:rsid w:val="739A4219"/>
    <w:rsid w:val="73DA2527"/>
    <w:rsid w:val="73EC5EDA"/>
    <w:rsid w:val="7403567E"/>
    <w:rsid w:val="74778614"/>
    <w:rsid w:val="75AC29A4"/>
    <w:rsid w:val="75D0C4EE"/>
    <w:rsid w:val="76B6F651"/>
    <w:rsid w:val="76E7CCB6"/>
    <w:rsid w:val="772ABB77"/>
    <w:rsid w:val="7745A52C"/>
    <w:rsid w:val="77BFAEF4"/>
    <w:rsid w:val="797595A2"/>
    <w:rsid w:val="798D0A1E"/>
    <w:rsid w:val="7A5E9E75"/>
    <w:rsid w:val="7AD82D74"/>
    <w:rsid w:val="7BB12F42"/>
    <w:rsid w:val="7DBDF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AD74"/>
  <w15:chartTrackingRefBased/>
  <w15:docId w15:val="{6D5790F0-2602-4C41-A658-253CA8C3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729721"/>
    <w:pPr>
      <w:spacing w:beforeAutospacing="1" w:after="0"/>
    </w:pPr>
    <w:rPr>
      <w:rFonts w:ascii="Calibri" w:eastAsia="Calibri" w:hAnsi="Calibri" w:cs="Calibri"/>
    </w:rPr>
  </w:style>
  <w:style w:type="paragraph" w:styleId="Heading1">
    <w:name w:val="heading 1"/>
    <w:basedOn w:val="Normal"/>
    <w:next w:val="Normal"/>
    <w:link w:val="Heading1Char"/>
    <w:uiPriority w:val="9"/>
    <w:qFormat/>
    <w:rsid w:val="07141CB6"/>
    <w:pPr>
      <w:keepNext/>
      <w:keepLines/>
      <w:spacing w:beforeAutospacing="0" w:line="240" w:lineRule="auto"/>
      <w:outlineLvl w:val="0"/>
    </w:pPr>
    <w:rPr>
      <w:color w:val="2F5597"/>
      <w:sz w:val="32"/>
      <w:szCs w:val="32"/>
    </w:rPr>
  </w:style>
  <w:style w:type="paragraph" w:styleId="Heading2">
    <w:name w:val="heading 2"/>
    <w:basedOn w:val="Normal"/>
    <w:next w:val="Normal"/>
    <w:link w:val="Heading2Char"/>
    <w:uiPriority w:val="9"/>
    <w:unhideWhenUsed/>
    <w:qFormat/>
    <w:rsid w:val="07141CB6"/>
    <w:pPr>
      <w:keepNext/>
      <w:keepLines/>
      <w:spacing w:beforeAutospacing="0" w:line="240" w:lineRule="auto"/>
      <w:outlineLvl w:val="1"/>
    </w:pPr>
    <w:rPr>
      <w:color w:val="2F5597"/>
      <w:sz w:val="26"/>
      <w:szCs w:val="26"/>
    </w:rPr>
  </w:style>
  <w:style w:type="paragraph" w:styleId="Heading3">
    <w:name w:val="heading 3"/>
    <w:basedOn w:val="Title"/>
    <w:next w:val="Normal"/>
    <w:link w:val="Heading3Char"/>
    <w:uiPriority w:val="9"/>
    <w:unhideWhenUsed/>
    <w:qFormat/>
    <w:rsid w:val="07141CB6"/>
    <w:pPr>
      <w:spacing w:beforeAutospacing="0" w:after="0"/>
      <w:outlineLvl w:val="2"/>
    </w:pPr>
    <w:rPr>
      <w:rFonts w:ascii="Calibri" w:eastAsia="Calibri" w:hAnsi="Calibri" w:cs="Calibri"/>
    </w:rPr>
  </w:style>
  <w:style w:type="paragraph" w:styleId="Heading4">
    <w:name w:val="heading 4"/>
    <w:basedOn w:val="Normal"/>
    <w:next w:val="Normal"/>
    <w:link w:val="Heading4Char"/>
    <w:uiPriority w:val="9"/>
    <w:unhideWhenUsed/>
    <w:qFormat/>
    <w:rsid w:val="307297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307297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307297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307297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0729721"/>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0729721"/>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7141CB6"/>
    <w:rPr>
      <w:rFonts w:ascii="Calibri" w:eastAsia="Calibri" w:hAnsi="Calibri" w:cs="Calibri"/>
      <w:i w:val="0"/>
      <w:iCs w:val="0"/>
      <w:color w:val="2F5597"/>
      <w:sz w:val="32"/>
      <w:szCs w:val="32"/>
    </w:rPr>
  </w:style>
  <w:style w:type="character" w:customStyle="1" w:styleId="Heading2Char">
    <w:name w:val="Heading 2 Char"/>
    <w:basedOn w:val="DefaultParagraphFont"/>
    <w:link w:val="Heading2"/>
    <w:uiPriority w:val="9"/>
    <w:rsid w:val="07141CB6"/>
    <w:rPr>
      <w:rFonts w:ascii="Calibri" w:eastAsia="Calibri" w:hAnsi="Calibri" w:cs="Calibri"/>
      <w:i w:val="0"/>
      <w:iCs w:val="0"/>
      <w:color w:val="2F5597"/>
      <w:sz w:val="26"/>
      <w:szCs w:val="26"/>
    </w:rPr>
  </w:style>
  <w:style w:type="character" w:customStyle="1" w:styleId="Heading3Char">
    <w:name w:val="Heading 3 Char"/>
    <w:link w:val="Heading3"/>
    <w:uiPriority w:val="9"/>
    <w:rsid w:val="07141CB6"/>
    <w:rPr>
      <w:rFonts w:ascii="Calibri" w:eastAsia="Calibri" w:hAnsi="Calibri" w:cs="Calibri"/>
      <w:i w:val="0"/>
      <w:iCs w:val="0"/>
    </w:rPr>
  </w:style>
  <w:style w:type="character" w:customStyle="1" w:styleId="Heading4Char">
    <w:name w:val="Heading 4 Char"/>
    <w:basedOn w:val="DefaultParagraphFont"/>
    <w:link w:val="Heading4"/>
    <w:uiPriority w:val="9"/>
    <w:rsid w:val="00CF7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7F7"/>
    <w:rPr>
      <w:rFonts w:eastAsiaTheme="majorEastAsia" w:cstheme="majorBidi"/>
      <w:color w:val="272727" w:themeColor="text1" w:themeTint="D8"/>
    </w:rPr>
  </w:style>
  <w:style w:type="paragraph" w:styleId="Title">
    <w:name w:val="Title"/>
    <w:basedOn w:val="Normal"/>
    <w:next w:val="Normal"/>
    <w:link w:val="TitleChar"/>
    <w:uiPriority w:val="10"/>
    <w:qFormat/>
    <w:rsid w:val="1734270D"/>
    <w:pPr>
      <w:spacing w:after="80" w:line="360" w:lineRule="auto"/>
      <w:contextualSpacing/>
    </w:pPr>
    <w:rPr>
      <w:rFonts w:asciiTheme="minorHAnsi" w:eastAsiaTheme="minorEastAsia" w:hAnsiTheme="minorHAnsi" w:cstheme="minorBidi"/>
      <w:color w:val="2F5597"/>
      <w:sz w:val="56"/>
      <w:szCs w:val="56"/>
    </w:rPr>
  </w:style>
  <w:style w:type="character" w:customStyle="1" w:styleId="TitleChar">
    <w:name w:val="Title Char"/>
    <w:basedOn w:val="DefaultParagraphFont"/>
    <w:link w:val="Title"/>
    <w:uiPriority w:val="10"/>
    <w:rsid w:val="1734270D"/>
    <w:rPr>
      <w:rFonts w:asciiTheme="minorHAnsi" w:eastAsiaTheme="minorEastAsia" w:hAnsiTheme="minorHAnsi" w:cstheme="minorBidi"/>
      <w:i w:val="0"/>
      <w:iCs w:val="0"/>
      <w:color w:val="2F5597"/>
      <w:sz w:val="56"/>
      <w:szCs w:val="56"/>
    </w:rPr>
  </w:style>
  <w:style w:type="paragraph" w:styleId="Subtitle">
    <w:name w:val="Subtitle"/>
    <w:basedOn w:val="Normal"/>
    <w:next w:val="Normal"/>
    <w:link w:val="SubtitleChar"/>
    <w:uiPriority w:val="11"/>
    <w:qFormat/>
    <w:rsid w:val="3072972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CF7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30729721"/>
    <w:pPr>
      <w:spacing w:before="160"/>
      <w:jc w:val="center"/>
    </w:pPr>
    <w:rPr>
      <w:i/>
      <w:iCs/>
      <w:color w:val="404040" w:themeColor="text1" w:themeTint="BF"/>
    </w:rPr>
  </w:style>
  <w:style w:type="character" w:customStyle="1" w:styleId="QuoteChar">
    <w:name w:val="Quote Char"/>
    <w:basedOn w:val="DefaultParagraphFont"/>
    <w:link w:val="Quote"/>
    <w:uiPriority w:val="29"/>
    <w:rsid w:val="00CF77F7"/>
    <w:rPr>
      <w:i/>
      <w:iCs/>
      <w:color w:val="404040" w:themeColor="text1" w:themeTint="BF"/>
    </w:rPr>
  </w:style>
  <w:style w:type="paragraph" w:styleId="ListParagraph">
    <w:name w:val="List Paragraph"/>
    <w:basedOn w:val="Normal"/>
    <w:uiPriority w:val="34"/>
    <w:qFormat/>
    <w:rsid w:val="30729721"/>
    <w:pPr>
      <w:ind w:left="720"/>
      <w:contextualSpacing/>
    </w:pPr>
  </w:style>
  <w:style w:type="character" w:styleId="IntenseEmphasis">
    <w:name w:val="Intense Emphasis"/>
    <w:basedOn w:val="DefaultParagraphFont"/>
    <w:uiPriority w:val="21"/>
    <w:qFormat/>
    <w:rsid w:val="00CF77F7"/>
    <w:rPr>
      <w:i/>
      <w:iCs/>
      <w:color w:val="0F4761" w:themeColor="accent1" w:themeShade="BF"/>
    </w:rPr>
  </w:style>
  <w:style w:type="paragraph" w:styleId="IntenseQuote">
    <w:name w:val="Intense Quote"/>
    <w:basedOn w:val="Normal"/>
    <w:next w:val="Normal"/>
    <w:link w:val="IntenseQuoteChar"/>
    <w:uiPriority w:val="30"/>
    <w:qFormat/>
    <w:rsid w:val="30729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7F7"/>
    <w:rPr>
      <w:i/>
      <w:iCs/>
      <w:color w:val="0F4761" w:themeColor="accent1" w:themeShade="BF"/>
    </w:rPr>
  </w:style>
  <w:style w:type="character" w:styleId="IntenseReference">
    <w:name w:val="Intense Reference"/>
    <w:basedOn w:val="DefaultParagraphFont"/>
    <w:uiPriority w:val="32"/>
    <w:qFormat/>
    <w:rsid w:val="00CF77F7"/>
    <w:rPr>
      <w:b/>
      <w:bCs/>
      <w:smallCaps/>
      <w:color w:val="0F4761" w:themeColor="accent1" w:themeShade="BF"/>
      <w:spacing w:val="5"/>
    </w:rPr>
  </w:style>
  <w:style w:type="character" w:styleId="Strong">
    <w:name w:val="Strong"/>
    <w:basedOn w:val="DefaultParagraphFont"/>
    <w:uiPriority w:val="22"/>
    <w:qFormat/>
    <w:rsid w:val="00CF77F7"/>
    <w:rPr>
      <w:b/>
      <w:bCs/>
    </w:rPr>
  </w:style>
  <w:style w:type="paragraph" w:styleId="NormalWeb">
    <w:name w:val="Normal (Web)"/>
    <w:basedOn w:val="Normal"/>
    <w:uiPriority w:val="99"/>
    <w:semiHidden/>
    <w:unhideWhenUsed/>
    <w:rsid w:val="30729721"/>
    <w:pPr>
      <w:spacing w:afterAutospacing="1"/>
    </w:pPr>
    <w:rPr>
      <w:rFonts w:ascii="Times New Roman" w:eastAsia="Times New Roman" w:hAnsi="Times New Roman" w:cs="Times New Roman"/>
    </w:rPr>
  </w:style>
  <w:style w:type="character" w:styleId="Emphasis">
    <w:name w:val="Emphasis"/>
    <w:basedOn w:val="DefaultParagraphFont"/>
    <w:uiPriority w:val="20"/>
    <w:qFormat/>
    <w:rsid w:val="00CF77F7"/>
    <w:rPr>
      <w:i/>
      <w:iCs/>
    </w:rPr>
  </w:style>
  <w:style w:type="table" w:styleId="TableGrid">
    <w:name w:val="Table Grid"/>
    <w:basedOn w:val="TableNormal"/>
    <w:uiPriority w:val="59"/>
    <w:rsid w:val="00C81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24B5"/>
    <w:pPr>
      <w:tabs>
        <w:tab w:val="center" w:pos="4680"/>
        <w:tab w:val="right" w:pos="9360"/>
      </w:tabs>
      <w:spacing w:line="240" w:lineRule="auto"/>
    </w:pPr>
  </w:style>
  <w:style w:type="character" w:customStyle="1" w:styleId="FooterChar">
    <w:name w:val="Footer Char"/>
    <w:basedOn w:val="DefaultParagraphFont"/>
    <w:link w:val="Footer"/>
    <w:uiPriority w:val="99"/>
    <w:rsid w:val="00AF24B5"/>
    <w:rPr>
      <w:rFonts w:ascii="Calibri" w:eastAsia="Calibri" w:hAnsi="Calibri" w:cs="Calibri"/>
    </w:rPr>
  </w:style>
  <w:style w:type="character" w:styleId="PageNumber">
    <w:name w:val="page number"/>
    <w:basedOn w:val="DefaultParagraphFont"/>
    <w:uiPriority w:val="99"/>
    <w:semiHidden/>
    <w:unhideWhenUsed/>
    <w:rsid w:val="00AF24B5"/>
  </w:style>
  <w:style w:type="paragraph" w:styleId="Header">
    <w:name w:val="header"/>
    <w:basedOn w:val="Normal"/>
    <w:link w:val="HeaderChar"/>
    <w:uiPriority w:val="99"/>
    <w:unhideWhenUsed/>
    <w:rsid w:val="00AF24B5"/>
    <w:pPr>
      <w:tabs>
        <w:tab w:val="center" w:pos="4680"/>
        <w:tab w:val="right" w:pos="9360"/>
      </w:tabs>
      <w:spacing w:line="240" w:lineRule="auto"/>
    </w:pPr>
  </w:style>
  <w:style w:type="character" w:customStyle="1" w:styleId="HeaderChar">
    <w:name w:val="Header Char"/>
    <w:basedOn w:val="DefaultParagraphFont"/>
    <w:link w:val="Header"/>
    <w:uiPriority w:val="99"/>
    <w:rsid w:val="00AF24B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351073">
      <w:bodyDiv w:val="1"/>
      <w:marLeft w:val="0"/>
      <w:marRight w:val="0"/>
      <w:marTop w:val="0"/>
      <w:marBottom w:val="0"/>
      <w:divBdr>
        <w:top w:val="none" w:sz="0" w:space="0" w:color="auto"/>
        <w:left w:val="none" w:sz="0" w:space="0" w:color="auto"/>
        <w:bottom w:val="none" w:sz="0" w:space="0" w:color="auto"/>
        <w:right w:val="none" w:sz="0" w:space="0" w:color="auto"/>
      </w:divBdr>
      <w:divsChild>
        <w:div w:id="379550332">
          <w:marLeft w:val="0"/>
          <w:marRight w:val="0"/>
          <w:marTop w:val="0"/>
          <w:marBottom w:val="0"/>
          <w:divBdr>
            <w:top w:val="none" w:sz="0" w:space="0" w:color="auto"/>
            <w:left w:val="none" w:sz="0" w:space="0" w:color="auto"/>
            <w:bottom w:val="none" w:sz="0" w:space="0" w:color="auto"/>
            <w:right w:val="none" w:sz="0" w:space="0" w:color="auto"/>
          </w:divBdr>
          <w:divsChild>
            <w:div w:id="13404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20212-074A-4C0B-8572-818069963670}">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2.xml><?xml version="1.0" encoding="utf-8"?>
<ds:datastoreItem xmlns:ds="http://schemas.openxmlformats.org/officeDocument/2006/customXml" ds:itemID="{630BC27C-1E40-45A5-9F14-FF30CA646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62CE1-4429-4BF0-A405-52D0A0985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2321</Words>
  <Characters>13231</Characters>
  <Application>Microsoft Office Word</Application>
  <DocSecurity>0</DocSecurity>
  <Lines>110</Lines>
  <Paragraphs>31</Paragraphs>
  <ScaleCrop>false</ScaleCrop>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 Kessler</dc:creator>
  <cp:keywords/>
  <dc:description/>
  <cp:lastModifiedBy>Loretta Brancaccio Taras</cp:lastModifiedBy>
  <cp:revision>16</cp:revision>
  <dcterms:created xsi:type="dcterms:W3CDTF">2025-07-15T13:29:00Z</dcterms:created>
  <dcterms:modified xsi:type="dcterms:W3CDTF">2025-09-12T12:25:00Z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