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E7E30" w14:textId="478E1D7C" w:rsidR="1B37BB47" w:rsidRDefault="00C21330" w:rsidP="0092613D">
      <w:pPr>
        <w:pStyle w:val="Title"/>
        <w:rPr>
          <w:b/>
          <w:bCs/>
        </w:rPr>
      </w:pPr>
      <w:r w:rsidRPr="20EFDA44">
        <w:t>Historiographical Paper Assignment</w:t>
      </w:r>
    </w:p>
    <w:p w14:paraId="4EF0EEDE" w14:textId="2FD00D5F" w:rsidR="02A51AEC" w:rsidRDefault="02A51AEC" w:rsidP="0092613D">
      <w:pPr>
        <w:spacing w:beforeAutospacing="0" w:after="0" w:afterAutospacing="0" w:line="240" w:lineRule="auto"/>
        <w:contextualSpacing/>
      </w:pPr>
    </w:p>
    <w:p w14:paraId="358EA8CF" w14:textId="77777777" w:rsidR="00C21330" w:rsidRPr="00C21330" w:rsidRDefault="00C21330" w:rsidP="0092613D">
      <w:pPr>
        <w:pStyle w:val="Heading1"/>
        <w:keepNext w:val="0"/>
        <w:keepLines w:val="0"/>
        <w:contextualSpacing/>
        <w:rPr>
          <w:b/>
          <w:bCs/>
        </w:rPr>
      </w:pPr>
      <w:r w:rsidRPr="763756B6">
        <w:t>Information for Instructors</w:t>
      </w:r>
    </w:p>
    <w:p w14:paraId="4A164714" w14:textId="672627BE" w:rsidR="3DE303D5" w:rsidRDefault="3DE303D5" w:rsidP="0092613D">
      <w:pPr>
        <w:pStyle w:val="Heading1"/>
        <w:keepNext w:val="0"/>
        <w:keepLines w:val="0"/>
        <w:contextualSpacing/>
        <w:rPr>
          <w:b/>
          <w:bCs/>
          <w:sz w:val="27"/>
          <w:szCs w:val="27"/>
        </w:rPr>
      </w:pPr>
      <w:r w:rsidRPr="20EFDA44">
        <w:t>Historiographical Paper Assignment</w:t>
      </w:r>
    </w:p>
    <w:p w14:paraId="3CEEE6BD" w14:textId="77777777" w:rsidR="00C21330" w:rsidRPr="00C21330" w:rsidRDefault="794E3BF5" w:rsidP="794E3BF5">
      <w:pPr>
        <w:pStyle w:val="Heading2"/>
        <w:keepNext w:val="0"/>
        <w:keepLines w:val="0"/>
        <w:contextualSpacing/>
      </w:pPr>
      <w:r>
        <w:t>Overview</w:t>
      </w:r>
    </w:p>
    <w:p w14:paraId="651C6489" w14:textId="6303D9AF" w:rsidR="00C21330" w:rsidRPr="00C21330" w:rsidRDefault="00C21330" w:rsidP="0092613D">
      <w:pPr>
        <w:spacing w:beforeAutospacing="0" w:after="0" w:afterAutospacing="0" w:line="240" w:lineRule="auto"/>
        <w:contextualSpacing/>
      </w:pPr>
      <w:r w:rsidRPr="20EFDA44">
        <w:t xml:space="preserve">This assignment addresses the Pathways outcome: Gather, interpret, and assess information from a variety of sources and points of view. </w:t>
      </w:r>
    </w:p>
    <w:p w14:paraId="6310179E" w14:textId="702F4114" w:rsidR="00C21330" w:rsidRPr="00C21330" w:rsidRDefault="00C21330" w:rsidP="0092613D">
      <w:pPr>
        <w:spacing w:beforeAutospacing="0" w:after="0" w:afterAutospacing="0" w:line="240" w:lineRule="auto"/>
        <w:contextualSpacing/>
      </w:pPr>
    </w:p>
    <w:p w14:paraId="3416BCD3" w14:textId="77777777" w:rsidR="00C21330" w:rsidRPr="00C21330" w:rsidRDefault="00C21330" w:rsidP="0092613D">
      <w:pPr>
        <w:spacing w:beforeAutospacing="0" w:after="0" w:afterAutospacing="0" w:line="240" w:lineRule="auto"/>
        <w:contextualSpacing/>
      </w:pPr>
      <w:r w:rsidRPr="20EFDA44">
        <w:t>In this assignment, students will write a historiographical paper examining how historians have interpreted a major event, theme, or development in twentieth-century Europe. They will gather information from multiple scholarly sources, interpret differing historical perspectives, and assess how these perspectives shape our understanding of the topic. This assignment builds research skills, critical historical thinking, and academic writing necessary for advanced history coursework.</w:t>
      </w:r>
    </w:p>
    <w:p w14:paraId="6756AE29" w14:textId="163EFC83" w:rsidR="00C21330" w:rsidRPr="00C21330" w:rsidRDefault="00C21330" w:rsidP="0092613D">
      <w:pPr>
        <w:spacing w:beforeAutospacing="0" w:after="0" w:afterAutospacing="0" w:line="240" w:lineRule="auto"/>
        <w:contextualSpacing/>
      </w:pPr>
    </w:p>
    <w:p w14:paraId="1A229187" w14:textId="74553D39" w:rsidR="763756B6" w:rsidRDefault="763756B6" w:rsidP="0092613D">
      <w:pPr>
        <w:spacing w:beforeAutospacing="0" w:after="0" w:afterAutospacing="0" w:line="240" w:lineRule="auto"/>
        <w:contextualSpacing/>
      </w:pPr>
    </w:p>
    <w:p w14:paraId="03644DFD" w14:textId="77777777" w:rsidR="00C21330" w:rsidRPr="00C21330" w:rsidRDefault="00C21330" w:rsidP="0092613D">
      <w:pPr>
        <w:pStyle w:val="Heading1"/>
        <w:keepNext w:val="0"/>
        <w:keepLines w:val="0"/>
        <w:contextualSpacing/>
        <w:rPr>
          <w:b/>
          <w:bCs/>
          <w:sz w:val="27"/>
          <w:szCs w:val="27"/>
        </w:rPr>
      </w:pPr>
      <w:r w:rsidRPr="763756B6">
        <w:t>Information for Students</w:t>
      </w:r>
    </w:p>
    <w:p w14:paraId="39A4EEE3" w14:textId="705D52CA" w:rsidR="6F0E82F0" w:rsidRDefault="794E3BF5" w:rsidP="794E3BF5">
      <w:pPr>
        <w:pStyle w:val="Heading1"/>
        <w:keepNext w:val="0"/>
        <w:keepLines w:val="0"/>
        <w:contextualSpacing/>
        <w:rPr>
          <w:b/>
          <w:bCs/>
          <w:sz w:val="27"/>
          <w:szCs w:val="27"/>
        </w:rPr>
      </w:pPr>
      <w:r>
        <w:t>Historiographical Paper Assignment</w:t>
      </w:r>
    </w:p>
    <w:p w14:paraId="3A109663" w14:textId="77777777" w:rsidR="00C21330" w:rsidRPr="00C21330" w:rsidRDefault="794E3BF5" w:rsidP="794E3BF5">
      <w:pPr>
        <w:pStyle w:val="Heading2"/>
        <w:keepNext w:val="0"/>
        <w:keepLines w:val="0"/>
        <w:contextualSpacing/>
        <w:rPr>
          <w:b/>
          <w:bCs/>
        </w:rPr>
      </w:pPr>
      <w:r>
        <w:t>Overview</w:t>
      </w:r>
    </w:p>
    <w:p w14:paraId="296625A3" w14:textId="77777777" w:rsidR="00C21330" w:rsidRPr="00C21330" w:rsidRDefault="00C21330" w:rsidP="0092613D">
      <w:pPr>
        <w:spacing w:beforeAutospacing="0" w:after="0" w:afterAutospacing="0" w:line="240" w:lineRule="auto"/>
        <w:contextualSpacing/>
        <w:rPr>
          <w:kern w:val="0"/>
          <w14:ligatures w14:val="none"/>
        </w:rPr>
      </w:pPr>
      <w:r w:rsidRPr="6B32C345">
        <w:rPr>
          <w:kern w:val="0"/>
          <w14:ligatures w14:val="none"/>
        </w:rPr>
        <w:t xml:space="preserve">For this assignment, you will write a historiographical paper analyzing how historians have interpreted a major event, theme, or development in twentieth-century European history. Your paper will synthesize and assess the arguments of at least three scholarly sources, identifying how historians agree, disagree, or build on one another’s interpretations. You will demonstrate your ability to gather information from multiple perspectives and assess </w:t>
      </w:r>
      <w:r w:rsidR="2BCDDDFA" w:rsidRPr="6B32C345">
        <w:rPr>
          <w:kern w:val="0"/>
          <w14:ligatures w14:val="none"/>
        </w:rPr>
        <w:t>its</w:t>
      </w:r>
      <w:r w:rsidRPr="6B32C345">
        <w:rPr>
          <w:kern w:val="0"/>
          <w14:ligatures w14:val="none"/>
        </w:rPr>
        <w:t xml:space="preserve"> significance for understanding history.</w:t>
      </w:r>
    </w:p>
    <w:p w14:paraId="7732D53F" w14:textId="4791180D" w:rsidR="284B0FAE" w:rsidRDefault="284B0FAE" w:rsidP="0092613D">
      <w:pPr>
        <w:spacing w:beforeAutospacing="0" w:after="0" w:afterAutospacing="0" w:line="240" w:lineRule="auto"/>
        <w:contextualSpacing/>
      </w:pPr>
    </w:p>
    <w:p w14:paraId="4EBEB79B" w14:textId="77777777" w:rsidR="00C21330" w:rsidRPr="00C21330" w:rsidRDefault="00C21330" w:rsidP="0092613D">
      <w:pPr>
        <w:spacing w:beforeAutospacing="0" w:after="0" w:afterAutospacing="0" w:line="240" w:lineRule="auto"/>
        <w:contextualSpacing/>
        <w:rPr>
          <w:kern w:val="0"/>
          <w14:ligatures w14:val="none"/>
        </w:rPr>
      </w:pPr>
      <w:r w:rsidRPr="6B32C345">
        <w:rPr>
          <w:kern w:val="0"/>
          <w14:ligatures w14:val="none"/>
        </w:rPr>
        <w:t>As you work on this assignment you will:</w:t>
      </w:r>
    </w:p>
    <w:p w14:paraId="0596838A" w14:textId="77777777" w:rsidR="00C21330" w:rsidRPr="00C21330" w:rsidRDefault="00C21330" w:rsidP="0092613D">
      <w:pPr>
        <w:numPr>
          <w:ilvl w:val="0"/>
          <w:numId w:val="1"/>
        </w:numPr>
        <w:spacing w:beforeAutospacing="0" w:after="0" w:afterAutospacing="0" w:line="240" w:lineRule="auto"/>
        <w:contextualSpacing/>
        <w:rPr>
          <w:kern w:val="0"/>
          <w14:ligatures w14:val="none"/>
        </w:rPr>
      </w:pPr>
      <w:r w:rsidRPr="6B32C345">
        <w:rPr>
          <w:kern w:val="0"/>
          <w14:ligatures w14:val="none"/>
        </w:rPr>
        <w:t>Select a major twentieth-century European historical topic (e.g., causes of World War I, Nazi propaganda, decolonization, 1968 student movements).</w:t>
      </w:r>
    </w:p>
    <w:p w14:paraId="7A40EA85" w14:textId="77777777" w:rsidR="00C21330" w:rsidRPr="00C21330" w:rsidRDefault="00C21330" w:rsidP="0092613D">
      <w:pPr>
        <w:numPr>
          <w:ilvl w:val="0"/>
          <w:numId w:val="1"/>
        </w:numPr>
        <w:spacing w:beforeAutospacing="0" w:after="0" w:afterAutospacing="0" w:line="240" w:lineRule="auto"/>
        <w:contextualSpacing/>
        <w:rPr>
          <w:kern w:val="0"/>
          <w14:ligatures w14:val="none"/>
        </w:rPr>
      </w:pPr>
      <w:r w:rsidRPr="6B32C345">
        <w:rPr>
          <w:kern w:val="0"/>
          <w14:ligatures w14:val="none"/>
        </w:rPr>
        <w:t>Gather information from at least three scholarly historical sources presenting different interpretations.</w:t>
      </w:r>
    </w:p>
    <w:p w14:paraId="2771E2A9" w14:textId="77777777" w:rsidR="00C21330" w:rsidRPr="00C21330" w:rsidRDefault="00C21330" w:rsidP="0092613D">
      <w:pPr>
        <w:numPr>
          <w:ilvl w:val="0"/>
          <w:numId w:val="1"/>
        </w:numPr>
        <w:spacing w:beforeAutospacing="0" w:after="0" w:afterAutospacing="0" w:line="240" w:lineRule="auto"/>
        <w:contextualSpacing/>
        <w:rPr>
          <w:kern w:val="0"/>
          <w14:ligatures w14:val="none"/>
        </w:rPr>
      </w:pPr>
      <w:r w:rsidRPr="6B32C345">
        <w:rPr>
          <w:kern w:val="0"/>
          <w14:ligatures w14:val="none"/>
        </w:rPr>
        <w:t>Summarize each historian’s main argument and evidence.</w:t>
      </w:r>
    </w:p>
    <w:p w14:paraId="57112810" w14:textId="77777777" w:rsidR="00C21330" w:rsidRPr="00C21330" w:rsidRDefault="00C21330" w:rsidP="0092613D">
      <w:pPr>
        <w:numPr>
          <w:ilvl w:val="0"/>
          <w:numId w:val="1"/>
        </w:numPr>
        <w:spacing w:beforeAutospacing="0" w:after="0" w:afterAutospacing="0" w:line="240" w:lineRule="auto"/>
        <w:contextualSpacing/>
        <w:rPr>
          <w:kern w:val="0"/>
          <w14:ligatures w14:val="none"/>
        </w:rPr>
      </w:pPr>
      <w:r w:rsidRPr="6B32C345">
        <w:rPr>
          <w:kern w:val="0"/>
          <w14:ligatures w14:val="none"/>
        </w:rPr>
        <w:t>Assess how these historians agree, disagree, or build on each other’s work.</w:t>
      </w:r>
    </w:p>
    <w:p w14:paraId="483AD045" w14:textId="77777777" w:rsidR="00C21330" w:rsidRPr="00C21330" w:rsidRDefault="00C21330" w:rsidP="0092613D">
      <w:pPr>
        <w:numPr>
          <w:ilvl w:val="0"/>
          <w:numId w:val="1"/>
        </w:numPr>
        <w:spacing w:beforeAutospacing="0" w:after="0" w:afterAutospacing="0" w:line="240" w:lineRule="auto"/>
        <w:contextualSpacing/>
        <w:rPr>
          <w:kern w:val="0"/>
          <w14:ligatures w14:val="none"/>
        </w:rPr>
      </w:pPr>
      <w:r w:rsidRPr="6B32C345">
        <w:rPr>
          <w:kern w:val="0"/>
          <w14:ligatures w14:val="none"/>
        </w:rPr>
        <w:t>Analyze how these different perspectives shape our understanding of the topic.</w:t>
      </w:r>
    </w:p>
    <w:p w14:paraId="1354B478" w14:textId="3D4B6DC1" w:rsidR="00C21330" w:rsidRPr="00C21330" w:rsidRDefault="00C21330" w:rsidP="0092613D">
      <w:pPr>
        <w:spacing w:beforeAutospacing="0" w:after="0" w:afterAutospacing="0" w:line="240" w:lineRule="auto"/>
        <w:contextualSpacing/>
      </w:pPr>
    </w:p>
    <w:p w14:paraId="339C2B6C" w14:textId="77777777" w:rsidR="00C21330" w:rsidRPr="00C21330" w:rsidRDefault="794E3BF5" w:rsidP="794E3BF5">
      <w:pPr>
        <w:pStyle w:val="Heading1"/>
        <w:keepNext w:val="0"/>
        <w:keepLines w:val="0"/>
        <w:contextualSpacing/>
        <w:rPr>
          <w:b/>
          <w:bCs/>
          <w:sz w:val="27"/>
          <w:szCs w:val="27"/>
        </w:rPr>
      </w:pPr>
      <w:r>
        <w:t>Assignment Format &amp; Guidelines</w:t>
      </w:r>
    </w:p>
    <w:p w14:paraId="093AA12F" w14:textId="77777777" w:rsidR="00C21330" w:rsidRPr="00C21330" w:rsidRDefault="00C21330" w:rsidP="0092613D">
      <w:pPr>
        <w:spacing w:beforeAutospacing="0" w:after="0" w:afterAutospacing="0" w:line="240" w:lineRule="auto"/>
        <w:contextualSpacing/>
        <w:rPr>
          <w:kern w:val="0"/>
          <w14:ligatures w14:val="none"/>
        </w:rPr>
      </w:pPr>
      <w:r w:rsidRPr="6B32C345">
        <w:rPr>
          <w:kern w:val="0"/>
          <w14:ligatures w14:val="none"/>
        </w:rPr>
        <w:t>Your historiographical paper will:</w:t>
      </w:r>
    </w:p>
    <w:p w14:paraId="29463E79" w14:textId="08021CBE" w:rsidR="00C21330" w:rsidRPr="00C21330" w:rsidRDefault="00C21330" w:rsidP="0092613D">
      <w:pPr>
        <w:numPr>
          <w:ilvl w:val="0"/>
          <w:numId w:val="2"/>
        </w:numPr>
        <w:spacing w:beforeAutospacing="0" w:after="0" w:afterAutospacing="0" w:line="240" w:lineRule="auto"/>
        <w:contextualSpacing/>
        <w:rPr>
          <w:kern w:val="0"/>
          <w14:ligatures w14:val="none"/>
        </w:rPr>
      </w:pPr>
      <w:r w:rsidRPr="6B32C345">
        <w:rPr>
          <w:kern w:val="0"/>
          <w14:ligatures w14:val="none"/>
        </w:rPr>
        <w:t xml:space="preserve">Be 4–5 pages in length, typed and </w:t>
      </w:r>
      <w:r w:rsidR="0092613D">
        <w:rPr>
          <w:kern w:val="0"/>
          <w14:ligatures w14:val="none"/>
        </w:rPr>
        <w:t>sing</w:t>
      </w:r>
      <w:r w:rsidRPr="6B32C345">
        <w:rPr>
          <w:kern w:val="0"/>
          <w14:ligatures w14:val="none"/>
        </w:rPr>
        <w:t>le-spaced, using</w:t>
      </w:r>
      <w:r w:rsidR="5F0CABC2" w:rsidRPr="6B32C345">
        <w:rPr>
          <w:kern w:val="0"/>
          <w14:ligatures w14:val="none"/>
        </w:rPr>
        <w:t xml:space="preserve"> </w:t>
      </w:r>
      <w:r w:rsidRPr="6B32C345">
        <w:rPr>
          <w:kern w:val="0"/>
          <w14:ligatures w14:val="none"/>
        </w:rPr>
        <w:t>12-point font.</w:t>
      </w:r>
    </w:p>
    <w:p w14:paraId="13DD8952" w14:textId="77777777" w:rsidR="00C21330" w:rsidRPr="00C21330" w:rsidRDefault="00C21330" w:rsidP="0092613D">
      <w:pPr>
        <w:numPr>
          <w:ilvl w:val="0"/>
          <w:numId w:val="2"/>
        </w:numPr>
        <w:spacing w:beforeAutospacing="0" w:after="0" w:afterAutospacing="0" w:line="240" w:lineRule="auto"/>
        <w:contextualSpacing/>
        <w:rPr>
          <w:kern w:val="0"/>
          <w14:ligatures w14:val="none"/>
        </w:rPr>
      </w:pPr>
      <w:r w:rsidRPr="6B32C345">
        <w:rPr>
          <w:kern w:val="0"/>
          <w14:ligatures w14:val="none"/>
        </w:rPr>
        <w:t>Use Chicago Manual of Style citation format (footnotes) and include a bibliography.</w:t>
      </w:r>
    </w:p>
    <w:p w14:paraId="34E9C543" w14:textId="77777777" w:rsidR="00C21330" w:rsidRPr="00C21330" w:rsidRDefault="00C21330" w:rsidP="0092613D">
      <w:pPr>
        <w:numPr>
          <w:ilvl w:val="0"/>
          <w:numId w:val="2"/>
        </w:numPr>
        <w:spacing w:beforeAutospacing="0" w:after="0" w:afterAutospacing="0" w:line="240" w:lineRule="auto"/>
        <w:contextualSpacing/>
        <w:rPr>
          <w:kern w:val="0"/>
          <w14:ligatures w14:val="none"/>
        </w:rPr>
      </w:pPr>
      <w:r w:rsidRPr="6B32C345">
        <w:rPr>
          <w:kern w:val="0"/>
          <w14:ligatures w14:val="none"/>
        </w:rPr>
        <w:lastRenderedPageBreak/>
        <w:t>Include an introduction identifying your topic and summarizing the focus of your historiographical review.</w:t>
      </w:r>
    </w:p>
    <w:p w14:paraId="07417735" w14:textId="77777777" w:rsidR="00C21330" w:rsidRPr="00C21330" w:rsidRDefault="00C21330" w:rsidP="0092613D">
      <w:pPr>
        <w:numPr>
          <w:ilvl w:val="0"/>
          <w:numId w:val="2"/>
        </w:numPr>
        <w:spacing w:beforeAutospacing="0" w:after="0" w:afterAutospacing="0" w:line="240" w:lineRule="auto"/>
        <w:contextualSpacing/>
        <w:rPr>
          <w:kern w:val="0"/>
          <w14:ligatures w14:val="none"/>
        </w:rPr>
      </w:pPr>
      <w:r w:rsidRPr="6B32C345">
        <w:rPr>
          <w:kern w:val="0"/>
          <w14:ligatures w14:val="none"/>
        </w:rPr>
        <w:t>Present body paragraphs summarizing and assessing each historian’s argument.</w:t>
      </w:r>
    </w:p>
    <w:p w14:paraId="7586D3E3" w14:textId="77777777" w:rsidR="00C21330" w:rsidRPr="00C21330" w:rsidRDefault="00C21330" w:rsidP="0092613D">
      <w:pPr>
        <w:numPr>
          <w:ilvl w:val="0"/>
          <w:numId w:val="2"/>
        </w:numPr>
        <w:spacing w:beforeAutospacing="0" w:after="0" w:afterAutospacing="0" w:line="240" w:lineRule="auto"/>
        <w:contextualSpacing/>
        <w:rPr>
          <w:kern w:val="0"/>
          <w14:ligatures w14:val="none"/>
        </w:rPr>
      </w:pPr>
      <w:r w:rsidRPr="6B32C345">
        <w:rPr>
          <w:kern w:val="0"/>
          <w14:ligatures w14:val="none"/>
        </w:rPr>
        <w:t>Include an analysis of how the interpretations compare and what these differences reveal about the topic.</w:t>
      </w:r>
    </w:p>
    <w:p w14:paraId="507BAF0A" w14:textId="77777777" w:rsidR="00C21330" w:rsidRPr="00C21330" w:rsidRDefault="00C21330" w:rsidP="0092613D">
      <w:pPr>
        <w:numPr>
          <w:ilvl w:val="0"/>
          <w:numId w:val="2"/>
        </w:numPr>
        <w:spacing w:beforeAutospacing="0" w:after="0" w:afterAutospacing="0" w:line="240" w:lineRule="auto"/>
        <w:contextualSpacing/>
        <w:rPr>
          <w:kern w:val="0"/>
          <w14:ligatures w14:val="none"/>
        </w:rPr>
      </w:pPr>
      <w:r w:rsidRPr="6B32C345">
        <w:rPr>
          <w:kern w:val="0"/>
          <w14:ligatures w14:val="none"/>
        </w:rPr>
        <w:t>Use clear academic writing with complete sentences and proper grammar.</w:t>
      </w:r>
    </w:p>
    <w:p w14:paraId="1D104711" w14:textId="156B74FA" w:rsidR="00C21330" w:rsidRPr="00C21330" w:rsidRDefault="00C21330" w:rsidP="0092613D">
      <w:pPr>
        <w:spacing w:beforeAutospacing="0" w:after="0" w:afterAutospacing="0" w:line="240" w:lineRule="auto"/>
        <w:contextualSpacing/>
      </w:pPr>
    </w:p>
    <w:p w14:paraId="14831DE9" w14:textId="77777777" w:rsidR="00C21330" w:rsidRPr="00C21330" w:rsidRDefault="794E3BF5" w:rsidP="794E3BF5">
      <w:pPr>
        <w:pStyle w:val="Heading1"/>
        <w:keepNext w:val="0"/>
        <w:keepLines w:val="0"/>
        <w:contextualSpacing/>
        <w:rPr>
          <w:b/>
          <w:bCs/>
          <w:sz w:val="27"/>
          <w:szCs w:val="27"/>
        </w:rPr>
      </w:pPr>
      <w:r>
        <w:t>Assessment Criteria</w:t>
      </w:r>
    </w:p>
    <w:p w14:paraId="7E80053B" w14:textId="20F1BD39" w:rsidR="305A0F49" w:rsidRDefault="305A0F49" w:rsidP="0092613D">
      <w:pPr>
        <w:spacing w:beforeAutospacing="0" w:after="0" w:afterAutospacing="0" w:line="240" w:lineRule="auto"/>
        <w:contextualSpacing/>
      </w:pPr>
      <w:r>
        <w:t>Your assignment will be graded on your:</w:t>
      </w:r>
    </w:p>
    <w:p w14:paraId="051F391B" w14:textId="75BC163E" w:rsidR="00C21330" w:rsidRPr="00C21330" w:rsidRDefault="30F98E2C" w:rsidP="0092613D">
      <w:pPr>
        <w:numPr>
          <w:ilvl w:val="0"/>
          <w:numId w:val="3"/>
        </w:numPr>
        <w:spacing w:beforeAutospacing="0" w:after="0" w:afterAutospacing="0" w:line="240" w:lineRule="auto"/>
        <w:contextualSpacing/>
        <w:rPr>
          <w:kern w:val="0"/>
          <w14:ligatures w14:val="none"/>
        </w:rPr>
      </w:pPr>
      <w:r w:rsidRPr="6B32C345">
        <w:rPr>
          <w:kern w:val="0"/>
          <w14:ligatures w14:val="none"/>
        </w:rPr>
        <w:t>Select</w:t>
      </w:r>
      <w:r w:rsidR="60B78811" w:rsidRPr="6B32C345">
        <w:rPr>
          <w:kern w:val="0"/>
          <w14:ligatures w14:val="none"/>
        </w:rPr>
        <w:t>ion of</w:t>
      </w:r>
      <w:r w:rsidR="00C21330" w:rsidRPr="6B32C345">
        <w:rPr>
          <w:kern w:val="0"/>
          <w14:ligatures w14:val="none"/>
        </w:rPr>
        <w:t xml:space="preserve"> an appropriate historical topic aligned with assignment guidelines</w:t>
      </w:r>
      <w:bookmarkStart w:id="0" w:name="_Int_VD1b2xvX"/>
      <w:r w:rsidR="00C21330" w:rsidRPr="6B32C345">
        <w:rPr>
          <w:kern w:val="0"/>
          <w14:ligatures w14:val="none"/>
        </w:rPr>
        <w:t>.</w:t>
      </w:r>
      <w:bookmarkEnd w:id="0"/>
    </w:p>
    <w:p w14:paraId="08506CFA" w14:textId="431FD302" w:rsidR="00C21330" w:rsidRPr="00C21330" w:rsidRDefault="00C21330" w:rsidP="0092613D">
      <w:pPr>
        <w:numPr>
          <w:ilvl w:val="0"/>
          <w:numId w:val="3"/>
        </w:numPr>
        <w:spacing w:beforeAutospacing="0" w:after="0" w:afterAutospacing="0" w:line="240" w:lineRule="auto"/>
        <w:contextualSpacing/>
        <w:rPr>
          <w:kern w:val="0"/>
          <w14:ligatures w14:val="none"/>
        </w:rPr>
      </w:pPr>
      <w:r w:rsidRPr="6B32C345">
        <w:rPr>
          <w:kern w:val="0"/>
          <w14:ligatures w14:val="none"/>
        </w:rPr>
        <w:t>Summar</w:t>
      </w:r>
      <w:r w:rsidR="2295E8A6" w:rsidRPr="6B32C345">
        <w:rPr>
          <w:kern w:val="0"/>
          <w14:ligatures w14:val="none"/>
        </w:rPr>
        <w:t>y</w:t>
      </w:r>
      <w:r w:rsidR="6F8275FB" w:rsidRPr="6B32C345">
        <w:rPr>
          <w:kern w:val="0"/>
          <w14:ligatures w14:val="none"/>
        </w:rPr>
        <w:t xml:space="preserve"> of</w:t>
      </w:r>
      <w:r w:rsidRPr="6B32C345">
        <w:rPr>
          <w:kern w:val="0"/>
          <w14:ligatures w14:val="none"/>
        </w:rPr>
        <w:t xml:space="preserve"> each historian’s argument clearly and accurately.</w:t>
      </w:r>
    </w:p>
    <w:p w14:paraId="107167DF" w14:textId="01957A54" w:rsidR="00C21330" w:rsidRPr="00C21330" w:rsidRDefault="00C21330" w:rsidP="0092613D">
      <w:pPr>
        <w:numPr>
          <w:ilvl w:val="0"/>
          <w:numId w:val="3"/>
        </w:numPr>
        <w:spacing w:beforeAutospacing="0" w:after="0" w:afterAutospacing="0" w:line="240" w:lineRule="auto"/>
        <w:contextualSpacing/>
        <w:rPr>
          <w:kern w:val="0"/>
          <w14:ligatures w14:val="none"/>
        </w:rPr>
      </w:pPr>
      <w:r w:rsidRPr="6B32C345">
        <w:rPr>
          <w:kern w:val="0"/>
          <w14:ligatures w14:val="none"/>
        </w:rPr>
        <w:t>Interpret</w:t>
      </w:r>
      <w:r w:rsidR="55A58328" w:rsidRPr="6B32C345">
        <w:rPr>
          <w:kern w:val="0"/>
          <w14:ligatures w14:val="none"/>
        </w:rPr>
        <w:t>ation</w:t>
      </w:r>
      <w:r w:rsidRPr="6B32C345">
        <w:rPr>
          <w:kern w:val="0"/>
          <w14:ligatures w14:val="none"/>
        </w:rPr>
        <w:t xml:space="preserve"> and assess</w:t>
      </w:r>
      <w:r w:rsidR="3118DBED" w:rsidRPr="6B32C345">
        <w:rPr>
          <w:kern w:val="0"/>
          <w14:ligatures w14:val="none"/>
        </w:rPr>
        <w:t>ment of</w:t>
      </w:r>
      <w:r w:rsidRPr="6B32C345">
        <w:rPr>
          <w:kern w:val="0"/>
          <w14:ligatures w14:val="none"/>
        </w:rPr>
        <w:t xml:space="preserve"> differing historical perspectives effectively.</w:t>
      </w:r>
    </w:p>
    <w:p w14:paraId="69AAA090" w14:textId="0D5083B4" w:rsidR="00C21330" w:rsidRPr="00C21330" w:rsidRDefault="00C21330" w:rsidP="0092613D">
      <w:pPr>
        <w:numPr>
          <w:ilvl w:val="0"/>
          <w:numId w:val="3"/>
        </w:numPr>
        <w:spacing w:beforeAutospacing="0" w:after="0" w:afterAutospacing="0" w:line="240" w:lineRule="auto"/>
        <w:contextualSpacing/>
        <w:rPr>
          <w:kern w:val="0"/>
          <w14:ligatures w14:val="none"/>
        </w:rPr>
      </w:pPr>
      <w:r w:rsidRPr="6B32C345">
        <w:rPr>
          <w:kern w:val="0"/>
          <w14:ligatures w14:val="none"/>
        </w:rPr>
        <w:t>Analy</w:t>
      </w:r>
      <w:r w:rsidR="31F31D59" w:rsidRPr="6B32C345">
        <w:rPr>
          <w:kern w:val="0"/>
          <w14:ligatures w14:val="none"/>
        </w:rPr>
        <w:t>sis of</w:t>
      </w:r>
      <w:r w:rsidRPr="6B32C345">
        <w:rPr>
          <w:kern w:val="0"/>
          <w14:ligatures w14:val="none"/>
        </w:rPr>
        <w:t xml:space="preserve"> </w:t>
      </w:r>
      <w:r w:rsidR="169FA656" w:rsidRPr="6B32C345">
        <w:rPr>
          <w:kern w:val="0"/>
          <w14:ligatures w14:val="none"/>
        </w:rPr>
        <w:t xml:space="preserve">how the </w:t>
      </w:r>
      <w:r w:rsidRPr="6B32C345">
        <w:rPr>
          <w:kern w:val="0"/>
          <w14:ligatures w14:val="none"/>
        </w:rPr>
        <w:t>differences in interpretation shape understanding of the topic.</w:t>
      </w:r>
    </w:p>
    <w:p w14:paraId="51DEAA40" w14:textId="4BF25B19" w:rsidR="00C21330" w:rsidRPr="00C21330" w:rsidRDefault="00C21330" w:rsidP="0092613D">
      <w:pPr>
        <w:numPr>
          <w:ilvl w:val="0"/>
          <w:numId w:val="3"/>
        </w:numPr>
        <w:spacing w:beforeAutospacing="0" w:after="0" w:afterAutospacing="0" w:line="240" w:lineRule="auto"/>
        <w:contextualSpacing/>
        <w:rPr>
          <w:kern w:val="0"/>
          <w14:ligatures w14:val="none"/>
        </w:rPr>
      </w:pPr>
      <w:r w:rsidRPr="6B32C345">
        <w:rPr>
          <w:kern w:val="0"/>
          <w14:ligatures w14:val="none"/>
        </w:rPr>
        <w:t>Use</w:t>
      </w:r>
      <w:r w:rsidR="1F5B629A" w:rsidRPr="6B32C345">
        <w:rPr>
          <w:kern w:val="0"/>
          <w14:ligatures w14:val="none"/>
        </w:rPr>
        <w:t xml:space="preserve"> of</w:t>
      </w:r>
      <w:r w:rsidRPr="6B32C345">
        <w:rPr>
          <w:kern w:val="0"/>
          <w14:ligatures w14:val="none"/>
        </w:rPr>
        <w:t xml:space="preserve"> ethical attribution and correct Chicago</w:t>
      </w:r>
      <w:r w:rsidR="2709EBD6" w:rsidRPr="6B32C345">
        <w:rPr>
          <w:kern w:val="0"/>
          <w14:ligatures w14:val="none"/>
        </w:rPr>
        <w:t xml:space="preserve"> Manual of Style</w:t>
      </w:r>
      <w:r w:rsidRPr="6B32C345">
        <w:rPr>
          <w:kern w:val="0"/>
          <w14:ligatures w14:val="none"/>
        </w:rPr>
        <w:t xml:space="preserve"> citation format throughout.</w:t>
      </w:r>
    </w:p>
    <w:p w14:paraId="47C3117E" w14:textId="000CA9AF" w:rsidR="00C21330" w:rsidRDefault="00C21330" w:rsidP="0092613D">
      <w:pPr>
        <w:numPr>
          <w:ilvl w:val="0"/>
          <w:numId w:val="3"/>
        </w:numPr>
        <w:spacing w:beforeAutospacing="0" w:after="0" w:afterAutospacing="0" w:line="240" w:lineRule="auto"/>
        <w:contextualSpacing/>
        <w:rPr>
          <w:kern w:val="0"/>
          <w14:ligatures w14:val="none"/>
        </w:rPr>
      </w:pPr>
      <w:r w:rsidRPr="6B32C345">
        <w:rPr>
          <w:kern w:val="0"/>
          <w14:ligatures w14:val="none"/>
        </w:rPr>
        <w:t>Demonstrat</w:t>
      </w:r>
      <w:r w:rsidR="6C470C2C" w:rsidRPr="6B32C345">
        <w:rPr>
          <w:kern w:val="0"/>
          <w14:ligatures w14:val="none"/>
        </w:rPr>
        <w:t xml:space="preserve">ion of </w:t>
      </w:r>
      <w:r w:rsidRPr="6B32C345">
        <w:rPr>
          <w:kern w:val="0"/>
          <w14:ligatures w14:val="none"/>
        </w:rPr>
        <w:t>clear, organized, and coherent writing</w:t>
      </w:r>
      <w:r w:rsidR="5B7498E7" w:rsidRPr="6B32C345">
        <w:rPr>
          <w:kern w:val="0"/>
          <w14:ligatures w14:val="none"/>
        </w:rPr>
        <w:t xml:space="preserve">, using appropriate academic writing style, </w:t>
      </w:r>
      <w:r w:rsidRPr="6B32C345">
        <w:rPr>
          <w:kern w:val="0"/>
          <w14:ligatures w14:val="none"/>
        </w:rPr>
        <w:t>grammar, punctuation, and formatting.</w:t>
      </w:r>
    </w:p>
    <w:p w14:paraId="5E87501B" w14:textId="77777777" w:rsidR="00D40060" w:rsidRPr="00C21330" w:rsidRDefault="00D40060" w:rsidP="00D40060">
      <w:pPr>
        <w:spacing w:beforeAutospacing="0" w:after="0" w:afterAutospacing="0" w:line="240" w:lineRule="auto"/>
        <w:ind w:left="720"/>
        <w:contextualSpacing/>
        <w:rPr>
          <w:kern w:val="0"/>
          <w14:ligatures w14:val="none"/>
        </w:rPr>
      </w:pPr>
    </w:p>
    <w:tbl>
      <w:tblPr>
        <w:tblStyle w:val="TableGrid"/>
        <w:tblW w:w="0" w:type="auto"/>
        <w:tblLook w:val="04A0" w:firstRow="1" w:lastRow="0" w:firstColumn="1" w:lastColumn="0" w:noHBand="0" w:noVBand="1"/>
      </w:tblPr>
      <w:tblGrid>
        <w:gridCol w:w="2040"/>
        <w:gridCol w:w="2043"/>
        <w:gridCol w:w="2043"/>
        <w:gridCol w:w="2039"/>
        <w:gridCol w:w="2039"/>
      </w:tblGrid>
      <w:tr w:rsidR="00D40060" w14:paraId="5125B28F" w14:textId="77777777" w:rsidTr="00EA7497">
        <w:tc>
          <w:tcPr>
            <w:tcW w:w="10225" w:type="dxa"/>
            <w:gridSpan w:val="5"/>
            <w:tcBorders>
              <w:top w:val="single" w:sz="8" w:space="0" w:color="FFFFFF"/>
              <w:left w:val="single" w:sz="8" w:space="0" w:color="FFFFFF"/>
              <w:bottom w:val="single" w:sz="8" w:space="0" w:color="FFFFFF"/>
              <w:right w:val="single" w:sz="8" w:space="0" w:color="FFFFFF"/>
            </w:tcBorders>
            <w:shd w:val="clear" w:color="auto" w:fill="000000"/>
          </w:tcPr>
          <w:p w14:paraId="31742E6C" w14:textId="77777777" w:rsidR="00D40060" w:rsidRDefault="00D40060" w:rsidP="00EA7497">
            <w:pPr>
              <w:jc w:val="center"/>
            </w:pPr>
            <w:r>
              <w:rPr>
                <w:b/>
                <w:color w:val="FFFFFF"/>
                <w:sz w:val="28"/>
              </w:rPr>
              <w:t>Historiographical Paper Assignment Grading Rubric</w:t>
            </w:r>
          </w:p>
        </w:tc>
      </w:tr>
      <w:tr w:rsidR="00D40060" w14:paraId="6217C761" w14:textId="77777777" w:rsidTr="00EA7497">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2E40032C" w14:textId="77777777" w:rsidR="00D40060" w:rsidRDefault="00D40060" w:rsidP="00EA7497">
            <w:pPr>
              <w:jc w:val="center"/>
            </w:pPr>
            <w:r>
              <w:rPr>
                <w:b/>
                <w:color w:val="FFFFFF"/>
              </w:rPr>
              <w:t>Criteria</w:t>
            </w:r>
          </w:p>
        </w:tc>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68C6860D" w14:textId="77777777" w:rsidR="00D40060" w:rsidRDefault="00D40060" w:rsidP="00EA7497">
            <w:pPr>
              <w:jc w:val="center"/>
            </w:pPr>
            <w:r>
              <w:rPr>
                <w:b/>
                <w:color w:val="FFFFFF"/>
              </w:rPr>
              <w:t>Exceeds Expectations</w:t>
            </w:r>
          </w:p>
        </w:tc>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23117D1D" w14:textId="77777777" w:rsidR="00D40060" w:rsidRDefault="00D40060" w:rsidP="00EA7497">
            <w:pPr>
              <w:jc w:val="center"/>
            </w:pPr>
            <w:r>
              <w:rPr>
                <w:b/>
                <w:color w:val="FFFFFF"/>
              </w:rPr>
              <w:t>Meets Expectations</w:t>
            </w:r>
          </w:p>
        </w:tc>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70F97396" w14:textId="77777777" w:rsidR="00D40060" w:rsidRDefault="00D40060" w:rsidP="00EA7497">
            <w:pPr>
              <w:jc w:val="center"/>
            </w:pPr>
            <w:r>
              <w:rPr>
                <w:b/>
                <w:color w:val="FFFFFF"/>
              </w:rPr>
              <w:t>Approaches Expectations</w:t>
            </w:r>
          </w:p>
        </w:tc>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2CD42838" w14:textId="77777777" w:rsidR="00D40060" w:rsidRDefault="00D40060" w:rsidP="00EA7497">
            <w:pPr>
              <w:jc w:val="center"/>
            </w:pPr>
            <w:r>
              <w:rPr>
                <w:b/>
                <w:color w:val="FFFFFF"/>
              </w:rPr>
              <w:t>Developing</w:t>
            </w:r>
          </w:p>
        </w:tc>
      </w:tr>
      <w:tr w:rsidR="00D40060" w14:paraId="0B8C7EC7" w14:textId="77777777" w:rsidTr="00EA7497">
        <w:tc>
          <w:tcPr>
            <w:tcW w:w="2045" w:type="dxa"/>
          </w:tcPr>
          <w:p w14:paraId="4548C8AD" w14:textId="77777777" w:rsidR="00D40060" w:rsidRDefault="00D40060" w:rsidP="00D40060">
            <w:pPr>
              <w:spacing w:beforeAutospacing="0" w:afterAutospacing="0"/>
              <w:contextualSpacing/>
              <w:rPr>
                <w:b/>
              </w:rPr>
            </w:pPr>
            <w:r>
              <w:rPr>
                <w:b/>
              </w:rPr>
              <w:t xml:space="preserve">Topic Selection &amp; Introduction </w:t>
            </w:r>
          </w:p>
          <w:p w14:paraId="14477908" w14:textId="77777777" w:rsidR="00D40060" w:rsidRDefault="00D40060" w:rsidP="00D40060">
            <w:pPr>
              <w:spacing w:beforeAutospacing="0" w:afterAutospacing="0"/>
              <w:contextualSpacing/>
            </w:pPr>
            <w:r>
              <w:rPr>
                <w:b/>
              </w:rPr>
              <w:t>(20 points)</w:t>
            </w:r>
          </w:p>
        </w:tc>
        <w:tc>
          <w:tcPr>
            <w:tcW w:w="2045" w:type="dxa"/>
          </w:tcPr>
          <w:p w14:paraId="14FAD5C4" w14:textId="77777777" w:rsidR="00D40060" w:rsidRDefault="00D40060" w:rsidP="00D40060">
            <w:pPr>
              <w:spacing w:beforeAutospacing="0" w:afterAutospacing="0"/>
              <w:contextualSpacing/>
            </w:pPr>
            <w:r>
              <w:t>Selects an insightful topic with a clear, sophisticated introduction framing historiographical issues.</w:t>
            </w:r>
            <w:r>
              <w:br/>
              <w:t>(18–20 points)</w:t>
            </w:r>
          </w:p>
        </w:tc>
        <w:tc>
          <w:tcPr>
            <w:tcW w:w="2045" w:type="dxa"/>
          </w:tcPr>
          <w:p w14:paraId="75E779F8" w14:textId="77777777" w:rsidR="00D40060" w:rsidRDefault="00D40060" w:rsidP="00D40060">
            <w:pPr>
              <w:spacing w:beforeAutospacing="0" w:afterAutospacing="0"/>
              <w:contextualSpacing/>
            </w:pPr>
            <w:r>
              <w:t>Selects an appropriate topic with a clear introduction framing historiographical issues.</w:t>
            </w:r>
            <w:r>
              <w:br/>
              <w:t>(14–17 points)</w:t>
            </w:r>
          </w:p>
        </w:tc>
        <w:tc>
          <w:tcPr>
            <w:tcW w:w="2045" w:type="dxa"/>
          </w:tcPr>
          <w:p w14:paraId="4C3F2105" w14:textId="77777777" w:rsidR="00D40060" w:rsidRDefault="00D40060" w:rsidP="00D40060">
            <w:pPr>
              <w:spacing w:beforeAutospacing="0" w:afterAutospacing="0"/>
              <w:contextualSpacing/>
            </w:pPr>
            <w:r>
              <w:t xml:space="preserve">Topic is somewhat </w:t>
            </w:r>
            <w:proofErr w:type="gramStart"/>
            <w:r>
              <w:t>appropriate</w:t>
            </w:r>
            <w:proofErr w:type="gramEnd"/>
            <w:r>
              <w:t xml:space="preserve"> but introduction is somewhat vague or lacks focus.</w:t>
            </w:r>
            <w:r>
              <w:br/>
              <w:t>(10–13 points)</w:t>
            </w:r>
          </w:p>
        </w:tc>
        <w:tc>
          <w:tcPr>
            <w:tcW w:w="2045" w:type="dxa"/>
          </w:tcPr>
          <w:p w14:paraId="2CE29575" w14:textId="77777777" w:rsidR="00D40060" w:rsidRDefault="00D40060" w:rsidP="00D40060">
            <w:pPr>
              <w:spacing w:beforeAutospacing="0" w:afterAutospacing="0"/>
              <w:contextualSpacing/>
            </w:pPr>
            <w:r>
              <w:t>Topic is too broad/</w:t>
            </w:r>
            <w:proofErr w:type="gramStart"/>
            <w:r>
              <w:t>narrow</w:t>
            </w:r>
            <w:proofErr w:type="gramEnd"/>
            <w:r>
              <w:t xml:space="preserve"> or introduction is unclear.</w:t>
            </w:r>
            <w:r>
              <w:br/>
              <w:t>(0–9 points)</w:t>
            </w:r>
          </w:p>
        </w:tc>
      </w:tr>
      <w:tr w:rsidR="00D40060" w14:paraId="66CFBB18" w14:textId="77777777" w:rsidTr="00EA7497">
        <w:tc>
          <w:tcPr>
            <w:tcW w:w="2045" w:type="dxa"/>
          </w:tcPr>
          <w:p w14:paraId="27E84088" w14:textId="77777777" w:rsidR="00D40060" w:rsidRDefault="00D40060" w:rsidP="00D40060">
            <w:pPr>
              <w:spacing w:beforeAutospacing="0" w:afterAutospacing="0"/>
              <w:contextualSpacing/>
              <w:rPr>
                <w:b/>
              </w:rPr>
            </w:pPr>
            <w:r>
              <w:rPr>
                <w:b/>
              </w:rPr>
              <w:t xml:space="preserve">Summary of Historians’ Arguments </w:t>
            </w:r>
          </w:p>
          <w:p w14:paraId="140069A4" w14:textId="77777777" w:rsidR="00D40060" w:rsidRDefault="00D40060" w:rsidP="00D40060">
            <w:pPr>
              <w:spacing w:beforeAutospacing="0" w:afterAutospacing="0"/>
              <w:contextualSpacing/>
            </w:pPr>
            <w:r>
              <w:rPr>
                <w:b/>
              </w:rPr>
              <w:t>(20 points)</w:t>
            </w:r>
          </w:p>
        </w:tc>
        <w:tc>
          <w:tcPr>
            <w:tcW w:w="2045" w:type="dxa"/>
          </w:tcPr>
          <w:p w14:paraId="6EE16FF3" w14:textId="77777777" w:rsidR="00D40060" w:rsidRDefault="00D40060" w:rsidP="00D40060">
            <w:pPr>
              <w:spacing w:beforeAutospacing="0" w:afterAutospacing="0"/>
              <w:contextualSpacing/>
            </w:pPr>
            <w:r>
              <w:t>Thoroughly and accurately summarizes each historian’s main arguments and evidence.</w:t>
            </w:r>
            <w:r>
              <w:br/>
              <w:t>(18–20 points)</w:t>
            </w:r>
          </w:p>
        </w:tc>
        <w:tc>
          <w:tcPr>
            <w:tcW w:w="2045" w:type="dxa"/>
          </w:tcPr>
          <w:p w14:paraId="5990A008" w14:textId="77777777" w:rsidR="00D40060" w:rsidRDefault="00D40060" w:rsidP="00D40060">
            <w:pPr>
              <w:spacing w:beforeAutospacing="0" w:afterAutospacing="0"/>
              <w:contextualSpacing/>
            </w:pPr>
            <w:r>
              <w:t>Summarizes each historian’s main arguments clearly.</w:t>
            </w:r>
            <w:r>
              <w:br/>
              <w:t>(14–17 points)</w:t>
            </w:r>
          </w:p>
        </w:tc>
        <w:tc>
          <w:tcPr>
            <w:tcW w:w="2045" w:type="dxa"/>
          </w:tcPr>
          <w:p w14:paraId="1C583C55" w14:textId="77777777" w:rsidR="00D40060" w:rsidRDefault="00D40060" w:rsidP="00D40060">
            <w:pPr>
              <w:spacing w:beforeAutospacing="0" w:afterAutospacing="0"/>
              <w:contextualSpacing/>
            </w:pPr>
            <w:r>
              <w:t>Summaries are somewhat incomplete, lacking important details.</w:t>
            </w:r>
            <w:r>
              <w:br/>
              <w:t>(10–13 points)</w:t>
            </w:r>
          </w:p>
        </w:tc>
        <w:tc>
          <w:tcPr>
            <w:tcW w:w="2045" w:type="dxa"/>
          </w:tcPr>
          <w:p w14:paraId="000F522A" w14:textId="77777777" w:rsidR="00D40060" w:rsidRDefault="00D40060" w:rsidP="00D40060">
            <w:pPr>
              <w:spacing w:beforeAutospacing="0" w:afterAutospacing="0"/>
              <w:contextualSpacing/>
            </w:pPr>
            <w:r>
              <w:t xml:space="preserve">Summaries are incomplete, </w:t>
            </w:r>
            <w:proofErr w:type="spellStart"/>
            <w:r>
              <w:t>unlcear</w:t>
            </w:r>
            <w:proofErr w:type="spellEnd"/>
            <w:r>
              <w:t>, or inaccurate.</w:t>
            </w:r>
            <w:r>
              <w:br/>
              <w:t>(0–9 points)</w:t>
            </w:r>
          </w:p>
        </w:tc>
      </w:tr>
      <w:tr w:rsidR="00D40060" w14:paraId="16BDB22C" w14:textId="77777777" w:rsidTr="00EA7497">
        <w:tc>
          <w:tcPr>
            <w:tcW w:w="2045" w:type="dxa"/>
          </w:tcPr>
          <w:p w14:paraId="4A497D82" w14:textId="77777777" w:rsidR="00D40060" w:rsidRDefault="00D40060" w:rsidP="00D40060">
            <w:pPr>
              <w:spacing w:beforeAutospacing="0" w:afterAutospacing="0"/>
              <w:contextualSpacing/>
              <w:rPr>
                <w:b/>
              </w:rPr>
            </w:pPr>
            <w:r>
              <w:rPr>
                <w:b/>
              </w:rPr>
              <w:t xml:space="preserve">Interpretation &amp; Assessment </w:t>
            </w:r>
          </w:p>
          <w:p w14:paraId="0060BA06" w14:textId="77777777" w:rsidR="00D40060" w:rsidRDefault="00D40060" w:rsidP="00D40060">
            <w:pPr>
              <w:spacing w:beforeAutospacing="0" w:afterAutospacing="0"/>
              <w:contextualSpacing/>
            </w:pPr>
            <w:r>
              <w:rPr>
                <w:b/>
              </w:rPr>
              <w:t>(20 points)</w:t>
            </w:r>
          </w:p>
        </w:tc>
        <w:tc>
          <w:tcPr>
            <w:tcW w:w="2045" w:type="dxa"/>
          </w:tcPr>
          <w:p w14:paraId="19CD2AD5" w14:textId="77777777" w:rsidR="00D40060" w:rsidRDefault="00D40060" w:rsidP="00D40060">
            <w:pPr>
              <w:spacing w:beforeAutospacing="0" w:afterAutospacing="0"/>
              <w:contextualSpacing/>
            </w:pPr>
            <w:r>
              <w:t xml:space="preserve">Insightfully interprets and assesses differing perspectives with </w:t>
            </w:r>
            <w:r>
              <w:lastRenderedPageBreak/>
              <w:t>clear analysis of significance.</w:t>
            </w:r>
            <w:r>
              <w:br/>
              <w:t>(18–20 points)</w:t>
            </w:r>
          </w:p>
        </w:tc>
        <w:tc>
          <w:tcPr>
            <w:tcW w:w="2045" w:type="dxa"/>
          </w:tcPr>
          <w:p w14:paraId="6EF0FF20" w14:textId="77777777" w:rsidR="00D40060" w:rsidRDefault="00D40060" w:rsidP="00D40060">
            <w:pPr>
              <w:spacing w:beforeAutospacing="0" w:afterAutospacing="0"/>
              <w:contextualSpacing/>
            </w:pPr>
            <w:r>
              <w:lastRenderedPageBreak/>
              <w:t xml:space="preserve">Interprets and assesses differing perspectives with </w:t>
            </w:r>
            <w:r>
              <w:lastRenderedPageBreak/>
              <w:t>general analysis.</w:t>
            </w:r>
            <w:r>
              <w:br/>
              <w:t>(14–17 points)</w:t>
            </w:r>
          </w:p>
        </w:tc>
        <w:tc>
          <w:tcPr>
            <w:tcW w:w="2045" w:type="dxa"/>
          </w:tcPr>
          <w:p w14:paraId="2E785D5A" w14:textId="77777777" w:rsidR="00D40060" w:rsidRDefault="00D40060" w:rsidP="00D40060">
            <w:pPr>
              <w:spacing w:beforeAutospacing="0" w:afterAutospacing="0"/>
              <w:contextualSpacing/>
            </w:pPr>
            <w:r>
              <w:lastRenderedPageBreak/>
              <w:t xml:space="preserve">Interpretation is attempted but lacks clarity, depth, or </w:t>
            </w:r>
            <w:r>
              <w:lastRenderedPageBreak/>
              <w:t>sufficient analysis.</w:t>
            </w:r>
            <w:r>
              <w:br/>
              <w:t>(10–13 points)</w:t>
            </w:r>
          </w:p>
        </w:tc>
        <w:tc>
          <w:tcPr>
            <w:tcW w:w="2045" w:type="dxa"/>
          </w:tcPr>
          <w:p w14:paraId="5AA212F2" w14:textId="77777777" w:rsidR="00D40060" w:rsidRDefault="00D40060" w:rsidP="00D40060">
            <w:pPr>
              <w:spacing w:beforeAutospacing="0" w:afterAutospacing="0"/>
              <w:contextualSpacing/>
            </w:pPr>
            <w:r>
              <w:lastRenderedPageBreak/>
              <w:t xml:space="preserve">Provides limited or unclear interpretation or </w:t>
            </w:r>
            <w:r>
              <w:lastRenderedPageBreak/>
              <w:t>assessment.</w:t>
            </w:r>
            <w:r>
              <w:br/>
              <w:t>(0–9 points)</w:t>
            </w:r>
          </w:p>
        </w:tc>
      </w:tr>
      <w:tr w:rsidR="00D40060" w14:paraId="442E8F90" w14:textId="77777777" w:rsidTr="00EA7497">
        <w:tc>
          <w:tcPr>
            <w:tcW w:w="2045" w:type="dxa"/>
          </w:tcPr>
          <w:p w14:paraId="0668F6D0" w14:textId="77777777" w:rsidR="00D40060" w:rsidRDefault="00D40060" w:rsidP="00D40060">
            <w:pPr>
              <w:spacing w:beforeAutospacing="0" w:afterAutospacing="0"/>
              <w:contextualSpacing/>
            </w:pPr>
            <w:r>
              <w:rPr>
                <w:b/>
              </w:rPr>
              <w:lastRenderedPageBreak/>
              <w:t xml:space="preserve">Comparative Analysis </w:t>
            </w:r>
            <w:r>
              <w:rPr>
                <w:b/>
              </w:rPr>
              <w:br/>
              <w:t>(20 points)</w:t>
            </w:r>
          </w:p>
        </w:tc>
        <w:tc>
          <w:tcPr>
            <w:tcW w:w="2045" w:type="dxa"/>
          </w:tcPr>
          <w:p w14:paraId="03D13F37" w14:textId="77777777" w:rsidR="00D40060" w:rsidRDefault="00D40060" w:rsidP="00D40060">
            <w:pPr>
              <w:spacing w:beforeAutospacing="0" w:afterAutospacing="0"/>
              <w:contextualSpacing/>
            </w:pPr>
            <w:r>
              <w:t>Provides sophisticated analysis of how historians agree, disagree, or build on each other’s work.</w:t>
            </w:r>
            <w:r>
              <w:br/>
              <w:t>(18–20 points)</w:t>
            </w:r>
          </w:p>
        </w:tc>
        <w:tc>
          <w:tcPr>
            <w:tcW w:w="2045" w:type="dxa"/>
          </w:tcPr>
          <w:p w14:paraId="0D72D68F" w14:textId="77777777" w:rsidR="00D40060" w:rsidRDefault="00D40060" w:rsidP="00D40060">
            <w:pPr>
              <w:spacing w:beforeAutospacing="0" w:afterAutospacing="0"/>
              <w:contextualSpacing/>
            </w:pPr>
            <w:r>
              <w:t>Provides clear analysis of how historians agree, disagree, or build on each other.</w:t>
            </w:r>
            <w:r>
              <w:br/>
              <w:t>(14–17 points)</w:t>
            </w:r>
          </w:p>
        </w:tc>
        <w:tc>
          <w:tcPr>
            <w:tcW w:w="2045" w:type="dxa"/>
          </w:tcPr>
          <w:p w14:paraId="099DDA8F" w14:textId="77777777" w:rsidR="00D40060" w:rsidRDefault="00D40060" w:rsidP="00D40060">
            <w:pPr>
              <w:spacing w:beforeAutospacing="0" w:afterAutospacing="0"/>
              <w:contextualSpacing/>
            </w:pPr>
            <w:r>
              <w:t>Comparative analysis is attempted but needs more details.</w:t>
            </w:r>
            <w:r>
              <w:br/>
              <w:t>(10–13 points)</w:t>
            </w:r>
          </w:p>
        </w:tc>
        <w:tc>
          <w:tcPr>
            <w:tcW w:w="2045" w:type="dxa"/>
          </w:tcPr>
          <w:p w14:paraId="07D652AE" w14:textId="77777777" w:rsidR="00D40060" w:rsidRDefault="00D40060" w:rsidP="00D40060">
            <w:pPr>
              <w:spacing w:beforeAutospacing="0" w:afterAutospacing="0"/>
              <w:contextualSpacing/>
            </w:pPr>
            <w:r>
              <w:t>Provides minimal or unclear comparative analysis.</w:t>
            </w:r>
            <w:r>
              <w:br/>
              <w:t>(0–9 points)</w:t>
            </w:r>
          </w:p>
        </w:tc>
      </w:tr>
      <w:tr w:rsidR="00D40060" w:rsidRPr="00C21330" w14:paraId="191ACB8D" w14:textId="77777777" w:rsidTr="00EA7497">
        <w:trPr>
          <w:trHeight w:val="300"/>
        </w:trPr>
        <w:tc>
          <w:tcPr>
            <w:tcW w:w="2045" w:type="dxa"/>
            <w:hideMark/>
          </w:tcPr>
          <w:p w14:paraId="4946638D" w14:textId="77777777" w:rsidR="00D40060" w:rsidRPr="00C21330" w:rsidRDefault="00D40060" w:rsidP="00D40060">
            <w:pPr>
              <w:spacing w:beforeAutospacing="0" w:afterAutospacing="0"/>
              <w:contextualSpacing/>
            </w:pPr>
            <w:r w:rsidRPr="6B32C345">
              <w:rPr>
                <w:b/>
                <w:bCs/>
                <w:kern w:val="0"/>
                <w14:ligatures w14:val="none"/>
              </w:rPr>
              <w:t>Organization &amp; Writing</w:t>
            </w:r>
          </w:p>
          <w:p w14:paraId="2C65E2B4" w14:textId="77777777" w:rsidR="00D40060" w:rsidRPr="00C21330" w:rsidRDefault="00D40060" w:rsidP="00D40060">
            <w:pPr>
              <w:spacing w:beforeAutospacing="0" w:afterAutospacing="0"/>
              <w:contextualSpacing/>
              <w:rPr>
                <w:b/>
                <w:bCs/>
                <w:kern w:val="0"/>
                <w14:ligatures w14:val="none"/>
              </w:rPr>
            </w:pPr>
            <w:r w:rsidRPr="20EFDA44">
              <w:rPr>
                <w:b/>
                <w:bCs/>
              </w:rPr>
              <w:t>(10 points)</w:t>
            </w:r>
          </w:p>
        </w:tc>
        <w:tc>
          <w:tcPr>
            <w:tcW w:w="2045" w:type="dxa"/>
            <w:hideMark/>
          </w:tcPr>
          <w:p w14:paraId="5BB6DBFF" w14:textId="77777777" w:rsidR="00D40060" w:rsidRPr="00C21330" w:rsidRDefault="00D40060" w:rsidP="00D40060">
            <w:pPr>
              <w:spacing w:beforeAutospacing="0" w:afterAutospacing="0"/>
              <w:contextualSpacing/>
            </w:pPr>
            <w:r w:rsidRPr="6B32C345">
              <w:rPr>
                <w:kern w:val="0"/>
                <w14:ligatures w14:val="none"/>
              </w:rPr>
              <w:t xml:space="preserve">Writing is exceptionally clear, organized, and academic with virtually no errors. </w:t>
            </w:r>
          </w:p>
          <w:p w14:paraId="11229FDB" w14:textId="77777777" w:rsidR="00D40060" w:rsidRPr="00C21330" w:rsidRDefault="00D40060" w:rsidP="00D40060">
            <w:pPr>
              <w:spacing w:beforeAutospacing="0" w:afterAutospacing="0"/>
              <w:contextualSpacing/>
              <w:rPr>
                <w:kern w:val="0"/>
                <w14:ligatures w14:val="none"/>
              </w:rPr>
            </w:pPr>
            <w:r w:rsidRPr="6B32C345">
              <w:rPr>
                <w:kern w:val="0"/>
                <w14:ligatures w14:val="none"/>
              </w:rPr>
              <w:t>(9-10 points)</w:t>
            </w:r>
          </w:p>
        </w:tc>
        <w:tc>
          <w:tcPr>
            <w:tcW w:w="2045" w:type="dxa"/>
            <w:hideMark/>
          </w:tcPr>
          <w:p w14:paraId="785B3C58" w14:textId="77777777" w:rsidR="00D40060" w:rsidRPr="00C21330" w:rsidRDefault="00D40060" w:rsidP="00D40060">
            <w:pPr>
              <w:spacing w:beforeAutospacing="0" w:afterAutospacing="0"/>
              <w:contextualSpacing/>
            </w:pPr>
            <w:r w:rsidRPr="6B32C345">
              <w:rPr>
                <w:kern w:val="0"/>
                <w14:ligatures w14:val="none"/>
              </w:rPr>
              <w:t xml:space="preserve">Writing is mostly clear and organized with few errors. </w:t>
            </w:r>
          </w:p>
          <w:p w14:paraId="5F26E71D" w14:textId="77777777" w:rsidR="00D40060" w:rsidRPr="00C21330" w:rsidRDefault="00D40060" w:rsidP="00D40060">
            <w:pPr>
              <w:spacing w:beforeAutospacing="0" w:afterAutospacing="0"/>
              <w:contextualSpacing/>
              <w:rPr>
                <w:kern w:val="0"/>
                <w14:ligatures w14:val="none"/>
              </w:rPr>
            </w:pPr>
            <w:r w:rsidRPr="6B32C345">
              <w:rPr>
                <w:kern w:val="0"/>
                <w14:ligatures w14:val="none"/>
              </w:rPr>
              <w:t>(</w:t>
            </w:r>
            <w:r>
              <w:t>7-8</w:t>
            </w:r>
            <w:r w:rsidRPr="6B32C345">
              <w:rPr>
                <w:kern w:val="0"/>
                <w14:ligatures w14:val="none"/>
              </w:rPr>
              <w:t xml:space="preserve"> points)</w:t>
            </w:r>
          </w:p>
        </w:tc>
        <w:tc>
          <w:tcPr>
            <w:tcW w:w="2045" w:type="dxa"/>
          </w:tcPr>
          <w:p w14:paraId="727D3A25" w14:textId="77777777" w:rsidR="00D40060" w:rsidRPr="00C21330" w:rsidRDefault="00D40060" w:rsidP="00D40060">
            <w:pPr>
              <w:spacing w:beforeAutospacing="0" w:afterAutospacing="0"/>
              <w:contextualSpacing/>
            </w:pPr>
            <w:r w:rsidRPr="6B32C345">
              <w:rPr>
                <w:kern w:val="0"/>
                <w14:ligatures w14:val="none"/>
              </w:rPr>
              <w:t xml:space="preserve">Writing is </w:t>
            </w:r>
            <w:r>
              <w:t>somewhat</w:t>
            </w:r>
            <w:r w:rsidRPr="6B32C345">
              <w:rPr>
                <w:kern w:val="0"/>
                <w14:ligatures w14:val="none"/>
              </w:rPr>
              <w:t xml:space="preserve"> </w:t>
            </w:r>
            <w:r w:rsidRPr="6B32C345">
              <w:t>clear organized</w:t>
            </w:r>
            <w:r w:rsidRPr="6B32C345">
              <w:rPr>
                <w:kern w:val="0"/>
                <w14:ligatures w14:val="none"/>
              </w:rPr>
              <w:t xml:space="preserve"> with </w:t>
            </w:r>
            <w:r>
              <w:t>several</w:t>
            </w:r>
            <w:r w:rsidRPr="6B32C345">
              <w:rPr>
                <w:kern w:val="0"/>
                <w14:ligatures w14:val="none"/>
              </w:rPr>
              <w:t xml:space="preserve"> </w:t>
            </w:r>
            <w:r>
              <w:t xml:space="preserve">detracting </w:t>
            </w:r>
            <w:r w:rsidRPr="6B32C345">
              <w:rPr>
                <w:kern w:val="0"/>
                <w14:ligatures w14:val="none"/>
              </w:rPr>
              <w:t xml:space="preserve">errors. </w:t>
            </w:r>
          </w:p>
          <w:p w14:paraId="492C8BE3" w14:textId="77777777" w:rsidR="00D40060" w:rsidRPr="6B32C345" w:rsidRDefault="00D40060" w:rsidP="00D40060">
            <w:pPr>
              <w:spacing w:beforeAutospacing="0" w:afterAutospacing="0"/>
              <w:contextualSpacing/>
              <w:rPr>
                <w:kern w:val="0"/>
                <w14:ligatures w14:val="none"/>
              </w:rPr>
            </w:pPr>
            <w:r>
              <w:t>(5-6 points)</w:t>
            </w:r>
          </w:p>
        </w:tc>
        <w:tc>
          <w:tcPr>
            <w:tcW w:w="2045" w:type="dxa"/>
            <w:hideMark/>
          </w:tcPr>
          <w:p w14:paraId="4CFF536A" w14:textId="77777777" w:rsidR="00D40060" w:rsidRPr="00C21330" w:rsidRDefault="00D40060" w:rsidP="00D40060">
            <w:pPr>
              <w:spacing w:beforeAutospacing="0" w:afterAutospacing="0"/>
              <w:contextualSpacing/>
            </w:pPr>
            <w:r w:rsidRPr="6B32C345">
              <w:rPr>
                <w:kern w:val="0"/>
                <w14:ligatures w14:val="none"/>
              </w:rPr>
              <w:t xml:space="preserve">Writing lacks clarity, organization, or academic tone. </w:t>
            </w:r>
          </w:p>
          <w:p w14:paraId="7A2FDC13" w14:textId="77777777" w:rsidR="00D40060" w:rsidRPr="00C21330" w:rsidRDefault="00D40060" w:rsidP="00D40060">
            <w:pPr>
              <w:spacing w:beforeAutospacing="0" w:afterAutospacing="0"/>
              <w:contextualSpacing/>
              <w:rPr>
                <w:kern w:val="0"/>
                <w14:ligatures w14:val="none"/>
              </w:rPr>
            </w:pPr>
            <w:r w:rsidRPr="6B32C345">
              <w:rPr>
                <w:kern w:val="0"/>
                <w14:ligatures w14:val="none"/>
              </w:rPr>
              <w:t>(0–</w:t>
            </w:r>
            <w:r>
              <w:t>4</w:t>
            </w:r>
            <w:r w:rsidRPr="6B32C345">
              <w:rPr>
                <w:kern w:val="0"/>
                <w14:ligatures w14:val="none"/>
              </w:rPr>
              <w:t xml:space="preserve"> points)</w:t>
            </w:r>
          </w:p>
        </w:tc>
      </w:tr>
      <w:tr w:rsidR="00D40060" w:rsidRPr="00C21330" w14:paraId="36803AE5" w14:textId="77777777" w:rsidTr="00EA7497">
        <w:trPr>
          <w:trHeight w:val="300"/>
        </w:trPr>
        <w:tc>
          <w:tcPr>
            <w:tcW w:w="2045" w:type="dxa"/>
            <w:hideMark/>
          </w:tcPr>
          <w:p w14:paraId="33FFA36F" w14:textId="77777777" w:rsidR="00D40060" w:rsidRPr="00C21330" w:rsidRDefault="00D40060" w:rsidP="00D40060">
            <w:pPr>
              <w:spacing w:beforeAutospacing="0" w:afterAutospacing="0"/>
              <w:contextualSpacing/>
            </w:pPr>
            <w:r w:rsidRPr="6B32C345">
              <w:rPr>
                <w:b/>
                <w:bCs/>
                <w:kern w:val="0"/>
                <w14:ligatures w14:val="none"/>
              </w:rPr>
              <w:t>Citation &amp; Format</w:t>
            </w:r>
          </w:p>
          <w:p w14:paraId="712DB08A" w14:textId="77777777" w:rsidR="00D40060" w:rsidRPr="00C21330" w:rsidRDefault="00D40060" w:rsidP="00D40060">
            <w:pPr>
              <w:spacing w:beforeAutospacing="0" w:afterAutospacing="0"/>
              <w:contextualSpacing/>
              <w:rPr>
                <w:b/>
                <w:bCs/>
                <w:kern w:val="0"/>
                <w14:ligatures w14:val="none"/>
              </w:rPr>
            </w:pPr>
            <w:r w:rsidRPr="20EFDA44">
              <w:rPr>
                <w:b/>
                <w:bCs/>
              </w:rPr>
              <w:t>(10 points)</w:t>
            </w:r>
          </w:p>
        </w:tc>
        <w:tc>
          <w:tcPr>
            <w:tcW w:w="2045" w:type="dxa"/>
            <w:hideMark/>
          </w:tcPr>
          <w:p w14:paraId="00DA8876" w14:textId="77777777" w:rsidR="00D40060" w:rsidRDefault="00D40060" w:rsidP="00D40060">
            <w:pPr>
              <w:spacing w:beforeAutospacing="0" w:afterAutospacing="0"/>
              <w:contextualSpacing/>
              <w:rPr>
                <w:kern w:val="0"/>
                <w14:ligatures w14:val="none"/>
              </w:rPr>
            </w:pPr>
            <w:r w:rsidRPr="6B32C345">
              <w:rPr>
                <w:kern w:val="0"/>
                <w14:ligatures w14:val="none"/>
              </w:rPr>
              <w:t xml:space="preserve">Uses ethical attribution and Chicago citation flawlessly; adheres fully to guidelines. </w:t>
            </w:r>
          </w:p>
          <w:p w14:paraId="5AB1C0C0" w14:textId="77777777" w:rsidR="00D40060" w:rsidRPr="00C21330" w:rsidRDefault="00D40060" w:rsidP="00D40060">
            <w:pPr>
              <w:spacing w:beforeAutospacing="0" w:afterAutospacing="0"/>
              <w:contextualSpacing/>
              <w:rPr>
                <w:kern w:val="0"/>
                <w14:ligatures w14:val="none"/>
              </w:rPr>
            </w:pPr>
            <w:r w:rsidRPr="6B32C345">
              <w:rPr>
                <w:kern w:val="0"/>
                <w14:ligatures w14:val="none"/>
              </w:rPr>
              <w:t>(9–10 points)</w:t>
            </w:r>
          </w:p>
        </w:tc>
        <w:tc>
          <w:tcPr>
            <w:tcW w:w="2045" w:type="dxa"/>
            <w:hideMark/>
          </w:tcPr>
          <w:p w14:paraId="703C7431" w14:textId="77777777" w:rsidR="00D40060" w:rsidRDefault="00D40060" w:rsidP="00D40060">
            <w:pPr>
              <w:spacing w:beforeAutospacing="0" w:afterAutospacing="0"/>
              <w:contextualSpacing/>
              <w:rPr>
                <w:kern w:val="0"/>
                <w14:ligatures w14:val="none"/>
              </w:rPr>
            </w:pPr>
            <w:r w:rsidRPr="6B32C345">
              <w:rPr>
                <w:kern w:val="0"/>
                <w14:ligatures w14:val="none"/>
              </w:rPr>
              <w:t xml:space="preserve">Uses Chicago citation with few errors; mostly adheres to guidelines. </w:t>
            </w:r>
          </w:p>
          <w:p w14:paraId="5A427D6D" w14:textId="77777777" w:rsidR="00D40060" w:rsidRPr="00C21330" w:rsidRDefault="00D40060" w:rsidP="00D40060">
            <w:pPr>
              <w:spacing w:beforeAutospacing="0" w:afterAutospacing="0"/>
              <w:contextualSpacing/>
              <w:rPr>
                <w:kern w:val="0"/>
                <w14:ligatures w14:val="none"/>
              </w:rPr>
            </w:pPr>
            <w:r w:rsidRPr="6B32C345">
              <w:rPr>
                <w:kern w:val="0"/>
                <w14:ligatures w14:val="none"/>
              </w:rPr>
              <w:t>(</w:t>
            </w:r>
            <w:r>
              <w:t>7</w:t>
            </w:r>
            <w:r w:rsidRPr="6B32C345">
              <w:rPr>
                <w:kern w:val="0"/>
                <w14:ligatures w14:val="none"/>
              </w:rPr>
              <w:t>–8 points)</w:t>
            </w:r>
          </w:p>
        </w:tc>
        <w:tc>
          <w:tcPr>
            <w:tcW w:w="2045" w:type="dxa"/>
          </w:tcPr>
          <w:p w14:paraId="43D2A1BA" w14:textId="77777777" w:rsidR="00D40060" w:rsidRDefault="00D40060" w:rsidP="00D40060">
            <w:pPr>
              <w:spacing w:beforeAutospacing="0" w:afterAutospacing="0"/>
              <w:contextualSpacing/>
            </w:pPr>
            <w:r>
              <w:t xml:space="preserve">Use of </w:t>
            </w:r>
            <w:proofErr w:type="gramStart"/>
            <w:r>
              <w:t>citations  or</w:t>
            </w:r>
            <w:proofErr w:type="gramEnd"/>
            <w:r>
              <w:t xml:space="preserve"> formatting is not consistent </w:t>
            </w:r>
          </w:p>
          <w:p w14:paraId="02934254" w14:textId="77777777" w:rsidR="00D40060" w:rsidRPr="6B32C345" w:rsidRDefault="00D40060" w:rsidP="00D40060">
            <w:pPr>
              <w:spacing w:beforeAutospacing="0" w:afterAutospacing="0"/>
              <w:contextualSpacing/>
              <w:rPr>
                <w:kern w:val="0"/>
                <w14:ligatures w14:val="none"/>
              </w:rPr>
            </w:pPr>
            <w:r>
              <w:t>(5-6 points)</w:t>
            </w:r>
          </w:p>
        </w:tc>
        <w:tc>
          <w:tcPr>
            <w:tcW w:w="2045" w:type="dxa"/>
            <w:hideMark/>
          </w:tcPr>
          <w:p w14:paraId="66643740" w14:textId="77777777" w:rsidR="00D40060" w:rsidRPr="00C21330" w:rsidRDefault="00D40060" w:rsidP="00D40060">
            <w:pPr>
              <w:spacing w:beforeAutospacing="0" w:afterAutospacing="0"/>
              <w:contextualSpacing/>
            </w:pPr>
            <w:r>
              <w:t xml:space="preserve">Citation formatting is not correct, or citations are not properly </w:t>
            </w:r>
          </w:p>
          <w:p w14:paraId="2DA88EEF" w14:textId="77777777" w:rsidR="00D40060" w:rsidRPr="00C21330" w:rsidRDefault="00D40060" w:rsidP="00D40060">
            <w:pPr>
              <w:spacing w:beforeAutospacing="0" w:afterAutospacing="0"/>
              <w:contextualSpacing/>
              <w:rPr>
                <w:kern w:val="0"/>
                <w14:ligatures w14:val="none"/>
              </w:rPr>
            </w:pPr>
            <w:r w:rsidRPr="6B32C345">
              <w:rPr>
                <w:kern w:val="0"/>
                <w14:ligatures w14:val="none"/>
              </w:rPr>
              <w:t>(0–</w:t>
            </w:r>
            <w:r>
              <w:t>4</w:t>
            </w:r>
            <w:r w:rsidRPr="6B32C345">
              <w:rPr>
                <w:kern w:val="0"/>
                <w14:ligatures w14:val="none"/>
              </w:rPr>
              <w:t xml:space="preserve"> points)</w:t>
            </w:r>
          </w:p>
        </w:tc>
      </w:tr>
    </w:tbl>
    <w:p w14:paraId="378FF5FC" w14:textId="30F0B4B0" w:rsidR="6DE82B37" w:rsidRDefault="6DE82B37" w:rsidP="00D40060">
      <w:pPr>
        <w:spacing w:beforeAutospacing="0" w:after="0" w:afterAutospacing="0" w:line="240" w:lineRule="auto"/>
        <w:contextualSpacing/>
      </w:pPr>
    </w:p>
    <w:p w14:paraId="77398F2A" w14:textId="34507D3C" w:rsidR="0FBD65B6" w:rsidRDefault="0FBD65B6" w:rsidP="0092613D">
      <w:pPr>
        <w:spacing w:beforeAutospacing="0" w:after="0" w:afterAutospacing="0" w:line="240" w:lineRule="auto"/>
        <w:contextualSpacing/>
      </w:pPr>
    </w:p>
    <w:p w14:paraId="612C4259" w14:textId="77777777" w:rsidR="00C21330" w:rsidRPr="00C21330" w:rsidRDefault="00C21330" w:rsidP="0092613D">
      <w:pPr>
        <w:pStyle w:val="Heading1"/>
        <w:keepNext w:val="0"/>
        <w:keepLines w:val="0"/>
        <w:contextualSpacing/>
        <w:rPr>
          <w:b/>
          <w:bCs/>
          <w:sz w:val="27"/>
          <w:szCs w:val="27"/>
        </w:rPr>
      </w:pPr>
      <w:r w:rsidRPr="20EFDA44">
        <w:t>Sample Student Submission</w:t>
      </w:r>
    </w:p>
    <w:p w14:paraId="7B9ADC45" w14:textId="7B13BF4D" w:rsidR="1B37BB47" w:rsidRDefault="1B37BB47" w:rsidP="0092613D">
      <w:pPr>
        <w:spacing w:beforeAutospacing="0" w:after="0" w:afterAutospacing="0" w:line="240" w:lineRule="auto"/>
        <w:contextualSpacing/>
        <w:rPr>
          <w:b/>
          <w:bCs/>
        </w:rPr>
      </w:pPr>
    </w:p>
    <w:p w14:paraId="7AEE3B4A" w14:textId="4A095AB9" w:rsidR="00C21330" w:rsidRPr="00C21330" w:rsidRDefault="00C21330" w:rsidP="0092613D">
      <w:pPr>
        <w:spacing w:beforeAutospacing="0" w:after="0" w:afterAutospacing="0" w:line="240" w:lineRule="auto"/>
        <w:contextualSpacing/>
        <w:rPr>
          <w:b/>
          <w:bCs/>
        </w:rPr>
      </w:pPr>
      <w:r w:rsidRPr="6B32C345">
        <w:rPr>
          <w:b/>
          <w:bCs/>
          <w:kern w:val="0"/>
          <w14:ligatures w14:val="none"/>
        </w:rPr>
        <w:t>Charlemagne Jones</w:t>
      </w:r>
    </w:p>
    <w:p w14:paraId="6D0AD532" w14:textId="7B34EA0F" w:rsidR="00C21330" w:rsidRPr="00C21330" w:rsidRDefault="6621A38E" w:rsidP="0092613D">
      <w:pPr>
        <w:spacing w:beforeAutospacing="0" w:after="0" w:afterAutospacing="0" w:line="240" w:lineRule="auto"/>
        <w:contextualSpacing/>
      </w:pPr>
      <w:r w:rsidRPr="70CC3BF5">
        <w:rPr>
          <w:b/>
          <w:bCs/>
        </w:rPr>
        <w:t xml:space="preserve">Historiographical </w:t>
      </w:r>
      <w:r w:rsidR="37EEBF42" w:rsidRPr="70CC3BF5">
        <w:rPr>
          <w:b/>
          <w:bCs/>
        </w:rPr>
        <w:t>Analysis</w:t>
      </w:r>
      <w:r w:rsidR="00C21330" w:rsidRPr="00C21330">
        <w:rPr>
          <w:rFonts w:ascii="Times New Roman" w:eastAsia="Times New Roman" w:hAnsi="Times New Roman" w:cs="Times New Roman"/>
          <w:kern w:val="0"/>
          <w14:ligatures w14:val="none"/>
        </w:rPr>
        <w:br/>
      </w:r>
      <w:r w:rsidR="00C21330" w:rsidRPr="6B32C345">
        <w:rPr>
          <w:b/>
          <w:bCs/>
          <w:kern w:val="0"/>
          <w14:ligatures w14:val="none"/>
        </w:rPr>
        <w:t xml:space="preserve">HIS 242: </w:t>
      </w:r>
      <w:r w:rsidR="380AD261" w:rsidRPr="6B32C345">
        <w:rPr>
          <w:b/>
          <w:bCs/>
          <w:kern w:val="0"/>
          <w14:ligatures w14:val="none"/>
        </w:rPr>
        <w:t>Twentieth Century Europe</w:t>
      </w:r>
    </w:p>
    <w:p w14:paraId="55AA36B6" w14:textId="69B79775" w:rsidR="00C21330" w:rsidRPr="00C21330" w:rsidRDefault="00C21330" w:rsidP="0092613D">
      <w:pPr>
        <w:spacing w:beforeAutospacing="0" w:after="0" w:afterAutospacing="0" w:line="240" w:lineRule="auto"/>
        <w:contextualSpacing/>
        <w:rPr>
          <w:b/>
          <w:bCs/>
        </w:rPr>
      </w:pPr>
    </w:p>
    <w:p w14:paraId="2705C1F9" w14:textId="2B0E9B26" w:rsidR="00C21330" w:rsidRPr="00C21330" w:rsidRDefault="380AD261" w:rsidP="0092613D">
      <w:pPr>
        <w:spacing w:beforeAutospacing="0" w:after="0" w:afterAutospacing="0" w:line="240" w:lineRule="auto"/>
        <w:contextualSpacing/>
      </w:pPr>
      <w:r w:rsidRPr="70CC3BF5">
        <w:t>The Outbreak of World War II: A Historiographical Analysis</w:t>
      </w:r>
    </w:p>
    <w:p w14:paraId="1D18F28B" w14:textId="21E0A08C" w:rsidR="00C21330" w:rsidRPr="00C21330" w:rsidRDefault="00C21330" w:rsidP="0092613D">
      <w:pPr>
        <w:spacing w:beforeAutospacing="0" w:after="0" w:afterAutospacing="0" w:line="240" w:lineRule="auto"/>
        <w:contextualSpacing/>
      </w:pPr>
    </w:p>
    <w:p w14:paraId="575E6AB2" w14:textId="5C56B08C" w:rsidR="00C21330" w:rsidRPr="00C21330" w:rsidRDefault="380AD261" w:rsidP="0092613D">
      <w:pPr>
        <w:spacing w:beforeAutospacing="0" w:after="0" w:afterAutospacing="0" w:line="240" w:lineRule="auto"/>
        <w:contextualSpacing/>
      </w:pPr>
      <w:r w:rsidRPr="70CC3BF5">
        <w:t xml:space="preserve">The outbreak of World War II remains one of the most debated topics in twentieth-century European historiography. While early narratives emphasized German aggression and Adolf Hitler’s personal ambition, later scholars have expanded this interpretation to include structural, ideological, and international dimensions. This paper explores how interpretations of the causes of World War II have evolved by comparing the arguments of A. J. P. Taylor, Richard Overy, and Zara Steiner. Their differing </w:t>
      </w:r>
      <w:r w:rsidRPr="70CC3BF5">
        <w:lastRenderedPageBreak/>
        <w:t>perspectives on Hitler’s agency, economic and military factors, and failures of diplomacy not only reveal the complexity of the conflict’s origins but also illustrate how historical interpretation is shaped by shifting methodologies and political contexts. Through a comparative analysis of these three historians, this paper argues that understanding the outbreak of World War II requires balancing intentionalist and structuralist interpretations and recognizing the interplay between national and international dynamics.</w:t>
      </w:r>
    </w:p>
    <w:p w14:paraId="364CB575" w14:textId="05380E7C" w:rsidR="00C21330" w:rsidRDefault="380AD261" w:rsidP="0092613D">
      <w:pPr>
        <w:spacing w:beforeAutospacing="0" w:after="0" w:afterAutospacing="0" w:line="240" w:lineRule="auto"/>
        <w:contextualSpacing/>
      </w:pPr>
      <w:r w:rsidRPr="70CC3BF5">
        <w:t xml:space="preserve">A. J. P. Taylor’s 1961 work The Origins of the Second World War ignited significant controversy by challenging the prevailing view of Hitler as a master strategist bent on global conquest. Taylor argued that Hitler’s actions, while aggressive, were not markedly different from those of previous German leaders and could be seen as rational responses to the Treaty of Versailles and the constraints it imposed. He downplayed Hitler’s ideological convictions and instead emphasized the continuity of German foreign policy from the 19th century through the 1930s. According to Taylor, war erupted not from a grand Nazi plan but from miscalculation and diplomatic failures by Britain and France, who underestimated Hitler’s willingness to use force as a negotiating </w:t>
      </w:r>
      <w:proofErr w:type="gramStart"/>
      <w:r w:rsidRPr="70CC3BF5">
        <w:t>tool.¹</w:t>
      </w:r>
      <w:proofErr w:type="gramEnd"/>
    </w:p>
    <w:p w14:paraId="166749A6" w14:textId="77777777" w:rsidR="0092613D" w:rsidRPr="00C21330" w:rsidRDefault="0092613D" w:rsidP="0092613D">
      <w:pPr>
        <w:spacing w:beforeAutospacing="0" w:after="0" w:afterAutospacing="0" w:line="240" w:lineRule="auto"/>
        <w:contextualSpacing/>
      </w:pPr>
    </w:p>
    <w:p w14:paraId="7D9BB457" w14:textId="4E187BDA" w:rsidR="00C21330" w:rsidRPr="00C21330" w:rsidRDefault="380AD261" w:rsidP="0092613D">
      <w:pPr>
        <w:spacing w:beforeAutospacing="0" w:after="0" w:afterAutospacing="0" w:line="240" w:lineRule="auto"/>
        <w:contextualSpacing/>
      </w:pPr>
      <w:r w:rsidRPr="70CC3BF5">
        <w:t>Taylor’s argument reflected the revisionist wave of postwar British scholarship, shaped by disillusionment with traditional moral narratives. He used diplomatic records to argue that Hitler’s foreign policy was more reactive than expansionist. However, critics accused Taylor of minimizing Nazi ideology and ignoring the genocidal intent behind Hitler’s policies. Despite the backlash, his work forced historians to reconsider the deterministic portrayals of Hitler and to question the moral clarity of interwar diplomacy.</w:t>
      </w:r>
    </w:p>
    <w:p w14:paraId="51AE2F4B" w14:textId="5B3B040E" w:rsidR="00C21330" w:rsidRDefault="380AD261" w:rsidP="0092613D">
      <w:pPr>
        <w:spacing w:beforeAutospacing="0" w:after="0" w:afterAutospacing="0" w:line="240" w:lineRule="auto"/>
        <w:contextualSpacing/>
      </w:pPr>
      <w:r w:rsidRPr="70CC3BF5">
        <w:t xml:space="preserve">In contrast to Taylor’s revisionism, Richard Overy reaffirmed the central role of Hitler’s ideology and intentional leadership in The Origins of the Second World War (1998). Overy argued that Nazi Germany pursued a calculated policy of territorial expansion rooted in racial ideology and the quest for Lebensraum. For Overy, Hitler’s speeches and writings—particularly Mein Kampf—provided a clear blueprint for war, and his diplomatic moves in the 1930s were steps toward a larger plan of European </w:t>
      </w:r>
      <w:proofErr w:type="gramStart"/>
      <w:r w:rsidRPr="70CC3BF5">
        <w:t>domination.²</w:t>
      </w:r>
      <w:proofErr w:type="gramEnd"/>
    </w:p>
    <w:p w14:paraId="7F040EE2" w14:textId="77777777" w:rsidR="0092613D" w:rsidRPr="00C21330" w:rsidRDefault="0092613D" w:rsidP="0092613D">
      <w:pPr>
        <w:spacing w:beforeAutospacing="0" w:after="0" w:afterAutospacing="0" w:line="240" w:lineRule="auto"/>
        <w:contextualSpacing/>
      </w:pPr>
    </w:p>
    <w:p w14:paraId="27445E58" w14:textId="3649F514" w:rsidR="00C21330" w:rsidRDefault="380AD261" w:rsidP="0092613D">
      <w:pPr>
        <w:spacing w:beforeAutospacing="0" w:after="0" w:afterAutospacing="0" w:line="240" w:lineRule="auto"/>
        <w:contextualSpacing/>
      </w:pPr>
      <w:r w:rsidRPr="70CC3BF5">
        <w:t>Overy criticized Taylor’s narrow diplomatic lens and called for a broader analysis that integrated military planning, economic pressures, and ideological imperatives. He emphasized how Hitler’s regime mobilized German society for war, with rearmament policies, propaganda, and the suppression of dissent aligning with his long-term goals. Unlike Taylor, who treated Hitler as an opportunist, Overy saw him as a driven and consistent actor, whose personal vision deeply influenced Nazi strategy.</w:t>
      </w:r>
    </w:p>
    <w:p w14:paraId="1B10E0A7" w14:textId="77777777" w:rsidR="0092613D" w:rsidRPr="00C21330" w:rsidRDefault="0092613D" w:rsidP="0092613D">
      <w:pPr>
        <w:spacing w:beforeAutospacing="0" w:after="0" w:afterAutospacing="0" w:line="240" w:lineRule="auto"/>
        <w:contextualSpacing/>
      </w:pPr>
    </w:p>
    <w:p w14:paraId="0DC7558A" w14:textId="38EC24F3" w:rsidR="00C21330" w:rsidRDefault="380AD261" w:rsidP="0092613D">
      <w:pPr>
        <w:spacing w:beforeAutospacing="0" w:after="0" w:afterAutospacing="0" w:line="240" w:lineRule="auto"/>
        <w:contextualSpacing/>
      </w:pPr>
      <w:r w:rsidRPr="70CC3BF5">
        <w:t>Overy’s work represented a return to intentionalist interpretations, enriched by access to newly declassified archives after the Cold War. His synthesis of military, political, and ideological dimensions provided a comprehensive rebuttal to Taylor’s relativism and reestablished the agency of the Nazi leadership as a central factor in the war’s outbreak.</w:t>
      </w:r>
    </w:p>
    <w:p w14:paraId="6ACB8387" w14:textId="77777777" w:rsidR="0092613D" w:rsidRPr="00C21330" w:rsidRDefault="0092613D" w:rsidP="0092613D">
      <w:pPr>
        <w:spacing w:beforeAutospacing="0" w:after="0" w:afterAutospacing="0" w:line="240" w:lineRule="auto"/>
        <w:contextualSpacing/>
      </w:pPr>
    </w:p>
    <w:p w14:paraId="7092A7A4" w14:textId="125958E6" w:rsidR="00C21330" w:rsidRDefault="380AD261" w:rsidP="0092613D">
      <w:pPr>
        <w:spacing w:beforeAutospacing="0" w:after="0" w:afterAutospacing="0" w:line="240" w:lineRule="auto"/>
        <w:contextualSpacing/>
      </w:pPr>
      <w:r w:rsidRPr="70CC3BF5">
        <w:t xml:space="preserve">Zara Steiner’s The Triumph of the Dark: European International History 1933–1939 (2011) shifted the focus from national leaders to the systemic failures of international diplomacy. Steiner examined how the collapse of collective security mechanisms—particularly the League of Nations—contributed to the erosion of peace in the 1930s. She argued that appeasement policies, while often criticized, were part of </w:t>
      </w:r>
      <w:r w:rsidRPr="70CC3BF5">
        <w:lastRenderedPageBreak/>
        <w:t xml:space="preserve">a broader context in which Western democracies were politically fractured, economically weakened, and unprepared for </w:t>
      </w:r>
      <w:proofErr w:type="gramStart"/>
      <w:r w:rsidRPr="70CC3BF5">
        <w:t>confrontation.³</w:t>
      </w:r>
      <w:proofErr w:type="gramEnd"/>
    </w:p>
    <w:p w14:paraId="3A351A9A" w14:textId="77777777" w:rsidR="0092613D" w:rsidRPr="00C21330" w:rsidRDefault="0092613D" w:rsidP="0092613D">
      <w:pPr>
        <w:spacing w:beforeAutospacing="0" w:after="0" w:afterAutospacing="0" w:line="240" w:lineRule="auto"/>
        <w:contextualSpacing/>
      </w:pPr>
    </w:p>
    <w:p w14:paraId="24AA9E33" w14:textId="698FCED9" w:rsidR="00C21330" w:rsidRDefault="380AD261" w:rsidP="0092613D">
      <w:pPr>
        <w:spacing w:beforeAutospacing="0" w:after="0" w:afterAutospacing="0" w:line="240" w:lineRule="auto"/>
        <w:contextualSpacing/>
      </w:pPr>
      <w:r w:rsidRPr="70CC3BF5">
        <w:t>Steiner did not ignore Hitler’s agency but placed it within a broader matrix of missed opportunities, failed alliances, and global instability. Her work bridged the gap between intentionalist and structuralist approaches by showing how Hitler’s ambitions were enabled by international disunity and the paralysis of democratic powers. She paid particular attention to the role of Eastern Europe, Soviet diplomacy, and the Spanish Civil War in shaping European tensions.</w:t>
      </w:r>
    </w:p>
    <w:p w14:paraId="18F922D3" w14:textId="77777777" w:rsidR="0092613D" w:rsidRPr="00C21330" w:rsidRDefault="0092613D" w:rsidP="0092613D">
      <w:pPr>
        <w:spacing w:beforeAutospacing="0" w:after="0" w:afterAutospacing="0" w:line="240" w:lineRule="auto"/>
        <w:contextualSpacing/>
      </w:pPr>
    </w:p>
    <w:p w14:paraId="6509F566" w14:textId="61D7FBCC" w:rsidR="00C21330" w:rsidRPr="00C21330" w:rsidRDefault="380AD261" w:rsidP="0092613D">
      <w:pPr>
        <w:spacing w:beforeAutospacing="0" w:after="0" w:afterAutospacing="0" w:line="240" w:lineRule="auto"/>
        <w:contextualSpacing/>
      </w:pPr>
      <w:r w:rsidRPr="70CC3BF5">
        <w:t>Drawing on a wide range of international sources, Steiner’s historiography exemplified the growing trend toward transnational history. Her contribution highlighted how war resulted not only from German aggression but also from systemic dysfunctions in global governance, deepening our understanding of how multilateral institutions and diplomacy—or their absence—shaped the path to war.</w:t>
      </w:r>
    </w:p>
    <w:p w14:paraId="61DEAAE3" w14:textId="42D71EBC" w:rsidR="00C21330" w:rsidRPr="00C21330" w:rsidRDefault="380AD261" w:rsidP="0092613D">
      <w:pPr>
        <w:spacing w:beforeAutospacing="0" w:after="0" w:afterAutospacing="0" w:line="240" w:lineRule="auto"/>
        <w:contextualSpacing/>
      </w:pPr>
      <w:r w:rsidRPr="70CC3BF5">
        <w:t>Taylor, Overy, and Steiner represent three historiographical paradigms—revisionism, intentionalism, and systemic analysis—that frame our understanding of World War II’s origins. Taylor’s emphasis on diplomatic patterns challenged traditional narratives but failed to address the moral and ideological dimensions of Nazism. Overy’s response reasserted the primacy of ideology and leadership, underscoring the genocidal goals embedded in Nazi strategy. Steiner synthesized these approaches by showing how both leadership and systemic breakdowns contributed to the conflict’s inevitability.</w:t>
      </w:r>
    </w:p>
    <w:p w14:paraId="61787B38" w14:textId="5B11DEBA" w:rsidR="00C21330" w:rsidRDefault="380AD261" w:rsidP="0092613D">
      <w:pPr>
        <w:spacing w:beforeAutospacing="0" w:after="0" w:afterAutospacing="0" w:line="240" w:lineRule="auto"/>
        <w:contextualSpacing/>
      </w:pPr>
      <w:r w:rsidRPr="70CC3BF5">
        <w:t>Their differing emphases reflect broader shifts in historiographical methodology. Taylor’s work emerged in the Cold War context, when skepticism toward grand narratives and elite actors gained traction. Overy, writing with the benefit of archival access and Holocaust scholarship, reemphasized ideology as a historical force. Steiner, influenced by the rise of global history and diplomatic studies, examined how international institutions and global disorder conditioned national decisions.</w:t>
      </w:r>
    </w:p>
    <w:p w14:paraId="79407ACD" w14:textId="77777777" w:rsidR="0092613D" w:rsidRPr="00C21330" w:rsidRDefault="0092613D" w:rsidP="0092613D">
      <w:pPr>
        <w:spacing w:beforeAutospacing="0" w:after="0" w:afterAutospacing="0" w:line="240" w:lineRule="auto"/>
        <w:contextualSpacing/>
      </w:pPr>
    </w:p>
    <w:p w14:paraId="3C2F3CEB" w14:textId="2777381C" w:rsidR="00C21330" w:rsidRPr="00C21330" w:rsidRDefault="380AD261" w:rsidP="0092613D">
      <w:pPr>
        <w:spacing w:beforeAutospacing="0" w:after="0" w:afterAutospacing="0" w:line="240" w:lineRule="auto"/>
        <w:contextualSpacing/>
      </w:pPr>
      <w:r w:rsidRPr="70CC3BF5">
        <w:t>Together, these perspectives reveal the complexity of attributing causation in history. Rather than privileging one factor, a robust interpretation of the war’s origins must account for the interaction between Hitler’s intentions, structural conditions, and the failures of international diplomacy.</w:t>
      </w:r>
    </w:p>
    <w:p w14:paraId="2D01C3C6" w14:textId="46965E19" w:rsidR="00C21330" w:rsidRDefault="380AD261" w:rsidP="0092613D">
      <w:pPr>
        <w:spacing w:beforeAutospacing="0" w:after="0" w:afterAutospacing="0" w:line="240" w:lineRule="auto"/>
        <w:contextualSpacing/>
      </w:pPr>
      <w:r w:rsidRPr="70CC3BF5">
        <w:t>The outbreak of World War II cannot be reduced to a single cause or actor. As the work of Taylor, Overy, and Steiner demonstrates, historical interpretation evolves in response to new evidence, scholarly debates, and changing political climates. By comparing these perspectives, we gain not only a deeper understanding of the war’s origins but also insight into the practice of historiography itself. The disagreement among historians is not a weakness but a strength—it compels us to approach the past with critical attention, balancing agency and structure, ideology and diplomacy, the national and the international.</w:t>
      </w:r>
    </w:p>
    <w:p w14:paraId="476FAA2F" w14:textId="77777777" w:rsidR="0092613D" w:rsidRPr="00C21330" w:rsidRDefault="0092613D" w:rsidP="0092613D">
      <w:pPr>
        <w:spacing w:beforeAutospacing="0" w:after="0" w:afterAutospacing="0" w:line="240" w:lineRule="auto"/>
        <w:contextualSpacing/>
      </w:pPr>
    </w:p>
    <w:p w14:paraId="19D88101" w14:textId="4ECBEE47" w:rsidR="00C21330" w:rsidRPr="00C21330" w:rsidRDefault="380AD261" w:rsidP="0092613D">
      <w:pPr>
        <w:spacing w:beforeAutospacing="0" w:after="0" w:afterAutospacing="0" w:line="240" w:lineRule="auto"/>
        <w:contextualSpacing/>
      </w:pPr>
      <w:r w:rsidRPr="70CC3BF5">
        <w:t>Bibliography</w:t>
      </w:r>
    </w:p>
    <w:p w14:paraId="4A2F222A" w14:textId="0673DB33" w:rsidR="00C21330" w:rsidRPr="00C21330" w:rsidRDefault="380AD261" w:rsidP="0092613D">
      <w:pPr>
        <w:spacing w:beforeAutospacing="0" w:after="0" w:afterAutospacing="0" w:line="240" w:lineRule="auto"/>
        <w:contextualSpacing/>
      </w:pPr>
      <w:r w:rsidRPr="70CC3BF5">
        <w:t>1. A. J. P. Taylor, The Origins of the Second World War (London: Hamish Hamilton, 1961).</w:t>
      </w:r>
    </w:p>
    <w:p w14:paraId="64AF168A" w14:textId="17DE1E00" w:rsidR="00C21330" w:rsidRPr="00C21330" w:rsidRDefault="380AD261" w:rsidP="0092613D">
      <w:pPr>
        <w:spacing w:beforeAutospacing="0" w:after="0" w:afterAutospacing="0" w:line="240" w:lineRule="auto"/>
        <w:contextualSpacing/>
      </w:pPr>
      <w:r w:rsidRPr="70CC3BF5">
        <w:t>2. Richard Overy, The Origins of the Second World War (London: Longman, 1998).</w:t>
      </w:r>
    </w:p>
    <w:p w14:paraId="10E33245" w14:textId="4E58ED56" w:rsidR="00C21330" w:rsidRPr="00C21330" w:rsidRDefault="380AD261" w:rsidP="0092613D">
      <w:pPr>
        <w:spacing w:beforeAutospacing="0" w:after="0" w:afterAutospacing="0" w:line="240" w:lineRule="auto"/>
        <w:contextualSpacing/>
      </w:pPr>
      <w:r w:rsidRPr="70CC3BF5">
        <w:t>3. Zara Steiner, The Triumph of the Dark: European International History 1933–1939 (Oxford: Oxford University Press, 2011).</w:t>
      </w:r>
    </w:p>
    <w:p w14:paraId="7559FC6F" w14:textId="35BF1047" w:rsidR="00C21330" w:rsidRPr="00C21330" w:rsidRDefault="00C21330" w:rsidP="0092613D">
      <w:pPr>
        <w:spacing w:beforeAutospacing="0" w:after="0" w:afterAutospacing="0" w:line="240" w:lineRule="auto"/>
        <w:contextualSpacing/>
        <w:rPr>
          <w:b/>
          <w:bCs/>
        </w:rPr>
      </w:pPr>
    </w:p>
    <w:p w14:paraId="6A08611A" w14:textId="3AD1FB44" w:rsidR="00C21330" w:rsidRPr="00C21330" w:rsidRDefault="00C21330" w:rsidP="0092613D">
      <w:pPr>
        <w:spacing w:beforeAutospacing="0" w:after="0" w:afterAutospacing="0" w:line="240" w:lineRule="auto"/>
        <w:contextualSpacing/>
      </w:pPr>
    </w:p>
    <w:p w14:paraId="40D6A2FA" w14:textId="77777777" w:rsidR="00C21330" w:rsidRDefault="00C21330" w:rsidP="0092613D">
      <w:pPr>
        <w:spacing w:beforeAutospacing="0" w:after="0" w:afterAutospacing="0" w:line="240" w:lineRule="auto"/>
        <w:contextualSpacing/>
      </w:pPr>
    </w:p>
    <w:sectPr w:rsidR="00C21330">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88B2A" w14:textId="77777777" w:rsidR="005C1A34" w:rsidRDefault="005C1A34">
      <w:pPr>
        <w:spacing w:after="0" w:line="240" w:lineRule="auto"/>
      </w:pPr>
      <w:r>
        <w:separator/>
      </w:r>
    </w:p>
  </w:endnote>
  <w:endnote w:type="continuationSeparator" w:id="0">
    <w:p w14:paraId="696BBA26" w14:textId="77777777" w:rsidR="005C1A34" w:rsidRDefault="005C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20EFDA44" w14:paraId="5526971B" w14:textId="77777777" w:rsidTr="20EFDA44">
      <w:trPr>
        <w:trHeight w:val="300"/>
      </w:trPr>
      <w:tc>
        <w:tcPr>
          <w:tcW w:w="3405" w:type="dxa"/>
        </w:tcPr>
        <w:p w14:paraId="59189B44" w14:textId="01FD471C" w:rsidR="20EFDA44" w:rsidRDefault="20EFDA44" w:rsidP="20EFDA44">
          <w:pPr>
            <w:pStyle w:val="Header"/>
            <w:ind w:left="-115"/>
          </w:pPr>
        </w:p>
      </w:tc>
      <w:tc>
        <w:tcPr>
          <w:tcW w:w="3405" w:type="dxa"/>
        </w:tcPr>
        <w:p w14:paraId="0D5F25D5" w14:textId="27F63699" w:rsidR="20EFDA44" w:rsidRDefault="20EFDA44" w:rsidP="20EFDA44">
          <w:pPr>
            <w:pStyle w:val="Header"/>
            <w:jc w:val="center"/>
          </w:pPr>
        </w:p>
      </w:tc>
      <w:tc>
        <w:tcPr>
          <w:tcW w:w="3405" w:type="dxa"/>
        </w:tcPr>
        <w:p w14:paraId="562D83E6" w14:textId="2A0AADCB" w:rsidR="20EFDA44" w:rsidRDefault="20EFDA44" w:rsidP="20EFDA44">
          <w:pPr>
            <w:pStyle w:val="Header"/>
            <w:ind w:right="-115"/>
            <w:jc w:val="right"/>
          </w:pPr>
          <w:r w:rsidRPr="20EFDA44">
            <w:rPr>
              <w:sz w:val="16"/>
              <w:szCs w:val="16"/>
            </w:rPr>
            <w:fldChar w:fldCharType="begin"/>
          </w:r>
          <w:r>
            <w:instrText>PAGE</w:instrText>
          </w:r>
          <w:r w:rsidRPr="20EFDA44">
            <w:fldChar w:fldCharType="separate"/>
          </w:r>
          <w:r w:rsidR="0092613D">
            <w:rPr>
              <w:noProof/>
            </w:rPr>
            <w:t>1</w:t>
          </w:r>
          <w:r w:rsidRPr="20EFDA44">
            <w:rPr>
              <w:sz w:val="16"/>
              <w:szCs w:val="16"/>
            </w:rPr>
            <w:fldChar w:fldCharType="end"/>
          </w:r>
        </w:p>
      </w:tc>
    </w:tr>
  </w:tbl>
  <w:p w14:paraId="2FAD99ED" w14:textId="61B55940" w:rsidR="20EFDA44" w:rsidRDefault="20EFDA44" w:rsidP="20EFD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A8E48" w14:textId="77777777" w:rsidR="005C1A34" w:rsidRDefault="005C1A34">
      <w:pPr>
        <w:spacing w:after="0" w:line="240" w:lineRule="auto"/>
      </w:pPr>
      <w:r>
        <w:separator/>
      </w:r>
    </w:p>
  </w:footnote>
  <w:footnote w:type="continuationSeparator" w:id="0">
    <w:p w14:paraId="539ADC84" w14:textId="77777777" w:rsidR="005C1A34" w:rsidRDefault="005C1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20EFDA44" w14:paraId="22EC80B7" w14:textId="77777777" w:rsidTr="20EFDA44">
      <w:trPr>
        <w:trHeight w:val="300"/>
      </w:trPr>
      <w:tc>
        <w:tcPr>
          <w:tcW w:w="3405" w:type="dxa"/>
        </w:tcPr>
        <w:p w14:paraId="75BA267C" w14:textId="04A60AA8" w:rsidR="20EFDA44" w:rsidRDefault="20EFDA44" w:rsidP="20EFDA44">
          <w:pPr>
            <w:pStyle w:val="Header"/>
            <w:ind w:left="-115"/>
          </w:pPr>
        </w:p>
      </w:tc>
      <w:tc>
        <w:tcPr>
          <w:tcW w:w="3405" w:type="dxa"/>
        </w:tcPr>
        <w:p w14:paraId="37BE9043" w14:textId="52291CEE" w:rsidR="20EFDA44" w:rsidRDefault="20EFDA44" w:rsidP="20EFDA44">
          <w:pPr>
            <w:pStyle w:val="Header"/>
            <w:jc w:val="center"/>
          </w:pPr>
        </w:p>
      </w:tc>
      <w:tc>
        <w:tcPr>
          <w:tcW w:w="3405" w:type="dxa"/>
        </w:tcPr>
        <w:p w14:paraId="52C33C7B" w14:textId="40BF495E" w:rsidR="20EFDA44" w:rsidRDefault="20EFDA44" w:rsidP="20EFDA44">
          <w:pPr>
            <w:pStyle w:val="Header"/>
            <w:ind w:right="-115"/>
            <w:jc w:val="right"/>
          </w:pPr>
        </w:p>
      </w:tc>
    </w:tr>
  </w:tbl>
  <w:p w14:paraId="64705C5C" w14:textId="7691C130" w:rsidR="20EFDA44" w:rsidRDefault="20EFDA44" w:rsidP="20EFDA4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D1b2xvX" int2:invalidationBookmarkName="" int2:hashCode="OlLOeAlQ1NlpeS" int2:id="AftMunb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64CA"/>
    <w:multiLevelType w:val="multilevel"/>
    <w:tmpl w:val="E784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8C7570"/>
    <w:multiLevelType w:val="multilevel"/>
    <w:tmpl w:val="373A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317E22"/>
    <w:multiLevelType w:val="multilevel"/>
    <w:tmpl w:val="5FEE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26D24"/>
    <w:multiLevelType w:val="multilevel"/>
    <w:tmpl w:val="93AA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81701">
    <w:abstractNumId w:val="0"/>
  </w:num>
  <w:num w:numId="2" w16cid:durableId="2122648150">
    <w:abstractNumId w:val="3"/>
  </w:num>
  <w:num w:numId="3" w16cid:durableId="1331760625">
    <w:abstractNumId w:val="1"/>
  </w:num>
  <w:num w:numId="4" w16cid:durableId="687953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30"/>
    <w:rsid w:val="002D6EBD"/>
    <w:rsid w:val="0034B1BC"/>
    <w:rsid w:val="003A5E0A"/>
    <w:rsid w:val="004C786B"/>
    <w:rsid w:val="005C1A34"/>
    <w:rsid w:val="005D25E6"/>
    <w:rsid w:val="007379B4"/>
    <w:rsid w:val="00761D34"/>
    <w:rsid w:val="00770209"/>
    <w:rsid w:val="00867328"/>
    <w:rsid w:val="008E42D2"/>
    <w:rsid w:val="0092613D"/>
    <w:rsid w:val="00B371FA"/>
    <w:rsid w:val="00C21330"/>
    <w:rsid w:val="00C91AE3"/>
    <w:rsid w:val="00CF36B4"/>
    <w:rsid w:val="00D40060"/>
    <w:rsid w:val="00DA6414"/>
    <w:rsid w:val="00E12306"/>
    <w:rsid w:val="00F92069"/>
    <w:rsid w:val="00FC4950"/>
    <w:rsid w:val="01C9157A"/>
    <w:rsid w:val="02328BDE"/>
    <w:rsid w:val="02A51AEC"/>
    <w:rsid w:val="0322905F"/>
    <w:rsid w:val="07A95446"/>
    <w:rsid w:val="0928793C"/>
    <w:rsid w:val="092A644D"/>
    <w:rsid w:val="0A64FBFE"/>
    <w:rsid w:val="0B5CA4BF"/>
    <w:rsid w:val="0C2880F8"/>
    <w:rsid w:val="0D93BE9C"/>
    <w:rsid w:val="0FBD65B6"/>
    <w:rsid w:val="10DDE1B6"/>
    <w:rsid w:val="118A96F0"/>
    <w:rsid w:val="12FBF8F1"/>
    <w:rsid w:val="169FA656"/>
    <w:rsid w:val="1911CA7A"/>
    <w:rsid w:val="1B2BA8AF"/>
    <w:rsid w:val="1B37BB47"/>
    <w:rsid w:val="1E51080B"/>
    <w:rsid w:val="1F5B629A"/>
    <w:rsid w:val="206692FF"/>
    <w:rsid w:val="2086EDB5"/>
    <w:rsid w:val="20EFDA44"/>
    <w:rsid w:val="2295E8A6"/>
    <w:rsid w:val="23DF5E41"/>
    <w:rsid w:val="246BBBD7"/>
    <w:rsid w:val="2709EBD6"/>
    <w:rsid w:val="274055BE"/>
    <w:rsid w:val="284B0FAE"/>
    <w:rsid w:val="288299D1"/>
    <w:rsid w:val="29E1A823"/>
    <w:rsid w:val="2B5675A8"/>
    <w:rsid w:val="2BCDDDFA"/>
    <w:rsid w:val="2D08C1A2"/>
    <w:rsid w:val="2DF0B65D"/>
    <w:rsid w:val="2EFE5702"/>
    <w:rsid w:val="2F1C49D2"/>
    <w:rsid w:val="2F5EBDD8"/>
    <w:rsid w:val="305A0F49"/>
    <w:rsid w:val="30F98E2C"/>
    <w:rsid w:val="3118DBED"/>
    <w:rsid w:val="31F31D59"/>
    <w:rsid w:val="327F799C"/>
    <w:rsid w:val="37EEBF42"/>
    <w:rsid w:val="37F43065"/>
    <w:rsid w:val="380AD261"/>
    <w:rsid w:val="3A370011"/>
    <w:rsid w:val="3BAAC485"/>
    <w:rsid w:val="3DE303D5"/>
    <w:rsid w:val="3EAEA951"/>
    <w:rsid w:val="4019A91C"/>
    <w:rsid w:val="43A67BFB"/>
    <w:rsid w:val="4893F6DD"/>
    <w:rsid w:val="4A320280"/>
    <w:rsid w:val="4C9B08B3"/>
    <w:rsid w:val="4CDE0F12"/>
    <w:rsid w:val="4D9799B6"/>
    <w:rsid w:val="504F7740"/>
    <w:rsid w:val="50CAF479"/>
    <w:rsid w:val="524EFA7B"/>
    <w:rsid w:val="534EFD99"/>
    <w:rsid w:val="5553A2D4"/>
    <w:rsid w:val="55A58328"/>
    <w:rsid w:val="564D4E12"/>
    <w:rsid w:val="56AB55EF"/>
    <w:rsid w:val="56F1223F"/>
    <w:rsid w:val="586E851E"/>
    <w:rsid w:val="5B7498E7"/>
    <w:rsid w:val="5C4A2335"/>
    <w:rsid w:val="5EF5355A"/>
    <w:rsid w:val="5F0CABC2"/>
    <w:rsid w:val="5F29FDAA"/>
    <w:rsid w:val="5F5F597E"/>
    <w:rsid w:val="60B78811"/>
    <w:rsid w:val="611DA446"/>
    <w:rsid w:val="63CCD836"/>
    <w:rsid w:val="65FD2928"/>
    <w:rsid w:val="6621A38E"/>
    <w:rsid w:val="66FE5AEC"/>
    <w:rsid w:val="67EB5FFD"/>
    <w:rsid w:val="68999A02"/>
    <w:rsid w:val="68A308BD"/>
    <w:rsid w:val="68B4E2CC"/>
    <w:rsid w:val="6B32C345"/>
    <w:rsid w:val="6BD8C820"/>
    <w:rsid w:val="6BF40C18"/>
    <w:rsid w:val="6C470C2C"/>
    <w:rsid w:val="6CEF8B42"/>
    <w:rsid w:val="6DE82B37"/>
    <w:rsid w:val="6F0E82F0"/>
    <w:rsid w:val="6F8275FB"/>
    <w:rsid w:val="70CC3BF5"/>
    <w:rsid w:val="73DE34C7"/>
    <w:rsid w:val="745AC4D3"/>
    <w:rsid w:val="75320CF6"/>
    <w:rsid w:val="763756B6"/>
    <w:rsid w:val="78958471"/>
    <w:rsid w:val="78D0AF9D"/>
    <w:rsid w:val="78E9CB5C"/>
    <w:rsid w:val="794E3BF5"/>
    <w:rsid w:val="7A3A5690"/>
    <w:rsid w:val="7BA31484"/>
    <w:rsid w:val="7C6F6A9B"/>
    <w:rsid w:val="7C948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E0D8"/>
  <w15:chartTrackingRefBased/>
  <w15:docId w15:val="{AFB4BCBF-16A0-8846-8471-6AFE2DB9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DE82B37"/>
    <w:pPr>
      <w:spacing w:beforeAutospacing="1" w:afterAutospacing="1"/>
    </w:pPr>
    <w:rPr>
      <w:rFonts w:ascii="Calibri" w:eastAsia="Calibri" w:hAnsi="Calibri" w:cs="Calibri"/>
    </w:rPr>
  </w:style>
  <w:style w:type="paragraph" w:styleId="Heading1">
    <w:name w:val="heading 1"/>
    <w:basedOn w:val="Normal"/>
    <w:next w:val="Normal"/>
    <w:link w:val="Heading1Char"/>
    <w:uiPriority w:val="9"/>
    <w:qFormat/>
    <w:rsid w:val="20EFDA44"/>
    <w:pPr>
      <w:keepNext/>
      <w:keepLines/>
      <w:spacing w:beforeAutospacing="0" w:after="0" w:afterAutospacing="0" w:line="240" w:lineRule="auto"/>
      <w:outlineLvl w:val="0"/>
    </w:pPr>
    <w:rPr>
      <w:color w:val="2F5597"/>
      <w:sz w:val="32"/>
      <w:szCs w:val="32"/>
    </w:rPr>
  </w:style>
  <w:style w:type="paragraph" w:styleId="Heading2">
    <w:name w:val="heading 2"/>
    <w:basedOn w:val="Normal"/>
    <w:next w:val="Normal"/>
    <w:link w:val="Heading2Char"/>
    <w:uiPriority w:val="9"/>
    <w:unhideWhenUsed/>
    <w:qFormat/>
    <w:rsid w:val="0FBD65B6"/>
    <w:pPr>
      <w:keepNext/>
      <w:keepLines/>
      <w:spacing w:beforeAutospacing="0" w:after="0" w:afterAutospacing="0" w:line="240" w:lineRule="auto"/>
      <w:outlineLvl w:val="1"/>
    </w:pPr>
    <w:rPr>
      <w:color w:val="2F5597"/>
      <w:sz w:val="26"/>
      <w:szCs w:val="26"/>
    </w:rPr>
  </w:style>
  <w:style w:type="paragraph" w:styleId="Heading3">
    <w:name w:val="heading 3"/>
    <w:basedOn w:val="Normal"/>
    <w:next w:val="Normal"/>
    <w:link w:val="Heading3Char"/>
    <w:uiPriority w:val="9"/>
    <w:unhideWhenUsed/>
    <w:qFormat/>
    <w:rsid w:val="6DE82B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6DE82B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6DE82B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6DE82B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6DE82B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6DE82B37"/>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6DE82B37"/>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20EFDA44"/>
    <w:rPr>
      <w:rFonts w:ascii="Calibri" w:eastAsia="Calibri" w:hAnsi="Calibri" w:cs="Calibri"/>
      <w:color w:val="2F5597"/>
      <w:sz w:val="32"/>
      <w:szCs w:val="32"/>
    </w:rPr>
  </w:style>
  <w:style w:type="character" w:customStyle="1" w:styleId="Heading2Char">
    <w:name w:val="Heading 2 Char"/>
    <w:basedOn w:val="DefaultParagraphFont"/>
    <w:link w:val="Heading2"/>
    <w:uiPriority w:val="9"/>
    <w:rsid w:val="0FBD65B6"/>
    <w:rPr>
      <w:rFonts w:ascii="Calibri" w:eastAsia="Calibri" w:hAnsi="Calibri" w:cs="Calibri"/>
      <w:color w:val="2F5597"/>
      <w:sz w:val="26"/>
      <w:szCs w:val="26"/>
    </w:rPr>
  </w:style>
  <w:style w:type="character" w:customStyle="1" w:styleId="Heading3Char">
    <w:name w:val="Heading 3 Char"/>
    <w:basedOn w:val="DefaultParagraphFont"/>
    <w:link w:val="Heading3"/>
    <w:uiPriority w:val="9"/>
    <w:rsid w:val="00C213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213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3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330"/>
    <w:rPr>
      <w:rFonts w:eastAsiaTheme="majorEastAsia" w:cstheme="majorBidi"/>
      <w:color w:val="272727" w:themeColor="text1" w:themeTint="D8"/>
    </w:rPr>
  </w:style>
  <w:style w:type="paragraph" w:styleId="Title">
    <w:name w:val="Title"/>
    <w:basedOn w:val="Normal"/>
    <w:next w:val="Normal"/>
    <w:link w:val="TitleChar"/>
    <w:uiPriority w:val="10"/>
    <w:qFormat/>
    <w:rsid w:val="0FBD65B6"/>
    <w:pPr>
      <w:spacing w:beforeAutospacing="0" w:after="0" w:afterAutospacing="0" w:line="240" w:lineRule="auto"/>
      <w:contextualSpacing/>
    </w:pPr>
    <w:rPr>
      <w:color w:val="2F5597"/>
      <w:sz w:val="56"/>
      <w:szCs w:val="56"/>
    </w:rPr>
  </w:style>
  <w:style w:type="character" w:customStyle="1" w:styleId="TitleChar">
    <w:name w:val="Title Char"/>
    <w:basedOn w:val="DefaultParagraphFont"/>
    <w:link w:val="Title"/>
    <w:uiPriority w:val="10"/>
    <w:rsid w:val="0FBD65B6"/>
    <w:rPr>
      <w:rFonts w:ascii="Calibri" w:eastAsia="Calibri" w:hAnsi="Calibri" w:cs="Calibri"/>
      <w:color w:val="2F5597"/>
      <w:sz w:val="56"/>
      <w:szCs w:val="56"/>
    </w:rPr>
  </w:style>
  <w:style w:type="paragraph" w:styleId="Subtitle">
    <w:name w:val="Subtitle"/>
    <w:basedOn w:val="Normal"/>
    <w:next w:val="Normal"/>
    <w:link w:val="SubtitleChar"/>
    <w:uiPriority w:val="11"/>
    <w:qFormat/>
    <w:rsid w:val="6DE82B37"/>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C21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6DE82B37"/>
    <w:pPr>
      <w:spacing w:before="160"/>
      <w:jc w:val="center"/>
    </w:pPr>
    <w:rPr>
      <w:i/>
      <w:iCs/>
      <w:color w:val="404040" w:themeColor="text1" w:themeTint="BF"/>
    </w:rPr>
  </w:style>
  <w:style w:type="character" w:customStyle="1" w:styleId="QuoteChar">
    <w:name w:val="Quote Char"/>
    <w:basedOn w:val="DefaultParagraphFont"/>
    <w:link w:val="Quote"/>
    <w:uiPriority w:val="29"/>
    <w:rsid w:val="00C21330"/>
    <w:rPr>
      <w:i/>
      <w:iCs/>
      <w:color w:val="404040" w:themeColor="text1" w:themeTint="BF"/>
    </w:rPr>
  </w:style>
  <w:style w:type="paragraph" w:styleId="ListParagraph">
    <w:name w:val="List Paragraph"/>
    <w:basedOn w:val="Normal"/>
    <w:uiPriority w:val="34"/>
    <w:qFormat/>
    <w:rsid w:val="6DE82B37"/>
    <w:pPr>
      <w:ind w:left="720"/>
      <w:contextualSpacing/>
    </w:pPr>
  </w:style>
  <w:style w:type="character" w:styleId="IntenseEmphasis">
    <w:name w:val="Intense Emphasis"/>
    <w:basedOn w:val="DefaultParagraphFont"/>
    <w:uiPriority w:val="21"/>
    <w:qFormat/>
    <w:rsid w:val="00C21330"/>
    <w:rPr>
      <w:i/>
      <w:iCs/>
      <w:color w:val="0F4761" w:themeColor="accent1" w:themeShade="BF"/>
    </w:rPr>
  </w:style>
  <w:style w:type="paragraph" w:styleId="IntenseQuote">
    <w:name w:val="Intense Quote"/>
    <w:basedOn w:val="Normal"/>
    <w:next w:val="Normal"/>
    <w:link w:val="IntenseQuoteChar"/>
    <w:uiPriority w:val="30"/>
    <w:qFormat/>
    <w:rsid w:val="6DE82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330"/>
    <w:rPr>
      <w:i/>
      <w:iCs/>
      <w:color w:val="0F4761" w:themeColor="accent1" w:themeShade="BF"/>
    </w:rPr>
  </w:style>
  <w:style w:type="character" w:styleId="IntenseReference">
    <w:name w:val="Intense Reference"/>
    <w:basedOn w:val="DefaultParagraphFont"/>
    <w:uiPriority w:val="32"/>
    <w:qFormat/>
    <w:rsid w:val="00C21330"/>
    <w:rPr>
      <w:b/>
      <w:bCs/>
      <w:smallCaps/>
      <w:color w:val="0F4761" w:themeColor="accent1" w:themeShade="BF"/>
      <w:spacing w:val="5"/>
    </w:rPr>
  </w:style>
  <w:style w:type="character" w:styleId="Strong">
    <w:name w:val="Strong"/>
    <w:basedOn w:val="DefaultParagraphFont"/>
    <w:uiPriority w:val="22"/>
    <w:qFormat/>
    <w:rsid w:val="00C21330"/>
    <w:rPr>
      <w:b/>
      <w:bCs/>
    </w:rPr>
  </w:style>
  <w:style w:type="paragraph" w:styleId="NormalWeb">
    <w:name w:val="Normal (Web)"/>
    <w:basedOn w:val="Normal"/>
    <w:uiPriority w:val="99"/>
    <w:semiHidden/>
    <w:unhideWhenUsed/>
    <w:rsid w:val="6DE82B37"/>
    <w:rPr>
      <w:rFonts w:ascii="Times New Roman" w:eastAsia="Times New Roman" w:hAnsi="Times New Roman" w:cs="Times New Roman"/>
    </w:rPr>
  </w:style>
  <w:style w:type="character" w:styleId="Emphasis">
    <w:name w:val="Emphasis"/>
    <w:basedOn w:val="DefaultParagraphFont"/>
    <w:uiPriority w:val="20"/>
    <w:qFormat/>
    <w:rsid w:val="00C21330"/>
    <w:rPr>
      <w:i/>
      <w:iCs/>
    </w:rPr>
  </w:style>
  <w:style w:type="character" w:customStyle="1" w:styleId="sr-only">
    <w:name w:val="sr-only"/>
    <w:basedOn w:val="DefaultParagraphFont"/>
    <w:rsid w:val="00C21330"/>
  </w:style>
  <w:style w:type="paragraph" w:styleId="Header">
    <w:name w:val="header"/>
    <w:basedOn w:val="Normal"/>
    <w:uiPriority w:val="99"/>
    <w:unhideWhenUsed/>
    <w:rsid w:val="20EFDA44"/>
    <w:pPr>
      <w:tabs>
        <w:tab w:val="center" w:pos="4680"/>
        <w:tab w:val="right" w:pos="9360"/>
      </w:tabs>
      <w:spacing w:after="0" w:line="240" w:lineRule="auto"/>
    </w:pPr>
  </w:style>
  <w:style w:type="paragraph" w:styleId="Footer">
    <w:name w:val="footer"/>
    <w:basedOn w:val="Normal"/>
    <w:uiPriority w:val="99"/>
    <w:unhideWhenUsed/>
    <w:rsid w:val="20EFDA4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9261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3454">
      <w:bodyDiv w:val="1"/>
      <w:marLeft w:val="0"/>
      <w:marRight w:val="0"/>
      <w:marTop w:val="0"/>
      <w:marBottom w:val="0"/>
      <w:divBdr>
        <w:top w:val="none" w:sz="0" w:space="0" w:color="auto"/>
        <w:left w:val="none" w:sz="0" w:space="0" w:color="auto"/>
        <w:bottom w:val="none" w:sz="0" w:space="0" w:color="auto"/>
        <w:right w:val="none" w:sz="0" w:space="0" w:color="auto"/>
      </w:divBdr>
    </w:div>
    <w:div w:id="355428396">
      <w:bodyDiv w:val="1"/>
      <w:marLeft w:val="0"/>
      <w:marRight w:val="0"/>
      <w:marTop w:val="0"/>
      <w:marBottom w:val="0"/>
      <w:divBdr>
        <w:top w:val="none" w:sz="0" w:space="0" w:color="auto"/>
        <w:left w:val="none" w:sz="0" w:space="0" w:color="auto"/>
        <w:bottom w:val="none" w:sz="0" w:space="0" w:color="auto"/>
        <w:right w:val="none" w:sz="0" w:space="0" w:color="auto"/>
      </w:divBdr>
    </w:div>
    <w:div w:id="1211531107">
      <w:bodyDiv w:val="1"/>
      <w:marLeft w:val="0"/>
      <w:marRight w:val="0"/>
      <w:marTop w:val="0"/>
      <w:marBottom w:val="0"/>
      <w:divBdr>
        <w:top w:val="none" w:sz="0" w:space="0" w:color="auto"/>
        <w:left w:val="none" w:sz="0" w:space="0" w:color="auto"/>
        <w:bottom w:val="none" w:sz="0" w:space="0" w:color="auto"/>
        <w:right w:val="none" w:sz="0" w:space="0" w:color="auto"/>
      </w:divBdr>
      <w:divsChild>
        <w:div w:id="1831751697">
          <w:marLeft w:val="0"/>
          <w:marRight w:val="0"/>
          <w:marTop w:val="0"/>
          <w:marBottom w:val="0"/>
          <w:divBdr>
            <w:top w:val="none" w:sz="0" w:space="0" w:color="auto"/>
            <w:left w:val="none" w:sz="0" w:space="0" w:color="auto"/>
            <w:bottom w:val="none" w:sz="0" w:space="0" w:color="auto"/>
            <w:right w:val="none" w:sz="0" w:space="0" w:color="auto"/>
          </w:divBdr>
          <w:divsChild>
            <w:div w:id="732004280">
              <w:marLeft w:val="0"/>
              <w:marRight w:val="0"/>
              <w:marTop w:val="0"/>
              <w:marBottom w:val="0"/>
              <w:divBdr>
                <w:top w:val="none" w:sz="0" w:space="0" w:color="auto"/>
                <w:left w:val="none" w:sz="0" w:space="0" w:color="auto"/>
                <w:bottom w:val="none" w:sz="0" w:space="0" w:color="auto"/>
                <w:right w:val="none" w:sz="0" w:space="0" w:color="auto"/>
              </w:divBdr>
              <w:divsChild>
                <w:div w:id="2050760550">
                  <w:marLeft w:val="0"/>
                  <w:marRight w:val="0"/>
                  <w:marTop w:val="0"/>
                  <w:marBottom w:val="0"/>
                  <w:divBdr>
                    <w:top w:val="none" w:sz="0" w:space="0" w:color="auto"/>
                    <w:left w:val="none" w:sz="0" w:space="0" w:color="auto"/>
                    <w:bottom w:val="none" w:sz="0" w:space="0" w:color="auto"/>
                    <w:right w:val="none" w:sz="0" w:space="0" w:color="auto"/>
                  </w:divBdr>
                  <w:divsChild>
                    <w:div w:id="1903834564">
                      <w:marLeft w:val="0"/>
                      <w:marRight w:val="0"/>
                      <w:marTop w:val="0"/>
                      <w:marBottom w:val="0"/>
                      <w:divBdr>
                        <w:top w:val="none" w:sz="0" w:space="0" w:color="auto"/>
                        <w:left w:val="none" w:sz="0" w:space="0" w:color="auto"/>
                        <w:bottom w:val="none" w:sz="0" w:space="0" w:color="auto"/>
                        <w:right w:val="none" w:sz="0" w:space="0" w:color="auto"/>
                      </w:divBdr>
                      <w:divsChild>
                        <w:div w:id="471482992">
                          <w:marLeft w:val="0"/>
                          <w:marRight w:val="0"/>
                          <w:marTop w:val="0"/>
                          <w:marBottom w:val="0"/>
                          <w:divBdr>
                            <w:top w:val="none" w:sz="0" w:space="0" w:color="auto"/>
                            <w:left w:val="none" w:sz="0" w:space="0" w:color="auto"/>
                            <w:bottom w:val="none" w:sz="0" w:space="0" w:color="auto"/>
                            <w:right w:val="none" w:sz="0" w:space="0" w:color="auto"/>
                          </w:divBdr>
                          <w:divsChild>
                            <w:div w:id="898855858">
                              <w:marLeft w:val="0"/>
                              <w:marRight w:val="0"/>
                              <w:marTop w:val="0"/>
                              <w:marBottom w:val="0"/>
                              <w:divBdr>
                                <w:top w:val="none" w:sz="0" w:space="0" w:color="auto"/>
                                <w:left w:val="none" w:sz="0" w:space="0" w:color="auto"/>
                                <w:bottom w:val="none" w:sz="0" w:space="0" w:color="auto"/>
                                <w:right w:val="none" w:sz="0" w:space="0" w:color="auto"/>
                              </w:divBdr>
                              <w:divsChild>
                                <w:div w:id="1281493691">
                                  <w:marLeft w:val="0"/>
                                  <w:marRight w:val="0"/>
                                  <w:marTop w:val="0"/>
                                  <w:marBottom w:val="0"/>
                                  <w:divBdr>
                                    <w:top w:val="none" w:sz="0" w:space="0" w:color="auto"/>
                                    <w:left w:val="none" w:sz="0" w:space="0" w:color="auto"/>
                                    <w:bottom w:val="none" w:sz="0" w:space="0" w:color="auto"/>
                                    <w:right w:val="none" w:sz="0" w:space="0" w:color="auto"/>
                                  </w:divBdr>
                                  <w:divsChild>
                                    <w:div w:id="55859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785432">
                      <w:marLeft w:val="0"/>
                      <w:marRight w:val="0"/>
                      <w:marTop w:val="0"/>
                      <w:marBottom w:val="0"/>
                      <w:divBdr>
                        <w:top w:val="none" w:sz="0" w:space="0" w:color="auto"/>
                        <w:left w:val="none" w:sz="0" w:space="0" w:color="auto"/>
                        <w:bottom w:val="none" w:sz="0" w:space="0" w:color="auto"/>
                        <w:right w:val="none" w:sz="0" w:space="0" w:color="auto"/>
                      </w:divBdr>
                      <w:divsChild>
                        <w:div w:id="77621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Props1.xml><?xml version="1.0" encoding="utf-8"?>
<ds:datastoreItem xmlns:ds="http://schemas.openxmlformats.org/officeDocument/2006/customXml" ds:itemID="{BC5852ED-FE2E-4849-88A4-61E8157CF635}">
  <ds:schemaRefs>
    <ds:schemaRef ds:uri="http://schemas.microsoft.com/sharepoint/v3/contenttype/forms"/>
  </ds:schemaRefs>
</ds:datastoreItem>
</file>

<file path=customXml/itemProps2.xml><?xml version="1.0" encoding="utf-8"?>
<ds:datastoreItem xmlns:ds="http://schemas.openxmlformats.org/officeDocument/2006/customXml" ds:itemID="{51534BBC-A312-45C7-9587-69E4A1146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ACE09-DBD8-42D3-8733-012A21F18B7E}">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1933</Words>
  <Characters>11022</Characters>
  <Application>Microsoft Office Word</Application>
  <DocSecurity>0</DocSecurity>
  <Lines>91</Lines>
  <Paragraphs>25</Paragraphs>
  <ScaleCrop>false</ScaleCrop>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5</cp:revision>
  <dcterms:created xsi:type="dcterms:W3CDTF">2025-07-28T19:50:00Z</dcterms:created>
  <dcterms:modified xsi:type="dcterms:W3CDTF">2025-09-09T20:33:00Z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