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02AF" w14:textId="7268709D" w:rsidR="00477A67" w:rsidRPr="00861E84" w:rsidRDefault="001374F8" w:rsidP="007C2740">
      <w:pPr>
        <w:pStyle w:val="Title"/>
        <w:pBdr>
          <w:bottom w:val="none" w:sz="0" w:space="0" w:color="auto"/>
        </w:pBdr>
        <w:spacing w:after="0"/>
      </w:pPr>
      <w:r w:rsidRPr="00861E84">
        <w:t>Ethics in Scien</w:t>
      </w:r>
      <w:r w:rsidR="00861E84">
        <w:t>tific Research</w:t>
      </w:r>
      <w:r w:rsidRPr="00861E84">
        <w:t xml:space="preserve"> </w:t>
      </w:r>
      <w:r w:rsidR="007C2740">
        <w:t xml:space="preserve">Case Study </w:t>
      </w:r>
      <w:r w:rsidRPr="00861E84">
        <w:t>Assignment</w:t>
      </w:r>
    </w:p>
    <w:p w14:paraId="1827C0E7" w14:textId="46C91AD7" w:rsidR="00477A67" w:rsidRDefault="00861E84" w:rsidP="007C2740">
      <w:pPr>
        <w:pStyle w:val="Heading1"/>
        <w:spacing w:line="240" w:lineRule="auto"/>
        <w:contextualSpacing/>
      </w:pPr>
      <w:r w:rsidRPr="00861E84">
        <w:t>Information</w:t>
      </w:r>
      <w:r w:rsidR="007C2740">
        <w:t xml:space="preserve"> for</w:t>
      </w:r>
      <w:r w:rsidRPr="00861E84">
        <w:t xml:space="preserve"> </w:t>
      </w:r>
      <w:r w:rsidR="001374F8" w:rsidRPr="00861E84">
        <w:t>Instructors</w:t>
      </w:r>
    </w:p>
    <w:p w14:paraId="64C563C2" w14:textId="60B2ACCC" w:rsidR="00861E84" w:rsidRPr="00861E84" w:rsidRDefault="00861E84" w:rsidP="007C2740">
      <w:pPr>
        <w:pStyle w:val="Heading1"/>
        <w:spacing w:before="0" w:line="240" w:lineRule="auto"/>
        <w:contextualSpacing/>
      </w:pPr>
      <w:r>
        <w:t xml:space="preserve">Ethics in Scientific Research </w:t>
      </w:r>
      <w:r w:rsidR="007C2740">
        <w:t xml:space="preserve">Case Study </w:t>
      </w:r>
      <w:r>
        <w:t>Assignment</w:t>
      </w:r>
    </w:p>
    <w:p w14:paraId="396BECFF" w14:textId="4985223D" w:rsidR="00861E84" w:rsidRPr="00861E84" w:rsidRDefault="00861E84" w:rsidP="007C2740">
      <w:pPr>
        <w:pStyle w:val="Heading2"/>
        <w:spacing w:before="0" w:line="240" w:lineRule="auto"/>
        <w:contextualSpacing/>
      </w:pPr>
      <w:r>
        <w:t>Overview</w:t>
      </w:r>
    </w:p>
    <w:p w14:paraId="67831D7A" w14:textId="46CFEE9C" w:rsidR="007C2740" w:rsidRDefault="00861E84" w:rsidP="007C2740">
      <w:pPr>
        <w:spacing w:after="0" w:line="240" w:lineRule="auto"/>
        <w:contextualSpacing/>
      </w:pPr>
      <w:r>
        <w:t>This assignment addresses the Pathways o</w:t>
      </w:r>
      <w:r w:rsidR="001374F8">
        <w:t xml:space="preserve">utcome: </w:t>
      </w:r>
      <w:r w:rsidR="007C2740">
        <w:t>I</w:t>
      </w:r>
      <w:r w:rsidR="001374F8">
        <w:t>dentify and apply research ethics and unbiased assessment in gathering and reporting scientific data.</w:t>
      </w:r>
      <w:r w:rsidR="001374F8">
        <w:br/>
      </w:r>
      <w:r w:rsidR="001374F8">
        <w:br/>
      </w:r>
      <w:r w:rsidR="007C2740">
        <w:t>In this</w:t>
      </w:r>
      <w:r w:rsidR="001374F8">
        <w:t xml:space="preserve"> assignment students </w:t>
      </w:r>
      <w:r w:rsidR="007C2740">
        <w:t xml:space="preserve">will </w:t>
      </w:r>
      <w:r w:rsidR="001374F8">
        <w:t xml:space="preserve">examine </w:t>
      </w:r>
      <w:r w:rsidR="007C2740">
        <w:t>a</w:t>
      </w:r>
      <w:r w:rsidR="001374F8">
        <w:t xml:space="preserve"> </w:t>
      </w:r>
      <w:r w:rsidR="007C2740">
        <w:t>major historical case</w:t>
      </w:r>
      <w:r w:rsidR="001374F8">
        <w:t xml:space="preserve"> where scientific practices raised significant ethical concerns. </w:t>
      </w:r>
      <w:r w:rsidR="007C2740">
        <w:t>They will research the event</w:t>
      </w:r>
      <w:r w:rsidR="001374F8">
        <w:t>, evaluate the ethical issues involved, and demonstrate how unbiased reporting of data could have changed or influenced the outcome.</w:t>
      </w:r>
    </w:p>
    <w:p w14:paraId="4B72826D" w14:textId="77777777" w:rsidR="007C2740" w:rsidRDefault="007C2740" w:rsidP="007C2740">
      <w:pPr>
        <w:spacing w:after="0" w:line="240" w:lineRule="auto"/>
        <w:contextualSpacing/>
      </w:pPr>
    </w:p>
    <w:p w14:paraId="25C80CC9" w14:textId="447FACB9" w:rsidR="007C2740" w:rsidRPr="00861E84" w:rsidRDefault="007C2740" w:rsidP="007C2740">
      <w:pPr>
        <w:pStyle w:val="Heading1"/>
        <w:spacing w:line="240" w:lineRule="auto"/>
        <w:contextualSpacing/>
      </w:pPr>
      <w:r w:rsidRPr="00861E84">
        <w:t>Information</w:t>
      </w:r>
      <w:r>
        <w:t xml:space="preserve"> for</w:t>
      </w:r>
      <w:r w:rsidRPr="00861E84">
        <w:t xml:space="preserve"> Instructors</w:t>
      </w:r>
      <w:r w:rsidR="001374F8">
        <w:br/>
      </w:r>
      <w:r>
        <w:t>Ethics in Scientific Research Case Study Assignment</w:t>
      </w:r>
    </w:p>
    <w:p w14:paraId="069F4B1F" w14:textId="77777777" w:rsidR="007C2740" w:rsidRPr="00861E84" w:rsidRDefault="007C2740" w:rsidP="007C2740">
      <w:pPr>
        <w:pStyle w:val="Heading2"/>
        <w:spacing w:before="0" w:line="240" w:lineRule="auto"/>
        <w:contextualSpacing/>
      </w:pPr>
      <w:r>
        <w:t>Overview</w:t>
      </w:r>
    </w:p>
    <w:p w14:paraId="60AADB16" w14:textId="77777777" w:rsidR="007C2740" w:rsidRDefault="007C2740" w:rsidP="007C2740">
      <w:pPr>
        <w:spacing w:after="0" w:line="240" w:lineRule="auto"/>
        <w:contextualSpacing/>
      </w:pPr>
      <w:r>
        <w:t>Throughout history, scientific discoveries and practices have changed lives, sometimes for the better, and sometimes with devastating consequences due to unethical practices. This assignment asks you to explore one controversial event in scientific research and reflect on the ethical lessons that can be learned from it today.</w:t>
      </w:r>
    </w:p>
    <w:p w14:paraId="47D838F6" w14:textId="77777777" w:rsidR="007C2740" w:rsidRDefault="007C2740" w:rsidP="007C2740">
      <w:pPr>
        <w:spacing w:after="0" w:line="240" w:lineRule="auto"/>
        <w:contextualSpacing/>
      </w:pPr>
    </w:p>
    <w:p w14:paraId="039CA5CF" w14:textId="77777777" w:rsidR="007C2740" w:rsidRDefault="007C2740" w:rsidP="007C2740">
      <w:pPr>
        <w:spacing w:after="0" w:line="240" w:lineRule="auto"/>
        <w:contextualSpacing/>
      </w:pPr>
      <w:r>
        <w:t xml:space="preserve">As you work through this assignment, you will: </w:t>
      </w:r>
    </w:p>
    <w:p w14:paraId="68BB29DD" w14:textId="77777777" w:rsidR="007C2740" w:rsidRDefault="007C2740" w:rsidP="00CB16C0">
      <w:pPr>
        <w:pStyle w:val="ListParagraph"/>
        <w:numPr>
          <w:ilvl w:val="0"/>
          <w:numId w:val="10"/>
        </w:numPr>
        <w:spacing w:after="0" w:line="240" w:lineRule="auto"/>
      </w:pPr>
      <w:r>
        <w:t xml:space="preserve">Select one of the following cases to study: </w:t>
      </w:r>
    </w:p>
    <w:p w14:paraId="3545BD2C" w14:textId="77777777" w:rsidR="00CB16C0" w:rsidRDefault="007C2740" w:rsidP="00CB16C0">
      <w:pPr>
        <w:pStyle w:val="ListParagraph"/>
        <w:numPr>
          <w:ilvl w:val="1"/>
          <w:numId w:val="10"/>
        </w:numPr>
        <w:spacing w:after="0" w:line="240" w:lineRule="auto"/>
      </w:pPr>
      <w:r>
        <w:t>Henrietta Lacks and HeLa cells</w:t>
      </w:r>
    </w:p>
    <w:p w14:paraId="2486E245" w14:textId="77777777" w:rsidR="00CB16C0" w:rsidRDefault="007C2740" w:rsidP="00CB16C0">
      <w:pPr>
        <w:pStyle w:val="ListParagraph"/>
        <w:numPr>
          <w:ilvl w:val="1"/>
          <w:numId w:val="10"/>
        </w:numPr>
        <w:spacing w:after="0" w:line="240" w:lineRule="auto"/>
      </w:pPr>
      <w:r>
        <w:t>Tuskegee Syphilis Study</w:t>
      </w:r>
    </w:p>
    <w:p w14:paraId="5A123074" w14:textId="77777777" w:rsidR="00CB16C0" w:rsidRDefault="007C2740" w:rsidP="00CB16C0">
      <w:pPr>
        <w:pStyle w:val="ListParagraph"/>
        <w:numPr>
          <w:ilvl w:val="1"/>
          <w:numId w:val="10"/>
        </w:numPr>
        <w:spacing w:after="0" w:line="240" w:lineRule="auto"/>
      </w:pPr>
      <w:r>
        <w:t xml:space="preserve">Philip Morris and </w:t>
      </w:r>
      <w:r w:rsidR="00CB16C0">
        <w:t>C</w:t>
      </w:r>
      <w:r>
        <w:t xml:space="preserve">igarette production </w:t>
      </w:r>
    </w:p>
    <w:p w14:paraId="454DF30F" w14:textId="77777777" w:rsidR="00CB16C0" w:rsidRDefault="007C2740" w:rsidP="00CB16C0">
      <w:pPr>
        <w:pStyle w:val="ListParagraph"/>
        <w:numPr>
          <w:ilvl w:val="1"/>
          <w:numId w:val="10"/>
        </w:numPr>
        <w:spacing w:after="0" w:line="240" w:lineRule="auto"/>
      </w:pPr>
      <w:r>
        <w:t>DDT use in agriculture and health</w:t>
      </w:r>
    </w:p>
    <w:p w14:paraId="72B0B3DC" w14:textId="77777777" w:rsidR="00CB16C0" w:rsidRDefault="007C2740" w:rsidP="00CB16C0">
      <w:pPr>
        <w:pStyle w:val="ListParagraph"/>
        <w:numPr>
          <w:ilvl w:val="1"/>
          <w:numId w:val="10"/>
        </w:numPr>
        <w:spacing w:after="0" w:line="240" w:lineRule="auto"/>
      </w:pPr>
      <w:r>
        <w:t xml:space="preserve"> Mustard gas in World War I </w:t>
      </w:r>
    </w:p>
    <w:p w14:paraId="5A530D90" w14:textId="77777777" w:rsidR="00CB16C0" w:rsidRDefault="007C2740" w:rsidP="00CB16C0">
      <w:pPr>
        <w:pStyle w:val="ListParagraph"/>
        <w:numPr>
          <w:ilvl w:val="1"/>
          <w:numId w:val="10"/>
        </w:numPr>
        <w:spacing w:after="0" w:line="240" w:lineRule="auto"/>
      </w:pPr>
      <w:r>
        <w:t xml:space="preserve">Agent Orange in Vietnam </w:t>
      </w:r>
    </w:p>
    <w:p w14:paraId="02748C4F" w14:textId="77777777" w:rsidR="00CB16C0" w:rsidRDefault="007C2740" w:rsidP="00CB16C0">
      <w:pPr>
        <w:pStyle w:val="ListParagraph"/>
        <w:numPr>
          <w:ilvl w:val="1"/>
          <w:numId w:val="10"/>
        </w:numPr>
        <w:spacing w:after="0" w:line="240" w:lineRule="auto"/>
      </w:pPr>
      <w:r>
        <w:t xml:space="preserve">Manhattan Project (nuclear weapons) </w:t>
      </w:r>
    </w:p>
    <w:p w14:paraId="5510F8F2" w14:textId="77777777" w:rsidR="00446F92" w:rsidRDefault="007C2740" w:rsidP="00CB16C0">
      <w:pPr>
        <w:pStyle w:val="ListParagraph"/>
        <w:numPr>
          <w:ilvl w:val="1"/>
          <w:numId w:val="10"/>
        </w:numPr>
        <w:spacing w:after="0" w:line="240" w:lineRule="auto"/>
      </w:pPr>
      <w:r>
        <w:t>Smallpox blanket controversy</w:t>
      </w:r>
    </w:p>
    <w:p w14:paraId="0DB9EE10" w14:textId="77777777" w:rsidR="00446F92" w:rsidRDefault="00CB16C0" w:rsidP="00446F92">
      <w:pPr>
        <w:pStyle w:val="ListParagraph"/>
        <w:numPr>
          <w:ilvl w:val="0"/>
          <w:numId w:val="10"/>
        </w:numPr>
        <w:spacing w:after="0" w:line="240" w:lineRule="auto"/>
      </w:pPr>
      <w:r>
        <w:t xml:space="preserve">Identify </w:t>
      </w:r>
      <w:r w:rsidR="001374F8">
        <w:t>at least three credible scholarly sources</w:t>
      </w:r>
      <w:r>
        <w:t xml:space="preserve"> about the event</w:t>
      </w:r>
    </w:p>
    <w:p w14:paraId="1219AA5E" w14:textId="226EBF9F" w:rsidR="00CB16C0" w:rsidRDefault="00CB16C0" w:rsidP="00446F92">
      <w:pPr>
        <w:pStyle w:val="ListParagraph"/>
        <w:numPr>
          <w:ilvl w:val="0"/>
          <w:numId w:val="10"/>
        </w:numPr>
        <w:spacing w:after="0" w:line="240" w:lineRule="auto"/>
      </w:pPr>
      <w:r>
        <w:t>Apply ethical principles and evaluate the importance of unbiased scientific assessment.</w:t>
      </w:r>
    </w:p>
    <w:p w14:paraId="482022C7" w14:textId="30EE913D" w:rsidR="00477A67" w:rsidRDefault="00CB16C0" w:rsidP="00CB16C0">
      <w:pPr>
        <w:pStyle w:val="ListParagraph"/>
        <w:numPr>
          <w:ilvl w:val="0"/>
          <w:numId w:val="10"/>
        </w:numPr>
        <w:spacing w:after="0" w:line="240" w:lineRule="auto"/>
      </w:pPr>
      <w:r>
        <w:t>Write about the</w:t>
      </w:r>
      <w:r w:rsidR="001374F8">
        <w:t xml:space="preserve"> ethical issues, consequences, and lessons learned.</w:t>
      </w:r>
      <w:r w:rsidR="001374F8">
        <w:br/>
      </w:r>
    </w:p>
    <w:p w14:paraId="5CCDAC46" w14:textId="42ED143D" w:rsidR="00CB16C0" w:rsidRDefault="001374F8" w:rsidP="00446F92">
      <w:pPr>
        <w:pStyle w:val="Heading1"/>
      </w:pPr>
      <w:r>
        <w:lastRenderedPageBreak/>
        <w:br/>
      </w:r>
      <w:r w:rsidR="00446F92">
        <w:t xml:space="preserve">Assignment </w:t>
      </w:r>
      <w:r w:rsidR="00CB16C0">
        <w:t>Format &amp; Guidelines</w:t>
      </w:r>
    </w:p>
    <w:p w14:paraId="41E0AB2D" w14:textId="77777777" w:rsidR="00446F92" w:rsidRDefault="00CB16C0" w:rsidP="007C2740">
      <w:pPr>
        <w:pStyle w:val="ListParagraph"/>
        <w:numPr>
          <w:ilvl w:val="0"/>
          <w:numId w:val="11"/>
        </w:numPr>
        <w:spacing w:after="0" w:line="240" w:lineRule="auto"/>
      </w:pPr>
      <w:r>
        <w:t xml:space="preserve">Your assignment </w:t>
      </w:r>
      <w:r w:rsidR="00446F92">
        <w:t>will:</w:t>
      </w:r>
      <w:r w:rsidR="001374F8">
        <w:br/>
      </w:r>
      <w:r>
        <w:t xml:space="preserve">Be </w:t>
      </w:r>
      <w:r w:rsidR="001374F8">
        <w:t>3–4 page</w:t>
      </w:r>
      <w:r>
        <w:t xml:space="preserve">s in length, double spaced using 12 point font. </w:t>
      </w:r>
    </w:p>
    <w:p w14:paraId="24601782" w14:textId="00343580" w:rsidR="002E2EF3" w:rsidRDefault="00CB16C0" w:rsidP="00D5021C">
      <w:pPr>
        <w:pStyle w:val="ListParagraph"/>
        <w:numPr>
          <w:ilvl w:val="0"/>
          <w:numId w:val="11"/>
        </w:numPr>
        <w:spacing w:after="0" w:line="240" w:lineRule="auto"/>
      </w:pPr>
      <w:r>
        <w:t>Include a works cited page</w:t>
      </w:r>
      <w:r w:rsidR="00D5021C">
        <w:t>.</w:t>
      </w:r>
      <w:r>
        <w:t xml:space="preserve"> </w:t>
      </w:r>
    </w:p>
    <w:p w14:paraId="6755C1D6" w14:textId="508ADCB1" w:rsidR="002E2EF3" w:rsidRDefault="002E2EF3" w:rsidP="00D5021C">
      <w:pPr>
        <w:pStyle w:val="Heading1"/>
        <w:contextualSpacing/>
      </w:pPr>
      <w:r>
        <w:t>Assessment Criteria</w:t>
      </w:r>
    </w:p>
    <w:p w14:paraId="2F292CFD" w14:textId="46A4B631" w:rsidR="002E2EF3" w:rsidRDefault="002E2EF3" w:rsidP="002E2EF3">
      <w:pPr>
        <w:spacing w:after="0" w:line="240" w:lineRule="auto"/>
      </w:pPr>
      <w:r>
        <w:t>Your essay will be graded on</w:t>
      </w:r>
      <w:r w:rsidR="00D5021C">
        <w:t xml:space="preserve"> your</w:t>
      </w:r>
      <w:r>
        <w:t xml:space="preserve">: </w:t>
      </w:r>
    </w:p>
    <w:p w14:paraId="43FF1510" w14:textId="696266DA" w:rsidR="002E2EF3" w:rsidRDefault="002E2EF3" w:rsidP="00D5021C">
      <w:pPr>
        <w:pStyle w:val="ListParagraph"/>
        <w:numPr>
          <w:ilvl w:val="0"/>
          <w:numId w:val="12"/>
        </w:numPr>
        <w:spacing w:after="0" w:line="240" w:lineRule="auto"/>
      </w:pPr>
      <w:r>
        <w:t>Description of the historical event</w:t>
      </w:r>
      <w:r w:rsidR="00D5021C">
        <w:t>.</w:t>
      </w:r>
    </w:p>
    <w:p w14:paraId="5E02680A" w14:textId="7F109BB9" w:rsidR="002E2EF3" w:rsidRDefault="002E2EF3" w:rsidP="00D5021C">
      <w:pPr>
        <w:pStyle w:val="ListParagraph"/>
        <w:numPr>
          <w:ilvl w:val="0"/>
          <w:numId w:val="12"/>
        </w:numPr>
        <w:spacing w:after="0" w:line="240" w:lineRule="auto"/>
      </w:pPr>
      <w:r>
        <w:t>Identification of the ethical issues</w:t>
      </w:r>
      <w:r w:rsidR="00D5021C">
        <w:t>.</w:t>
      </w:r>
    </w:p>
    <w:p w14:paraId="1AEC0E9E" w14:textId="39BBA1E4" w:rsidR="00D5021C" w:rsidRDefault="00D5021C" w:rsidP="00D5021C">
      <w:pPr>
        <w:pStyle w:val="ListParagraph"/>
        <w:numPr>
          <w:ilvl w:val="0"/>
          <w:numId w:val="12"/>
        </w:numPr>
        <w:spacing w:after="0" w:line="240" w:lineRule="auto"/>
      </w:pPr>
      <w:r>
        <w:t>Application of research ethics principles.</w:t>
      </w:r>
    </w:p>
    <w:p w14:paraId="0652DC69" w14:textId="6E3E74C7" w:rsidR="00D5021C" w:rsidRDefault="00D5021C" w:rsidP="00D5021C">
      <w:pPr>
        <w:pStyle w:val="ListParagraph"/>
        <w:numPr>
          <w:ilvl w:val="0"/>
          <w:numId w:val="12"/>
        </w:numPr>
        <w:spacing w:after="0" w:line="240" w:lineRule="auto"/>
      </w:pPr>
      <w:r>
        <w:t>Use of sources.</w:t>
      </w:r>
    </w:p>
    <w:p w14:paraId="4E49830A" w14:textId="08E97618" w:rsidR="00D5021C" w:rsidRDefault="00D5021C" w:rsidP="00D5021C">
      <w:pPr>
        <w:pStyle w:val="ListParagraph"/>
        <w:numPr>
          <w:ilvl w:val="0"/>
          <w:numId w:val="12"/>
        </w:numPr>
        <w:spacing w:after="0" w:line="240" w:lineRule="auto"/>
      </w:pPr>
      <w:r>
        <w:t>Essay’s organization and use of appropriate terminology.</w:t>
      </w:r>
    </w:p>
    <w:p w14:paraId="555DEEF1" w14:textId="4914EC6E" w:rsidR="00477A67" w:rsidRDefault="00477A67" w:rsidP="007C2740">
      <w:pPr>
        <w:spacing w:after="0" w:line="240" w:lineRule="auto"/>
        <w:contextualSpacing/>
      </w:pPr>
    </w:p>
    <w:p w14:paraId="0FA47BDB" w14:textId="1FEFB475" w:rsidR="00477A67" w:rsidRDefault="00477A67" w:rsidP="007C2740">
      <w:pPr>
        <w:spacing w:after="0" w:line="240" w:lineRule="auto"/>
        <w:contextualSpacing/>
      </w:pPr>
    </w:p>
    <w:tbl>
      <w:tblPr>
        <w:tblStyle w:val="TableGrid"/>
        <w:tblW w:w="0" w:type="auto"/>
        <w:tblLook w:val="04A0" w:firstRow="1" w:lastRow="0" w:firstColumn="1" w:lastColumn="0" w:noHBand="0" w:noVBand="1"/>
      </w:tblPr>
      <w:tblGrid>
        <w:gridCol w:w="1700"/>
        <w:gridCol w:w="1980"/>
        <w:gridCol w:w="2070"/>
        <w:gridCol w:w="2160"/>
        <w:gridCol w:w="2070"/>
      </w:tblGrid>
      <w:tr w:rsidR="00702B38" w14:paraId="76779B73" w14:textId="77777777" w:rsidTr="00702B38">
        <w:tc>
          <w:tcPr>
            <w:tcW w:w="9980" w:type="dxa"/>
            <w:gridSpan w:val="5"/>
            <w:tcBorders>
              <w:top w:val="single" w:sz="8" w:space="0" w:color="FFFFFF"/>
              <w:left w:val="single" w:sz="8" w:space="0" w:color="FFFFFF"/>
              <w:bottom w:val="single" w:sz="8" w:space="0" w:color="FFFFFF"/>
              <w:right w:val="single" w:sz="8" w:space="0" w:color="FFFFFF"/>
            </w:tcBorders>
            <w:shd w:val="clear" w:color="auto" w:fill="000000"/>
          </w:tcPr>
          <w:p w14:paraId="2FCD6A66" w14:textId="77777777" w:rsidR="00702B38" w:rsidRDefault="00702B38" w:rsidP="00EA7497">
            <w:pPr>
              <w:jc w:val="center"/>
            </w:pPr>
            <w:r>
              <w:rPr>
                <w:b/>
                <w:color w:val="FFFFFF"/>
                <w:sz w:val="28"/>
              </w:rPr>
              <w:t>Ethics in Scientific Research Case Study Assignment Grading Rubric</w:t>
            </w:r>
          </w:p>
        </w:tc>
      </w:tr>
      <w:tr w:rsidR="00702B38" w14:paraId="063E9F27" w14:textId="77777777" w:rsidTr="00702B38">
        <w:tc>
          <w:tcPr>
            <w:tcW w:w="1700" w:type="dxa"/>
            <w:tcBorders>
              <w:top w:val="single" w:sz="8" w:space="0" w:color="FFFFFF"/>
              <w:left w:val="single" w:sz="8" w:space="0" w:color="FFFFFF"/>
              <w:bottom w:val="single" w:sz="8" w:space="0" w:color="FFFFFF"/>
              <w:right w:val="single" w:sz="8" w:space="0" w:color="FFFFFF"/>
            </w:tcBorders>
            <w:shd w:val="clear" w:color="auto" w:fill="000000"/>
          </w:tcPr>
          <w:p w14:paraId="65938728" w14:textId="77777777" w:rsidR="00702B38" w:rsidRDefault="00702B38" w:rsidP="00EA7497">
            <w:pPr>
              <w:jc w:val="center"/>
            </w:pPr>
            <w:r>
              <w:rPr>
                <w:b/>
                <w:color w:val="FFFFFF"/>
              </w:rPr>
              <w:t>Criteria</w:t>
            </w:r>
          </w:p>
        </w:tc>
        <w:tc>
          <w:tcPr>
            <w:tcW w:w="1980" w:type="dxa"/>
            <w:tcBorders>
              <w:top w:val="single" w:sz="8" w:space="0" w:color="FFFFFF"/>
              <w:left w:val="single" w:sz="8" w:space="0" w:color="FFFFFF"/>
              <w:bottom w:val="single" w:sz="8" w:space="0" w:color="FFFFFF"/>
              <w:right w:val="single" w:sz="8" w:space="0" w:color="FFFFFF"/>
            </w:tcBorders>
            <w:shd w:val="clear" w:color="auto" w:fill="000000"/>
          </w:tcPr>
          <w:p w14:paraId="67B4F773" w14:textId="77777777" w:rsidR="00702B38" w:rsidRDefault="00702B38" w:rsidP="00EA7497">
            <w:pPr>
              <w:jc w:val="center"/>
            </w:pPr>
            <w:r>
              <w:rPr>
                <w:b/>
                <w:color w:val="FFFFFF"/>
              </w:rPr>
              <w:t>Exceeds Expectations</w:t>
            </w:r>
          </w:p>
        </w:tc>
        <w:tc>
          <w:tcPr>
            <w:tcW w:w="2070" w:type="dxa"/>
            <w:tcBorders>
              <w:top w:val="single" w:sz="8" w:space="0" w:color="FFFFFF"/>
              <w:left w:val="single" w:sz="8" w:space="0" w:color="FFFFFF"/>
              <w:bottom w:val="single" w:sz="8" w:space="0" w:color="FFFFFF"/>
              <w:right w:val="single" w:sz="8" w:space="0" w:color="FFFFFF"/>
            </w:tcBorders>
            <w:shd w:val="clear" w:color="auto" w:fill="000000"/>
          </w:tcPr>
          <w:p w14:paraId="2485E287" w14:textId="77777777" w:rsidR="00702B38" w:rsidRDefault="00702B38" w:rsidP="00EA7497">
            <w:pPr>
              <w:jc w:val="center"/>
            </w:pPr>
            <w:r>
              <w:rPr>
                <w:b/>
                <w:color w:val="FFFFFF"/>
              </w:rPr>
              <w:t>Meets Expectations</w:t>
            </w:r>
          </w:p>
        </w:tc>
        <w:tc>
          <w:tcPr>
            <w:tcW w:w="2160" w:type="dxa"/>
            <w:tcBorders>
              <w:top w:val="single" w:sz="8" w:space="0" w:color="FFFFFF"/>
              <w:left w:val="single" w:sz="8" w:space="0" w:color="FFFFFF"/>
              <w:bottom w:val="single" w:sz="8" w:space="0" w:color="FFFFFF"/>
              <w:right w:val="single" w:sz="8" w:space="0" w:color="FFFFFF"/>
            </w:tcBorders>
            <w:shd w:val="clear" w:color="auto" w:fill="000000"/>
          </w:tcPr>
          <w:p w14:paraId="3F501029" w14:textId="77777777" w:rsidR="00702B38" w:rsidRDefault="00702B38" w:rsidP="00EA7497">
            <w:pPr>
              <w:jc w:val="center"/>
            </w:pPr>
            <w:r>
              <w:rPr>
                <w:b/>
                <w:color w:val="FFFFFF"/>
              </w:rPr>
              <w:t>Approaches Expectations</w:t>
            </w:r>
          </w:p>
        </w:tc>
        <w:tc>
          <w:tcPr>
            <w:tcW w:w="2070" w:type="dxa"/>
            <w:tcBorders>
              <w:top w:val="single" w:sz="8" w:space="0" w:color="FFFFFF"/>
              <w:left w:val="single" w:sz="8" w:space="0" w:color="FFFFFF"/>
              <w:bottom w:val="single" w:sz="8" w:space="0" w:color="FFFFFF"/>
              <w:right w:val="single" w:sz="8" w:space="0" w:color="FFFFFF"/>
            </w:tcBorders>
            <w:shd w:val="clear" w:color="auto" w:fill="000000"/>
          </w:tcPr>
          <w:p w14:paraId="7D88DACB" w14:textId="77777777" w:rsidR="00702B38" w:rsidRDefault="00702B38" w:rsidP="00EA7497">
            <w:pPr>
              <w:jc w:val="center"/>
            </w:pPr>
            <w:r>
              <w:rPr>
                <w:b/>
                <w:color w:val="FFFFFF"/>
              </w:rPr>
              <w:t>Developing</w:t>
            </w:r>
          </w:p>
        </w:tc>
      </w:tr>
      <w:tr w:rsidR="00702B38" w14:paraId="43ACFE77" w14:textId="77777777" w:rsidTr="00702B38">
        <w:tc>
          <w:tcPr>
            <w:tcW w:w="1700" w:type="dxa"/>
          </w:tcPr>
          <w:p w14:paraId="2B6C42F5" w14:textId="77777777" w:rsidR="00702B38" w:rsidRDefault="00702B38" w:rsidP="00EA7497">
            <w:pPr>
              <w:rPr>
                <w:b/>
              </w:rPr>
            </w:pPr>
            <w:r>
              <w:rPr>
                <w:b/>
              </w:rPr>
              <w:t xml:space="preserve">Description of Event </w:t>
            </w:r>
          </w:p>
          <w:p w14:paraId="735175C9" w14:textId="77777777" w:rsidR="00702B38" w:rsidRDefault="00702B38" w:rsidP="00EA7497">
            <w:r>
              <w:rPr>
                <w:b/>
              </w:rPr>
              <w:t>(20 points)</w:t>
            </w:r>
          </w:p>
        </w:tc>
        <w:tc>
          <w:tcPr>
            <w:tcW w:w="1980" w:type="dxa"/>
          </w:tcPr>
          <w:p w14:paraId="1720967C" w14:textId="77777777" w:rsidR="00702B38" w:rsidRDefault="00702B38" w:rsidP="00EA7497">
            <w:r>
              <w:t>Detailed and accurate description of the event.</w:t>
            </w:r>
            <w:r>
              <w:br/>
              <w:t>(18–20 points)</w:t>
            </w:r>
          </w:p>
        </w:tc>
        <w:tc>
          <w:tcPr>
            <w:tcW w:w="2070" w:type="dxa"/>
          </w:tcPr>
          <w:p w14:paraId="5839CD44" w14:textId="77777777" w:rsidR="00702B38" w:rsidRDefault="00702B38" w:rsidP="00EA7497">
            <w:r>
              <w:t>Clear description of the event that is mostly accurate.</w:t>
            </w:r>
            <w:r>
              <w:br/>
              <w:t>(14–17 points)</w:t>
            </w:r>
          </w:p>
        </w:tc>
        <w:tc>
          <w:tcPr>
            <w:tcW w:w="2160" w:type="dxa"/>
          </w:tcPr>
          <w:p w14:paraId="3C8488B6" w14:textId="77777777" w:rsidR="00702B38" w:rsidRDefault="00702B38" w:rsidP="00EA7497">
            <w:r>
              <w:t>Description is attempted but lacks detail, clarity, or contains some inaccuracies.</w:t>
            </w:r>
            <w:r>
              <w:br/>
              <w:t>(10–13 points)</w:t>
            </w:r>
          </w:p>
        </w:tc>
        <w:tc>
          <w:tcPr>
            <w:tcW w:w="2070" w:type="dxa"/>
          </w:tcPr>
          <w:p w14:paraId="437D943F" w14:textId="77777777" w:rsidR="00702B38" w:rsidRDefault="00702B38" w:rsidP="00EA7497">
            <w:r>
              <w:t>Description is not clear and has numerous inaccuracies.</w:t>
            </w:r>
            <w:r>
              <w:br/>
              <w:t>(0–9 points)</w:t>
            </w:r>
          </w:p>
        </w:tc>
      </w:tr>
      <w:tr w:rsidR="00702B38" w14:paraId="31F10848" w14:textId="77777777" w:rsidTr="00702B38">
        <w:tc>
          <w:tcPr>
            <w:tcW w:w="1700" w:type="dxa"/>
          </w:tcPr>
          <w:p w14:paraId="5EAB034E" w14:textId="77777777" w:rsidR="00702B38" w:rsidRDefault="00702B38" w:rsidP="00EA7497">
            <w:pPr>
              <w:rPr>
                <w:b/>
              </w:rPr>
            </w:pPr>
            <w:r>
              <w:rPr>
                <w:b/>
              </w:rPr>
              <w:t xml:space="preserve">Research &amp; Sources </w:t>
            </w:r>
          </w:p>
          <w:p w14:paraId="61AAACA3" w14:textId="77777777" w:rsidR="00702B38" w:rsidRDefault="00702B38" w:rsidP="00EA7497">
            <w:r>
              <w:rPr>
                <w:b/>
              </w:rPr>
              <w:t>(20 points)</w:t>
            </w:r>
          </w:p>
        </w:tc>
        <w:tc>
          <w:tcPr>
            <w:tcW w:w="1980" w:type="dxa"/>
          </w:tcPr>
          <w:p w14:paraId="6BADD93B" w14:textId="77777777" w:rsidR="00702B38" w:rsidRDefault="00702B38" w:rsidP="00EA7497">
            <w:r>
              <w:t>Includes and uses more than three scholarly sources effectively.</w:t>
            </w:r>
            <w:r>
              <w:br/>
              <w:t>(18–20 points)</w:t>
            </w:r>
          </w:p>
        </w:tc>
        <w:tc>
          <w:tcPr>
            <w:tcW w:w="2070" w:type="dxa"/>
          </w:tcPr>
          <w:p w14:paraId="07739B7B" w14:textId="77777777" w:rsidR="00702B38" w:rsidRDefault="00702B38" w:rsidP="00EA7497">
            <w:r>
              <w:t>Includes 2–3 credible sources and uses them somewhat effectively.</w:t>
            </w:r>
            <w:r>
              <w:br/>
              <w:t>(14–17 points)</w:t>
            </w:r>
          </w:p>
        </w:tc>
        <w:tc>
          <w:tcPr>
            <w:tcW w:w="2160" w:type="dxa"/>
          </w:tcPr>
          <w:p w14:paraId="792078A6" w14:textId="77777777" w:rsidR="00702B38" w:rsidRDefault="00702B38" w:rsidP="00EA7497">
            <w:r>
              <w:t>Includes sources but integration is limited, or incomplete.</w:t>
            </w:r>
            <w:r>
              <w:br/>
              <w:t>(10–13 points)</w:t>
            </w:r>
          </w:p>
        </w:tc>
        <w:tc>
          <w:tcPr>
            <w:tcW w:w="2070" w:type="dxa"/>
          </w:tcPr>
          <w:p w14:paraId="6DC176A2" w14:textId="77777777" w:rsidR="00702B38" w:rsidRDefault="00702B38" w:rsidP="00EA7497">
            <w:r>
              <w:t>Includes fewer than two sources and does not integrate the information in a meaningful way.</w:t>
            </w:r>
            <w:r>
              <w:br/>
              <w:t>(0–9 points)</w:t>
            </w:r>
          </w:p>
        </w:tc>
      </w:tr>
      <w:tr w:rsidR="00702B38" w14:paraId="05BBC71D" w14:textId="77777777" w:rsidTr="00702B38">
        <w:tc>
          <w:tcPr>
            <w:tcW w:w="1700" w:type="dxa"/>
          </w:tcPr>
          <w:p w14:paraId="06D78D7F" w14:textId="77777777" w:rsidR="00702B38" w:rsidRDefault="00702B38" w:rsidP="00EA7497">
            <w:pPr>
              <w:rPr>
                <w:b/>
              </w:rPr>
            </w:pPr>
            <w:r>
              <w:rPr>
                <w:b/>
              </w:rPr>
              <w:t xml:space="preserve">Identification of Ethical Issues </w:t>
            </w:r>
          </w:p>
          <w:p w14:paraId="165C04BA" w14:textId="77777777" w:rsidR="00702B38" w:rsidRDefault="00702B38" w:rsidP="00EA7497">
            <w:r>
              <w:rPr>
                <w:b/>
              </w:rPr>
              <w:t>(25 points)</w:t>
            </w:r>
          </w:p>
        </w:tc>
        <w:tc>
          <w:tcPr>
            <w:tcW w:w="1980" w:type="dxa"/>
          </w:tcPr>
          <w:p w14:paraId="632E00E6" w14:textId="77777777" w:rsidR="00702B38" w:rsidRDefault="00702B38" w:rsidP="00EA7497">
            <w:r>
              <w:t>Thorough, nuanced ethical analysis with clear evaluation of issues.</w:t>
            </w:r>
            <w:r>
              <w:br/>
              <w:t>(23–25 points)</w:t>
            </w:r>
          </w:p>
        </w:tc>
        <w:tc>
          <w:tcPr>
            <w:tcW w:w="2070" w:type="dxa"/>
          </w:tcPr>
          <w:p w14:paraId="76E573A2" w14:textId="77777777" w:rsidR="00702B38" w:rsidRDefault="00702B38" w:rsidP="00EA7497">
            <w:r>
              <w:t>Adequate ethical discussion with some depth.</w:t>
            </w:r>
            <w:r>
              <w:br/>
              <w:t>(19–22 points)</w:t>
            </w:r>
          </w:p>
        </w:tc>
        <w:tc>
          <w:tcPr>
            <w:tcW w:w="2160" w:type="dxa"/>
          </w:tcPr>
          <w:p w14:paraId="5B920643" w14:textId="77777777" w:rsidR="00702B38" w:rsidRDefault="00702B38" w:rsidP="00EA7497">
            <w:r>
              <w:t>Ethical analysis is present but superficial or lacking depth.</w:t>
            </w:r>
            <w:r>
              <w:br/>
              <w:t>(14–18 points)</w:t>
            </w:r>
          </w:p>
        </w:tc>
        <w:tc>
          <w:tcPr>
            <w:tcW w:w="2070" w:type="dxa"/>
          </w:tcPr>
          <w:p w14:paraId="0C070E49" w14:textId="77777777" w:rsidR="00702B38" w:rsidRDefault="00702B38" w:rsidP="00EA7497">
            <w:r>
              <w:t>Limited or very unclear ethical analysis.</w:t>
            </w:r>
            <w:r>
              <w:br/>
              <w:t>(0–13 points)</w:t>
            </w:r>
          </w:p>
        </w:tc>
      </w:tr>
      <w:tr w:rsidR="00702B38" w14:paraId="66F355DD" w14:textId="77777777" w:rsidTr="00702B38">
        <w:tc>
          <w:tcPr>
            <w:tcW w:w="1700" w:type="dxa"/>
          </w:tcPr>
          <w:p w14:paraId="0FD246AE" w14:textId="77777777" w:rsidR="00702B38" w:rsidRDefault="00702B38" w:rsidP="00EA7497">
            <w:pPr>
              <w:rPr>
                <w:b/>
              </w:rPr>
            </w:pPr>
            <w:r>
              <w:rPr>
                <w:b/>
              </w:rPr>
              <w:t xml:space="preserve">Application of Research Ethics Principles </w:t>
            </w:r>
          </w:p>
          <w:p w14:paraId="10EE3BF5" w14:textId="77777777" w:rsidR="00702B38" w:rsidRDefault="00702B38" w:rsidP="00EA7497">
            <w:r>
              <w:rPr>
                <w:b/>
              </w:rPr>
              <w:t>(25 points)</w:t>
            </w:r>
          </w:p>
        </w:tc>
        <w:tc>
          <w:tcPr>
            <w:tcW w:w="1980" w:type="dxa"/>
          </w:tcPr>
          <w:p w14:paraId="1E7EE911" w14:textId="77777777" w:rsidR="00702B38" w:rsidRDefault="00702B38" w:rsidP="00EA7497">
            <w:r>
              <w:t xml:space="preserve">Strong application of unbiased assessment and modern research </w:t>
            </w:r>
            <w:r>
              <w:lastRenderedPageBreak/>
              <w:t>ethics.</w:t>
            </w:r>
            <w:r>
              <w:br/>
              <w:t>(23–25 points)</w:t>
            </w:r>
          </w:p>
        </w:tc>
        <w:tc>
          <w:tcPr>
            <w:tcW w:w="2070" w:type="dxa"/>
          </w:tcPr>
          <w:p w14:paraId="05BFFA76" w14:textId="77777777" w:rsidR="00702B38" w:rsidRDefault="00702B38" w:rsidP="00EA7497">
            <w:r>
              <w:lastRenderedPageBreak/>
              <w:t>Some application but limited depth.</w:t>
            </w:r>
            <w:r>
              <w:br/>
              <w:t>(19–22 points)</w:t>
            </w:r>
          </w:p>
        </w:tc>
        <w:tc>
          <w:tcPr>
            <w:tcW w:w="2160" w:type="dxa"/>
          </w:tcPr>
          <w:p w14:paraId="30F826B5" w14:textId="77777777" w:rsidR="00702B38" w:rsidRDefault="00702B38" w:rsidP="00EA7497">
            <w:r>
              <w:t>Application attempted but requires more detail or increased accuracy.</w:t>
            </w:r>
            <w:r>
              <w:br/>
              <w:t>(14–18 points)</w:t>
            </w:r>
          </w:p>
        </w:tc>
        <w:tc>
          <w:tcPr>
            <w:tcW w:w="2070" w:type="dxa"/>
          </w:tcPr>
          <w:p w14:paraId="3AF1BD2E" w14:textId="77777777" w:rsidR="00702B38" w:rsidRDefault="00702B38" w:rsidP="00EA7497">
            <w:r>
              <w:t>Little or no application of ethical principles.</w:t>
            </w:r>
            <w:r>
              <w:br/>
              <w:t>(0–13 points)</w:t>
            </w:r>
          </w:p>
        </w:tc>
      </w:tr>
      <w:tr w:rsidR="00702B38" w14:paraId="00320EE3" w14:textId="77777777" w:rsidTr="00702B38">
        <w:tc>
          <w:tcPr>
            <w:tcW w:w="1700" w:type="dxa"/>
          </w:tcPr>
          <w:p w14:paraId="2031FC6B" w14:textId="77777777" w:rsidR="00702B38" w:rsidRDefault="00702B38" w:rsidP="00EA7497">
            <w:pPr>
              <w:rPr>
                <w:b/>
              </w:rPr>
            </w:pPr>
            <w:r>
              <w:rPr>
                <w:b/>
              </w:rPr>
              <w:t>Organization &amp; Writing</w:t>
            </w:r>
          </w:p>
          <w:p w14:paraId="38AD5563" w14:textId="77777777" w:rsidR="00702B38" w:rsidRDefault="00702B38" w:rsidP="00EA7497">
            <w:r>
              <w:rPr>
                <w:b/>
              </w:rPr>
              <w:t>(10 points)</w:t>
            </w:r>
          </w:p>
        </w:tc>
        <w:tc>
          <w:tcPr>
            <w:tcW w:w="1980" w:type="dxa"/>
          </w:tcPr>
          <w:p w14:paraId="6CB17980" w14:textId="77777777" w:rsidR="00702B38" w:rsidRDefault="00702B38" w:rsidP="00EA7497">
            <w:r>
              <w:t>Well-structured, clear, and polished writing.</w:t>
            </w:r>
            <w:r>
              <w:br/>
              <w:t>(9–10 points)</w:t>
            </w:r>
          </w:p>
        </w:tc>
        <w:tc>
          <w:tcPr>
            <w:tcW w:w="2070" w:type="dxa"/>
          </w:tcPr>
          <w:p w14:paraId="6F8F08BA" w14:textId="77777777" w:rsidR="00702B38" w:rsidRDefault="00702B38" w:rsidP="00EA7497">
            <w:r>
              <w:t>Generally clear but some organizational or grammatical issues.</w:t>
            </w:r>
            <w:r>
              <w:br/>
              <w:t>(6–8 points)</w:t>
            </w:r>
          </w:p>
        </w:tc>
        <w:tc>
          <w:tcPr>
            <w:tcW w:w="2160" w:type="dxa"/>
          </w:tcPr>
          <w:p w14:paraId="5D4EB0B1" w14:textId="77777777" w:rsidR="00702B38" w:rsidRDefault="00702B38" w:rsidP="00EA7497">
            <w:r>
              <w:t xml:space="preserve">Writing shows some </w:t>
            </w:r>
            <w:proofErr w:type="gramStart"/>
            <w:r>
              <w:t>organization</w:t>
            </w:r>
            <w:proofErr w:type="gramEnd"/>
            <w:r>
              <w:t xml:space="preserve"> but clarity and mechanics are inconsistent.</w:t>
            </w:r>
            <w:r>
              <w:br/>
              <w:t>(3–5 points)</w:t>
            </w:r>
          </w:p>
        </w:tc>
        <w:tc>
          <w:tcPr>
            <w:tcW w:w="2070" w:type="dxa"/>
          </w:tcPr>
          <w:p w14:paraId="2EDD7083" w14:textId="77777777" w:rsidR="00702B38" w:rsidRDefault="00702B38" w:rsidP="00EA7497">
            <w:r>
              <w:t>Not well structured; numerous errors.</w:t>
            </w:r>
            <w:r>
              <w:br/>
              <w:t>(0–2 points)</w:t>
            </w:r>
          </w:p>
        </w:tc>
      </w:tr>
    </w:tbl>
    <w:p w14:paraId="173CDC87" w14:textId="5EE1DA43" w:rsidR="00477A67" w:rsidRDefault="00BB73B5" w:rsidP="00BB73B5">
      <w:pPr>
        <w:pStyle w:val="Heading1"/>
      </w:pPr>
      <w:r>
        <w:t>Sample Student Submission</w:t>
      </w:r>
      <w:r w:rsidR="002E2EF3">
        <w:t>s</w:t>
      </w:r>
    </w:p>
    <w:p w14:paraId="732EA267" w14:textId="67D86780" w:rsidR="00BB73B5" w:rsidRPr="002E2EF3" w:rsidRDefault="002E2EF3" w:rsidP="007C2740">
      <w:pPr>
        <w:spacing w:after="0" w:line="240" w:lineRule="auto"/>
        <w:contextualSpacing/>
        <w:rPr>
          <w:b/>
          <w:bCs/>
        </w:rPr>
      </w:pPr>
      <w:r w:rsidRPr="002E2EF3">
        <w:rPr>
          <w:b/>
          <w:bCs/>
        </w:rPr>
        <w:t>Maya Carter</w:t>
      </w:r>
    </w:p>
    <w:p w14:paraId="74078DDC" w14:textId="21B79463" w:rsidR="002E2EF3" w:rsidRPr="002E2EF3" w:rsidRDefault="002E2EF3" w:rsidP="007C2740">
      <w:pPr>
        <w:spacing w:after="0" w:line="240" w:lineRule="auto"/>
        <w:contextualSpacing/>
        <w:rPr>
          <w:b/>
          <w:bCs/>
        </w:rPr>
      </w:pPr>
      <w:r w:rsidRPr="002E2EF3">
        <w:rPr>
          <w:b/>
          <w:bCs/>
        </w:rPr>
        <w:t>Research Ethics Essay</w:t>
      </w:r>
    </w:p>
    <w:p w14:paraId="72141E33" w14:textId="0B2A8C41" w:rsidR="002E2EF3" w:rsidRPr="002E2EF3" w:rsidRDefault="002E2EF3" w:rsidP="007C2740">
      <w:pPr>
        <w:spacing w:after="0" w:line="240" w:lineRule="auto"/>
        <w:contextualSpacing/>
        <w:rPr>
          <w:b/>
          <w:bCs/>
        </w:rPr>
      </w:pPr>
      <w:r w:rsidRPr="002E2EF3">
        <w:rPr>
          <w:b/>
          <w:bCs/>
        </w:rPr>
        <w:t xml:space="preserve">Human Genetics </w:t>
      </w:r>
    </w:p>
    <w:p w14:paraId="7A534704" w14:textId="77777777" w:rsidR="002E2EF3" w:rsidRDefault="002E2EF3" w:rsidP="007C2740">
      <w:pPr>
        <w:spacing w:after="0" w:line="240" w:lineRule="auto"/>
        <w:contextualSpacing/>
      </w:pPr>
    </w:p>
    <w:p w14:paraId="0D945E93" w14:textId="77777777" w:rsidR="00BB73B5" w:rsidRPr="00BB73B5" w:rsidRDefault="00BB73B5" w:rsidP="000F4E8E">
      <w:pPr>
        <w:spacing w:line="240" w:lineRule="auto"/>
        <w:contextualSpacing/>
      </w:pPr>
      <w:r w:rsidRPr="00BB73B5">
        <w:rPr>
          <w:rStyle w:val="Strong"/>
          <w:rFonts w:asciiTheme="majorHAnsi" w:hAnsiTheme="majorHAnsi" w:cstheme="majorHAnsi"/>
          <w:b w:val="0"/>
          <w:bCs w:val="0"/>
        </w:rPr>
        <w:t>Case Study: Henrietta Lacks and HeLa Cells</w:t>
      </w:r>
    </w:p>
    <w:p w14:paraId="71FB988A" w14:textId="77777777" w:rsidR="00BB73B5" w:rsidRPr="00BB73B5" w:rsidRDefault="00BB73B5" w:rsidP="000F4E8E">
      <w:pPr>
        <w:spacing w:line="240" w:lineRule="auto"/>
        <w:contextualSpacing/>
      </w:pPr>
      <w:r w:rsidRPr="00BB73B5">
        <w:t>Introduction</w:t>
      </w:r>
    </w:p>
    <w:p w14:paraId="5C17D553" w14:textId="1D3A206C" w:rsidR="00BB73B5" w:rsidRDefault="00BB73B5" w:rsidP="000F4E8E">
      <w:pPr>
        <w:spacing w:line="240" w:lineRule="auto"/>
        <w:contextualSpacing/>
      </w:pPr>
      <w:r w:rsidRPr="00BB73B5">
        <w:t>The story of Henrietta Lacks and the HeLa cell line represents one of the most profound intersections of science, ethics, and human rights in modern history. Henrietta Lacks, an African American woman treated for cervical cancer in 1951, unknowingly contributed to medical breakthroughs that have saved millions of lives. Her cells, taken without her knowledge or consent, became the first immortal human cell line, known as HeLa cells. While the scientific contributions of these cells are undeniable, the ethical violations surrounding their collection highlight the dangers of neglecting research ethics and the importance of unbiased assessment in reporting scientific data. This essay argues that the case of Henrietta Lacks underscores the need for informed consent, transparency, and ethical responsibility in scientific research, and that had these principles been applied, both science and society would have benefited more equitably.</w:t>
      </w:r>
    </w:p>
    <w:p w14:paraId="59FA93CB" w14:textId="77777777" w:rsidR="00BB73B5" w:rsidRPr="00BB73B5" w:rsidRDefault="00BB73B5" w:rsidP="000F4E8E">
      <w:pPr>
        <w:spacing w:line="240" w:lineRule="auto"/>
        <w:contextualSpacing/>
      </w:pPr>
    </w:p>
    <w:p w14:paraId="095FFF38" w14:textId="77777777" w:rsidR="00BB73B5" w:rsidRPr="00BB73B5" w:rsidRDefault="00BB73B5" w:rsidP="000F4E8E">
      <w:pPr>
        <w:spacing w:line="240" w:lineRule="auto"/>
        <w:contextualSpacing/>
      </w:pPr>
      <w:r w:rsidRPr="00BB73B5">
        <w:t>Background of the Case</w:t>
      </w:r>
    </w:p>
    <w:p w14:paraId="42CECD41" w14:textId="7D04B44D" w:rsidR="00BB73B5" w:rsidRDefault="00BB73B5" w:rsidP="000F4E8E">
      <w:pPr>
        <w:spacing w:line="240" w:lineRule="auto"/>
        <w:contextualSpacing/>
      </w:pPr>
      <w:r w:rsidRPr="00BB73B5">
        <w:t>Henrietta Lacks sought treatment for cervical cancer at Johns Hopkins Hospital in Baltimore, one of the few hospitals at the time that treated African American patients. During her treatment, doctors collected a sample of her tumor cells without informing her or asking for permission. These cells, unlike any previously observed, continued to divide indefinitely in laboratory conditions. George Gey, the researcher who propagated the cells, shared them widely with the scientific community, sparking a revolution in biomedical research (Skloot 33).</w:t>
      </w:r>
    </w:p>
    <w:p w14:paraId="3885DAD8" w14:textId="77777777" w:rsidR="00BB73B5" w:rsidRPr="00BB73B5" w:rsidRDefault="00BB73B5" w:rsidP="000F4E8E">
      <w:pPr>
        <w:spacing w:line="240" w:lineRule="auto"/>
        <w:contextualSpacing/>
      </w:pPr>
    </w:p>
    <w:p w14:paraId="12A4FC26" w14:textId="02296777" w:rsidR="00BB73B5" w:rsidRDefault="00BB73B5" w:rsidP="000F4E8E">
      <w:pPr>
        <w:spacing w:line="240" w:lineRule="auto"/>
        <w:contextualSpacing/>
      </w:pPr>
      <w:r w:rsidRPr="00BB73B5">
        <w:t>HeLa cells became indispensable in medical advancements. They were used in the development of the polio vaccine, studied in cancer research, employed in space missions, and applied in genetic research (Lucey et al. 107). Yet while her cells generated significant scientific and commercial gains, neither Henrietta Lacks nor her family received acknowledgment or compensation for decades. This imbalance reflects both systemic racial inequality and a lack of ethical oversight in medical research at the time.</w:t>
      </w:r>
    </w:p>
    <w:p w14:paraId="0972EF4A" w14:textId="77777777" w:rsidR="00BB73B5" w:rsidRPr="00BB73B5" w:rsidRDefault="00BB73B5" w:rsidP="000F4E8E">
      <w:pPr>
        <w:spacing w:line="240" w:lineRule="auto"/>
        <w:contextualSpacing/>
      </w:pPr>
    </w:p>
    <w:p w14:paraId="24960396" w14:textId="77777777" w:rsidR="00BB73B5" w:rsidRPr="00BB73B5" w:rsidRDefault="00BB73B5" w:rsidP="000F4E8E">
      <w:pPr>
        <w:spacing w:line="240" w:lineRule="auto"/>
        <w:contextualSpacing/>
      </w:pPr>
      <w:r w:rsidRPr="00BB73B5">
        <w:t>Ethical Issues</w:t>
      </w:r>
    </w:p>
    <w:p w14:paraId="2A1446EB" w14:textId="1952A010" w:rsidR="00BB73B5" w:rsidRDefault="00BB73B5" w:rsidP="000F4E8E">
      <w:pPr>
        <w:spacing w:line="240" w:lineRule="auto"/>
        <w:contextualSpacing/>
      </w:pPr>
      <w:r w:rsidRPr="00BB73B5">
        <w:t xml:space="preserve">The primary ethical violation in the Henrietta Lacks case was the absence of </w:t>
      </w:r>
      <w:r w:rsidRPr="00BB73B5">
        <w:rPr>
          <w:rStyle w:val="Strong"/>
          <w:rFonts w:asciiTheme="majorHAnsi" w:hAnsiTheme="majorHAnsi" w:cstheme="majorHAnsi"/>
          <w:b w:val="0"/>
          <w:bCs w:val="0"/>
        </w:rPr>
        <w:t>informed consent</w:t>
      </w:r>
      <w:r w:rsidRPr="00BB73B5">
        <w:t xml:space="preserve">. In the 1950s, medical ethics had not yet established clear guidelines for patient autonomy. However, the principle of respecting individuals’ rights to control their own bodies was already recognized in broader </w:t>
      </w:r>
      <w:r w:rsidRPr="00BB73B5">
        <w:lastRenderedPageBreak/>
        <w:t>human rights discussions following the Nuremberg Trials (Beecher 367). By not seeking consent, researchers disregarded Lacks’s autonomy and exploited her vulnerability as a poor, African American woman.</w:t>
      </w:r>
    </w:p>
    <w:p w14:paraId="11D3366F" w14:textId="77777777" w:rsidR="00BB73B5" w:rsidRPr="00BB73B5" w:rsidRDefault="00BB73B5" w:rsidP="000F4E8E">
      <w:pPr>
        <w:spacing w:line="240" w:lineRule="auto"/>
        <w:contextualSpacing/>
      </w:pPr>
    </w:p>
    <w:p w14:paraId="66F16C67" w14:textId="1B4CD4A3" w:rsidR="00BB73B5" w:rsidRDefault="00BB73B5" w:rsidP="000F4E8E">
      <w:pPr>
        <w:spacing w:line="240" w:lineRule="auto"/>
        <w:contextualSpacing/>
      </w:pPr>
      <w:r w:rsidRPr="00BB73B5">
        <w:t xml:space="preserve">Another ethical concern is </w:t>
      </w:r>
      <w:r w:rsidRPr="00BB73B5">
        <w:rPr>
          <w:rStyle w:val="Strong"/>
          <w:rFonts w:asciiTheme="majorHAnsi" w:hAnsiTheme="majorHAnsi" w:cstheme="majorHAnsi"/>
          <w:b w:val="0"/>
          <w:bCs w:val="0"/>
        </w:rPr>
        <w:t>justice and equity</w:t>
      </w:r>
      <w:r w:rsidRPr="00BB73B5">
        <w:t>. While Henrietta’s cells contributed to multi-billion-dollar medical industries, her family lived in poverty without healthcare access for decades (Skloot 163). This inequity highlights the exploitation of marginalized groups in scientific research. It also raises questions about how scientific data should be gathered and reported to avoid perpetuating injustice.</w:t>
      </w:r>
    </w:p>
    <w:p w14:paraId="6D8633F9" w14:textId="77777777" w:rsidR="000F4E8E" w:rsidRPr="00BB73B5" w:rsidRDefault="000F4E8E" w:rsidP="000F4E8E">
      <w:pPr>
        <w:spacing w:line="240" w:lineRule="auto"/>
        <w:contextualSpacing/>
      </w:pPr>
    </w:p>
    <w:p w14:paraId="56D88CC0" w14:textId="6EDC067E" w:rsidR="00BB73B5" w:rsidRDefault="00BB73B5" w:rsidP="000F4E8E">
      <w:pPr>
        <w:spacing w:line="240" w:lineRule="auto"/>
        <w:contextualSpacing/>
      </w:pPr>
      <w:r w:rsidRPr="00BB73B5">
        <w:t xml:space="preserve">A third issue is </w:t>
      </w:r>
      <w:r w:rsidRPr="00BB73B5">
        <w:rPr>
          <w:rStyle w:val="Strong"/>
          <w:rFonts w:asciiTheme="majorHAnsi" w:hAnsiTheme="majorHAnsi" w:cstheme="majorHAnsi"/>
          <w:b w:val="0"/>
          <w:bCs w:val="0"/>
        </w:rPr>
        <w:t>privacy and disclosure</w:t>
      </w:r>
      <w:r w:rsidRPr="00BB73B5">
        <w:t>. For years, the Lacks family was unaware of the use of Henrietta’s cells. Later, scientists published her genome without consent, raising concerns about genetic privacy for her descendants (Zimmer). Such actions undermine public trust in science and demonstrate the need for ethical safeguards in data reporting.</w:t>
      </w:r>
    </w:p>
    <w:p w14:paraId="09F200E2" w14:textId="77777777" w:rsidR="00BB73B5" w:rsidRPr="00BB73B5" w:rsidRDefault="00BB73B5" w:rsidP="000F4E8E">
      <w:pPr>
        <w:spacing w:line="240" w:lineRule="auto"/>
        <w:contextualSpacing/>
      </w:pPr>
    </w:p>
    <w:p w14:paraId="29F644C3" w14:textId="77777777" w:rsidR="00BB73B5" w:rsidRPr="00BB73B5" w:rsidRDefault="00BB73B5" w:rsidP="000F4E8E">
      <w:pPr>
        <w:spacing w:line="240" w:lineRule="auto"/>
        <w:contextualSpacing/>
      </w:pPr>
      <w:r w:rsidRPr="00BB73B5">
        <w:t>Consequences and Lessons</w:t>
      </w:r>
    </w:p>
    <w:p w14:paraId="67B8BA2A" w14:textId="24188597" w:rsidR="00BB73B5" w:rsidRDefault="00BB73B5" w:rsidP="000F4E8E">
      <w:pPr>
        <w:spacing w:line="240" w:lineRule="auto"/>
        <w:contextualSpacing/>
      </w:pPr>
      <w:r w:rsidRPr="00BB73B5">
        <w:t>The scientific outcomes of HeLa cells were extraordinary: vaccines, cancer therapies, in vitro fertilization techniques, and advancements in virology all benefited from them (Lucey et al. 110). Yet the human consequences for the Lacks family were deeply negative. They endured emotional distress, mistrust of the medical system, and ongoing feelings of exploitation.</w:t>
      </w:r>
    </w:p>
    <w:p w14:paraId="5BC9C121" w14:textId="77777777" w:rsidR="00BB73B5" w:rsidRPr="00BB73B5" w:rsidRDefault="00BB73B5" w:rsidP="000F4E8E">
      <w:pPr>
        <w:spacing w:line="240" w:lineRule="auto"/>
        <w:contextualSpacing/>
      </w:pPr>
    </w:p>
    <w:p w14:paraId="34CAC87B" w14:textId="6602EF92" w:rsidR="00BB73B5" w:rsidRDefault="00BB73B5" w:rsidP="000F4E8E">
      <w:pPr>
        <w:spacing w:line="240" w:lineRule="auto"/>
        <w:contextualSpacing/>
      </w:pPr>
      <w:r w:rsidRPr="00BB73B5">
        <w:t xml:space="preserve">The broader lesson is that </w:t>
      </w:r>
      <w:r w:rsidRPr="00BB73B5">
        <w:rPr>
          <w:rStyle w:val="Strong"/>
          <w:rFonts w:asciiTheme="majorHAnsi" w:hAnsiTheme="majorHAnsi" w:cstheme="majorHAnsi"/>
          <w:b w:val="0"/>
          <w:bCs w:val="0"/>
        </w:rPr>
        <w:t>scientific progress should never be pursued at the expense of ethical responsibility.</w:t>
      </w:r>
      <w:r w:rsidRPr="00BB73B5">
        <w:t xml:space="preserve"> When researchers neglect ethics, they may achieve short-term gains but risk long-term harm to public trust. The Lacks case illustrates how biased reporting—focusing only on the scientific triumph while ignoring the human costs—distorts the true impact of research.</w:t>
      </w:r>
    </w:p>
    <w:p w14:paraId="19AD930D" w14:textId="77777777" w:rsidR="00BB73B5" w:rsidRPr="00BB73B5" w:rsidRDefault="00BB73B5" w:rsidP="000F4E8E">
      <w:pPr>
        <w:spacing w:line="240" w:lineRule="auto"/>
        <w:contextualSpacing/>
      </w:pPr>
    </w:p>
    <w:p w14:paraId="7AA2BB22" w14:textId="77777777" w:rsidR="00BB73B5" w:rsidRPr="00BB73B5" w:rsidRDefault="00BB73B5" w:rsidP="000F4E8E">
      <w:pPr>
        <w:spacing w:line="240" w:lineRule="auto"/>
        <w:contextualSpacing/>
      </w:pPr>
      <w:r w:rsidRPr="00BB73B5">
        <w:t>Application of Research Ethics and Unbiased Assessment</w:t>
      </w:r>
    </w:p>
    <w:p w14:paraId="4FF20621" w14:textId="77777777" w:rsidR="00BB73B5" w:rsidRPr="00BB73B5" w:rsidRDefault="00BB73B5" w:rsidP="000F4E8E">
      <w:pPr>
        <w:spacing w:line="240" w:lineRule="auto"/>
        <w:contextualSpacing/>
      </w:pPr>
      <w:r w:rsidRPr="00BB73B5">
        <w:t xml:space="preserve">Applying unbiased assessment and ethical standards could have profoundly changed the outcome of the Henrietta Lacks case. First, </w:t>
      </w:r>
      <w:r w:rsidRPr="00BB73B5">
        <w:rPr>
          <w:rStyle w:val="Strong"/>
          <w:rFonts w:asciiTheme="majorHAnsi" w:hAnsiTheme="majorHAnsi" w:cstheme="majorHAnsi"/>
          <w:b w:val="0"/>
          <w:bCs w:val="0"/>
        </w:rPr>
        <w:t>informed consent</w:t>
      </w:r>
      <w:r w:rsidRPr="00BB73B5">
        <w:t xml:space="preserve"> would have respected Henrietta’s autonomy. Consent not only affirms dignity but also ensures transparency, which is critical for unbiased data collection.</w:t>
      </w:r>
    </w:p>
    <w:p w14:paraId="12E206B8" w14:textId="77777777" w:rsidR="00BB73B5" w:rsidRPr="00BB73B5" w:rsidRDefault="00BB73B5" w:rsidP="000F4E8E">
      <w:pPr>
        <w:spacing w:line="240" w:lineRule="auto"/>
        <w:contextualSpacing/>
      </w:pPr>
      <w:r w:rsidRPr="00BB73B5">
        <w:t>Second, equitable recognition and compensation could have supported the Lacks family and addressed issues of justice. Today, policies such as the Belmont Report and Institutional Review Boards (IRBs) emphasize respect, beneficence, and justice as guiding principles of research ethics (National Commission 4). These frameworks exist precisely to prevent exploitation like that seen in the Lacks case.</w:t>
      </w:r>
    </w:p>
    <w:p w14:paraId="04287573" w14:textId="77777777" w:rsidR="00BB73B5" w:rsidRPr="00BB73B5" w:rsidRDefault="00BB73B5" w:rsidP="000F4E8E">
      <w:pPr>
        <w:spacing w:line="240" w:lineRule="auto"/>
        <w:contextualSpacing/>
      </w:pPr>
      <w:r w:rsidRPr="00BB73B5">
        <w:t>Finally, unbiased reporting would have included acknowledgment of the ethical issues alongside the scientific benefits. Too often, historical accounts glorified the “miracle of HeLa” while ignoring Henrietta herself. Ethical scientific writing requires presenting both the advantages and the human implications, ensuring a more accurate and fair narrative.</w:t>
      </w:r>
    </w:p>
    <w:p w14:paraId="19B199FE" w14:textId="77777777" w:rsidR="00BB73B5" w:rsidRDefault="00BB73B5" w:rsidP="000F4E8E">
      <w:pPr>
        <w:spacing w:line="240" w:lineRule="auto"/>
        <w:contextualSpacing/>
      </w:pPr>
    </w:p>
    <w:p w14:paraId="50C69F9E" w14:textId="32EF197D" w:rsidR="00BB73B5" w:rsidRPr="00BB73B5" w:rsidRDefault="00BB73B5" w:rsidP="000F4E8E">
      <w:pPr>
        <w:spacing w:line="240" w:lineRule="auto"/>
        <w:contextualSpacing/>
      </w:pPr>
      <w:r w:rsidRPr="00BB73B5">
        <w:t>Conclusion</w:t>
      </w:r>
    </w:p>
    <w:p w14:paraId="6EE6443E" w14:textId="77777777" w:rsidR="00BB73B5" w:rsidRPr="00BB73B5" w:rsidRDefault="00BB73B5" w:rsidP="000F4E8E">
      <w:pPr>
        <w:spacing w:line="240" w:lineRule="auto"/>
        <w:contextualSpacing/>
      </w:pPr>
      <w:r w:rsidRPr="00BB73B5">
        <w:t>The case of Henrietta Lacks and HeLa cells serves as a powerful reminder that science and ethics are inseparable. Scientific discoveries that ignore ethics risk undermining the very goals they aim to achieve—improving human life. By examining this case, we see the importance of applying principles of informed consent, justice, and unbiased reporting. These principles not only protect individuals but also strengthen the credibility of science. Henrietta’s story compels us to ensure that the pursuit of knowledge never comes at the expense of human dignity.</w:t>
      </w:r>
    </w:p>
    <w:p w14:paraId="7914B6D9" w14:textId="77777777" w:rsidR="00BB73B5" w:rsidRDefault="00BB73B5" w:rsidP="000F4E8E">
      <w:pPr>
        <w:spacing w:line="240" w:lineRule="auto"/>
        <w:contextualSpacing/>
      </w:pPr>
    </w:p>
    <w:p w14:paraId="0BF5C8AB" w14:textId="4D6D66FC" w:rsidR="00BB73B5" w:rsidRPr="00BB73B5" w:rsidRDefault="00BB73B5" w:rsidP="000F4E8E">
      <w:pPr>
        <w:spacing w:line="240" w:lineRule="auto"/>
        <w:contextualSpacing/>
      </w:pPr>
      <w:r w:rsidRPr="00BB73B5">
        <w:lastRenderedPageBreak/>
        <w:t>Works Cited</w:t>
      </w:r>
    </w:p>
    <w:p w14:paraId="6F20064F" w14:textId="77777777" w:rsidR="00BB73B5" w:rsidRPr="00BB73B5" w:rsidRDefault="00BB73B5" w:rsidP="000F4E8E">
      <w:pPr>
        <w:spacing w:line="240" w:lineRule="auto"/>
        <w:contextualSpacing/>
      </w:pPr>
      <w:r w:rsidRPr="00BB73B5">
        <w:t xml:space="preserve">Beecher, Henry K. “Ethics and Clinical Research.” </w:t>
      </w:r>
      <w:r w:rsidRPr="00BB73B5">
        <w:rPr>
          <w:rStyle w:val="Emphasis"/>
          <w:rFonts w:asciiTheme="majorHAnsi" w:hAnsiTheme="majorHAnsi" w:cstheme="majorHAnsi"/>
        </w:rPr>
        <w:t>New England Journal of Medicine</w:t>
      </w:r>
      <w:r w:rsidRPr="00BB73B5">
        <w:t>, vol. 274, no. 24, 1966, pp. 367–372.</w:t>
      </w:r>
    </w:p>
    <w:p w14:paraId="3A9EFBC3" w14:textId="77777777" w:rsidR="00BB73B5" w:rsidRPr="00BB73B5" w:rsidRDefault="00BB73B5" w:rsidP="000F4E8E">
      <w:pPr>
        <w:spacing w:line="240" w:lineRule="auto"/>
        <w:contextualSpacing/>
      </w:pPr>
      <w:r w:rsidRPr="00BB73B5">
        <w:t xml:space="preserve">Lucey, Brian P., et al. “The Immortal Life of Henrietta Lacks: An Extraordinary Journey.” </w:t>
      </w:r>
      <w:r w:rsidRPr="00BB73B5">
        <w:rPr>
          <w:rStyle w:val="Emphasis"/>
          <w:rFonts w:asciiTheme="majorHAnsi" w:hAnsiTheme="majorHAnsi" w:cstheme="majorHAnsi"/>
        </w:rPr>
        <w:t>The Yale Journal of Biology and Medicine</w:t>
      </w:r>
      <w:r w:rsidRPr="00BB73B5">
        <w:t>, vol. 85, no. 2, 2012, pp. 107–115.</w:t>
      </w:r>
    </w:p>
    <w:p w14:paraId="002D3372" w14:textId="77777777" w:rsidR="00BB73B5" w:rsidRPr="00BB73B5" w:rsidRDefault="00BB73B5" w:rsidP="000F4E8E">
      <w:pPr>
        <w:spacing w:line="240" w:lineRule="auto"/>
        <w:contextualSpacing/>
      </w:pPr>
      <w:r w:rsidRPr="00BB73B5">
        <w:t xml:space="preserve">National Commission for the Protection of Human Subjects of Biomedical and Behavioral Research. </w:t>
      </w:r>
      <w:r w:rsidRPr="00BB73B5">
        <w:rPr>
          <w:rStyle w:val="Emphasis"/>
          <w:rFonts w:asciiTheme="majorHAnsi" w:hAnsiTheme="majorHAnsi" w:cstheme="majorHAnsi"/>
        </w:rPr>
        <w:t>The Belmont Report: Ethical Principles and Guidelines for the Protection of Human Subjects of Research.</w:t>
      </w:r>
      <w:r w:rsidRPr="00BB73B5">
        <w:t xml:space="preserve"> U.S. Department of Health, Education, and Welfare, 1979.</w:t>
      </w:r>
    </w:p>
    <w:p w14:paraId="611B5A74" w14:textId="77777777" w:rsidR="00BB73B5" w:rsidRPr="00BB73B5" w:rsidRDefault="00BB73B5" w:rsidP="000F4E8E">
      <w:pPr>
        <w:spacing w:line="240" w:lineRule="auto"/>
        <w:contextualSpacing/>
      </w:pPr>
      <w:r w:rsidRPr="00BB73B5">
        <w:t xml:space="preserve">Skloot, Rebecca. </w:t>
      </w:r>
      <w:r w:rsidRPr="00BB73B5">
        <w:rPr>
          <w:rStyle w:val="Emphasis"/>
          <w:rFonts w:asciiTheme="majorHAnsi" w:hAnsiTheme="majorHAnsi" w:cstheme="majorHAnsi"/>
        </w:rPr>
        <w:t>The Immortal Life of Henrietta Lacks.</w:t>
      </w:r>
      <w:r w:rsidRPr="00BB73B5">
        <w:t xml:space="preserve"> Crown Publishing Group, 2010.</w:t>
      </w:r>
    </w:p>
    <w:p w14:paraId="7169FD44" w14:textId="77777777" w:rsidR="00BB73B5" w:rsidRPr="00BB73B5" w:rsidRDefault="00BB73B5" w:rsidP="000F4E8E">
      <w:pPr>
        <w:spacing w:line="240" w:lineRule="auto"/>
        <w:contextualSpacing/>
      </w:pPr>
      <w:r w:rsidRPr="00BB73B5">
        <w:t xml:space="preserve">Zimmer, Carl. “Henrietta Lacks’s Genetic Legacy Lives On.” </w:t>
      </w:r>
      <w:r w:rsidRPr="00BB73B5">
        <w:rPr>
          <w:rStyle w:val="Emphasis"/>
          <w:rFonts w:asciiTheme="majorHAnsi" w:hAnsiTheme="majorHAnsi" w:cstheme="majorHAnsi"/>
        </w:rPr>
        <w:t>The New York Times</w:t>
      </w:r>
      <w:r w:rsidRPr="00BB73B5">
        <w:t>, 7 Mar. 2013.</w:t>
      </w:r>
    </w:p>
    <w:p w14:paraId="6652BFB7" w14:textId="77777777" w:rsidR="00BB73B5" w:rsidRPr="00BB73B5" w:rsidRDefault="00BB73B5" w:rsidP="000F4E8E">
      <w:pPr>
        <w:spacing w:line="240" w:lineRule="auto"/>
        <w:contextualSpacing/>
      </w:pPr>
    </w:p>
    <w:p w14:paraId="5DC71C51" w14:textId="3A964570" w:rsidR="00BB73B5" w:rsidRPr="00BB73B5" w:rsidRDefault="00BB73B5" w:rsidP="000F4E8E">
      <w:pPr>
        <w:spacing w:line="240" w:lineRule="auto"/>
        <w:contextualSpacing/>
      </w:pPr>
    </w:p>
    <w:p w14:paraId="763D18D5" w14:textId="6F06E5AC" w:rsidR="00BB73B5" w:rsidRDefault="00BB73B5" w:rsidP="000F4E8E">
      <w:pPr>
        <w:spacing w:line="240" w:lineRule="auto"/>
        <w:contextualSpacing/>
        <w:rPr>
          <w:rStyle w:val="Strong"/>
          <w:rFonts w:asciiTheme="majorHAnsi" w:hAnsiTheme="majorHAnsi" w:cstheme="majorHAnsi"/>
        </w:rPr>
      </w:pPr>
      <w:r w:rsidRPr="002E2EF3">
        <w:rPr>
          <w:rStyle w:val="Strong"/>
          <w:rFonts w:asciiTheme="majorHAnsi" w:hAnsiTheme="majorHAnsi" w:cstheme="majorHAnsi"/>
        </w:rPr>
        <w:t>Smallpox Blanket Controversy and Indigenous Peoples</w:t>
      </w:r>
    </w:p>
    <w:p w14:paraId="76A5EBC5" w14:textId="2BE22278" w:rsidR="002E2EF3" w:rsidRPr="002E2EF3" w:rsidRDefault="002E2EF3" w:rsidP="000F4E8E">
      <w:pPr>
        <w:spacing w:line="240" w:lineRule="auto"/>
        <w:contextualSpacing/>
        <w:rPr>
          <w:rStyle w:val="Strong"/>
          <w:rFonts w:asciiTheme="majorHAnsi" w:hAnsiTheme="majorHAnsi" w:cstheme="majorHAnsi"/>
        </w:rPr>
      </w:pPr>
      <w:r>
        <w:rPr>
          <w:rStyle w:val="Strong"/>
          <w:rFonts w:asciiTheme="majorHAnsi" w:hAnsiTheme="majorHAnsi" w:cstheme="majorHAnsi"/>
        </w:rPr>
        <w:t>James Shoshon</w:t>
      </w:r>
    </w:p>
    <w:p w14:paraId="0DC790D8" w14:textId="535076DC" w:rsidR="002E2EF3" w:rsidRPr="002E2EF3" w:rsidRDefault="002E2EF3" w:rsidP="000F4E8E">
      <w:pPr>
        <w:spacing w:line="240" w:lineRule="auto"/>
        <w:contextualSpacing/>
        <w:rPr>
          <w:rStyle w:val="Strong"/>
          <w:rFonts w:asciiTheme="majorHAnsi" w:hAnsiTheme="majorHAnsi" w:cstheme="majorHAnsi"/>
        </w:rPr>
      </w:pPr>
      <w:r w:rsidRPr="002E2EF3">
        <w:rPr>
          <w:rStyle w:val="Strong"/>
          <w:rFonts w:asciiTheme="majorHAnsi" w:hAnsiTheme="majorHAnsi" w:cstheme="majorHAnsi"/>
        </w:rPr>
        <w:t>Microbiology and the World</w:t>
      </w:r>
    </w:p>
    <w:p w14:paraId="50ECBF0C" w14:textId="77777777" w:rsidR="002E2EF3" w:rsidRPr="002E2EF3" w:rsidRDefault="002E2EF3" w:rsidP="000F4E8E">
      <w:pPr>
        <w:spacing w:line="240" w:lineRule="auto"/>
        <w:contextualSpacing/>
        <w:rPr>
          <w:b/>
          <w:bCs/>
        </w:rPr>
      </w:pPr>
    </w:p>
    <w:p w14:paraId="7BB077C6" w14:textId="77777777" w:rsidR="00BB73B5" w:rsidRPr="00BB73B5" w:rsidRDefault="00BB73B5" w:rsidP="000F4E8E">
      <w:pPr>
        <w:spacing w:line="240" w:lineRule="auto"/>
        <w:contextualSpacing/>
      </w:pPr>
      <w:r w:rsidRPr="00BB73B5">
        <w:t>Introduction</w:t>
      </w:r>
    </w:p>
    <w:p w14:paraId="3BEFD47A" w14:textId="77777777" w:rsidR="00BB73B5" w:rsidRPr="00BB73B5" w:rsidRDefault="00BB73B5" w:rsidP="000F4E8E">
      <w:pPr>
        <w:spacing w:line="240" w:lineRule="auto"/>
        <w:contextualSpacing/>
      </w:pPr>
      <w:r w:rsidRPr="00BB73B5">
        <w:rPr>
          <w:rStyle w:val="relative"/>
          <w:rFonts w:asciiTheme="majorHAnsi" w:hAnsiTheme="majorHAnsi" w:cstheme="majorHAnsi"/>
        </w:rPr>
        <w:t>The smallpox blanket controversy remains a potent symbol of how science and disease can be weaponized to violate basic human rights. In June 1763, during the siege of Fort Pitt amid Pontiac’s Rebellion, British colonial forces reportedly gave blankets and a handkerchief contaminated with smallpox to Delaware emissaries—actions that many historians now interpret as early examples of biological warfare</w:t>
      </w:r>
      <w:r w:rsidRPr="00BB73B5">
        <w:t xml:space="preserve"> </w:t>
      </w:r>
      <w:hyperlink r:id="rId8" w:tgtFrame="_blank" w:history="1">
        <w:r w:rsidRPr="00BB73B5">
          <w:rPr>
            <w:rStyle w:val="max-w-full"/>
            <w:rFonts w:asciiTheme="majorHAnsi" w:hAnsiTheme="majorHAnsi" w:cstheme="majorHAnsi"/>
            <w:color w:val="0000FF"/>
            <w:u w:val="single"/>
          </w:rPr>
          <w:t>National Library of Medicine</w:t>
        </w:r>
        <w:r w:rsidRPr="00BB73B5">
          <w:rPr>
            <w:rStyle w:val="-me-1"/>
            <w:rFonts w:asciiTheme="majorHAnsi" w:hAnsiTheme="majorHAnsi" w:cstheme="majorHAnsi"/>
            <w:color w:val="0000FF"/>
            <w:u w:val="single"/>
          </w:rPr>
          <w:t>+4</w:t>
        </w:r>
        <w:r w:rsidRPr="00BB73B5">
          <w:rPr>
            <w:rStyle w:val="max-w-full"/>
            <w:rFonts w:asciiTheme="majorHAnsi" w:hAnsiTheme="majorHAnsi" w:cstheme="majorHAnsi"/>
            <w:color w:val="0000FF"/>
            <w:u w:val="single"/>
          </w:rPr>
          <w:t>Quod Libet</w:t>
        </w:r>
        <w:r w:rsidRPr="00BB73B5">
          <w:rPr>
            <w:rStyle w:val="-me-1"/>
            <w:rFonts w:asciiTheme="majorHAnsi" w:hAnsiTheme="majorHAnsi" w:cstheme="majorHAnsi"/>
            <w:color w:val="0000FF"/>
            <w:u w:val="single"/>
          </w:rPr>
          <w:t>+4</w:t>
        </w:r>
        <w:r w:rsidRPr="00BB73B5">
          <w:rPr>
            <w:rStyle w:val="max-w-full"/>
            <w:rFonts w:asciiTheme="majorHAnsi" w:hAnsiTheme="majorHAnsi" w:cstheme="majorHAnsi"/>
            <w:color w:val="0000FF"/>
            <w:u w:val="single"/>
          </w:rPr>
          <w:t>ASM.org</w:t>
        </w:r>
        <w:r w:rsidRPr="00BB73B5">
          <w:rPr>
            <w:rStyle w:val="-me-1"/>
            <w:rFonts w:asciiTheme="majorHAnsi" w:hAnsiTheme="majorHAnsi" w:cstheme="majorHAnsi"/>
            <w:color w:val="0000FF"/>
            <w:u w:val="single"/>
          </w:rPr>
          <w:t>+4</w:t>
        </w:r>
      </w:hyperlink>
      <w:hyperlink r:id="rId9" w:tgtFrame="_blank" w:history="1">
        <w:r w:rsidRPr="00BB73B5">
          <w:rPr>
            <w:rStyle w:val="max-w-full"/>
            <w:rFonts w:asciiTheme="majorHAnsi" w:hAnsiTheme="majorHAnsi" w:cstheme="majorHAnsi"/>
            <w:color w:val="0000FF"/>
            <w:u w:val="single"/>
          </w:rPr>
          <w:t>Taylor &amp; Francis Online</w:t>
        </w:r>
        <w:r w:rsidRPr="00BB73B5">
          <w:rPr>
            <w:rStyle w:val="-me-1"/>
            <w:rFonts w:asciiTheme="majorHAnsi" w:hAnsiTheme="majorHAnsi" w:cstheme="majorHAnsi"/>
            <w:color w:val="0000FF"/>
            <w:u w:val="single"/>
          </w:rPr>
          <w:t>+10</w:t>
        </w:r>
        <w:r w:rsidRPr="00BB73B5">
          <w:rPr>
            <w:rStyle w:val="max-w-full"/>
            <w:rFonts w:asciiTheme="majorHAnsi" w:hAnsiTheme="majorHAnsi" w:cstheme="majorHAnsi"/>
            <w:color w:val="0000FF"/>
            <w:u w:val="single"/>
          </w:rPr>
          <w:t>Wikipedia</w:t>
        </w:r>
        <w:r w:rsidRPr="00BB73B5">
          <w:rPr>
            <w:rStyle w:val="-me-1"/>
            <w:rFonts w:asciiTheme="majorHAnsi" w:hAnsiTheme="majorHAnsi" w:cstheme="majorHAnsi"/>
            <w:color w:val="0000FF"/>
            <w:u w:val="single"/>
          </w:rPr>
          <w:t>+10</w:t>
        </w:r>
        <w:r w:rsidRPr="00BB73B5">
          <w:rPr>
            <w:rStyle w:val="max-w-full"/>
            <w:rFonts w:asciiTheme="majorHAnsi" w:hAnsiTheme="majorHAnsi" w:cstheme="majorHAnsi"/>
            <w:color w:val="0000FF"/>
            <w:u w:val="single"/>
          </w:rPr>
          <w:t>JSTOR Daily</w:t>
        </w:r>
        <w:r w:rsidRPr="00BB73B5">
          <w:rPr>
            <w:rStyle w:val="-me-1"/>
            <w:rFonts w:asciiTheme="majorHAnsi" w:hAnsiTheme="majorHAnsi" w:cstheme="majorHAnsi"/>
            <w:color w:val="0000FF"/>
            <w:u w:val="single"/>
          </w:rPr>
          <w:t>+10</w:t>
        </w:r>
      </w:hyperlink>
      <w:r w:rsidRPr="00BB73B5">
        <w:t xml:space="preserve">. </w:t>
      </w:r>
      <w:r w:rsidRPr="00BB73B5">
        <w:rPr>
          <w:rStyle w:val="relative"/>
          <w:rFonts w:asciiTheme="majorHAnsi" w:hAnsiTheme="majorHAnsi" w:cstheme="majorHAnsi"/>
        </w:rPr>
        <w:t>This essay argues that the event showcases a deliberate breach of ethical standards—inflicting harm through disease, targeting a marginalized group—and highlights the necessity of research ethics and unbiased historical reporting in preventing such atrocities.</w:t>
      </w:r>
    </w:p>
    <w:p w14:paraId="5F897DF3" w14:textId="77777777" w:rsidR="00BB73B5" w:rsidRDefault="00BB73B5" w:rsidP="000F4E8E">
      <w:pPr>
        <w:spacing w:line="240" w:lineRule="auto"/>
        <w:contextualSpacing/>
      </w:pPr>
    </w:p>
    <w:p w14:paraId="5CBBE189" w14:textId="2AB792DA" w:rsidR="00BB73B5" w:rsidRPr="00BB73B5" w:rsidRDefault="00BB73B5" w:rsidP="000F4E8E">
      <w:pPr>
        <w:spacing w:line="240" w:lineRule="auto"/>
        <w:contextualSpacing/>
      </w:pPr>
      <w:r w:rsidRPr="00BB73B5">
        <w:t>Background of the Case</w:t>
      </w:r>
    </w:p>
    <w:p w14:paraId="2EC820B5" w14:textId="77777777" w:rsidR="00BB73B5" w:rsidRPr="00BB73B5" w:rsidRDefault="00BB73B5" w:rsidP="000F4E8E">
      <w:pPr>
        <w:spacing w:line="240" w:lineRule="auto"/>
        <w:contextualSpacing/>
      </w:pPr>
      <w:r w:rsidRPr="00BB73B5">
        <w:rPr>
          <w:rStyle w:val="relative"/>
          <w:rFonts w:asciiTheme="majorHAnsi" w:hAnsiTheme="majorHAnsi" w:cstheme="majorHAnsi"/>
        </w:rPr>
        <w:t>Smallpox was among the most devastating infectious diseases of the 18th century, with mortality rates up to 30 percent among unvaccinated populations. During the French and Indian War, at Fort Pitt, Captain Simeon Ecuyer distributed items from the smallpox hospital to Native American representatives. William Trent, a militia captain, later wrote in his journal: it was done “to Convey the Smallpox to the Indians”</w:t>
      </w:r>
      <w:r w:rsidRPr="00BB73B5">
        <w:t xml:space="preserve"> </w:t>
      </w:r>
      <w:hyperlink r:id="rId10" w:tgtFrame="_blank" w:history="1">
        <w:r w:rsidRPr="00BB73B5">
          <w:rPr>
            <w:rStyle w:val="max-w-full"/>
            <w:rFonts w:asciiTheme="majorHAnsi" w:hAnsiTheme="majorHAnsi" w:cstheme="majorHAnsi"/>
            <w:color w:val="0000FF"/>
            <w:u w:val="single"/>
          </w:rPr>
          <w:t>JSTOR Daily</w:t>
        </w:r>
        <w:r w:rsidRPr="00BB73B5">
          <w:rPr>
            <w:rStyle w:val="-me-1"/>
            <w:rFonts w:asciiTheme="majorHAnsi" w:hAnsiTheme="majorHAnsi" w:cstheme="majorHAnsi"/>
            <w:color w:val="0000FF"/>
            <w:u w:val="single"/>
          </w:rPr>
          <w:t>+4</w:t>
        </w:r>
        <w:r w:rsidRPr="00BB73B5">
          <w:rPr>
            <w:rStyle w:val="max-w-full"/>
            <w:rFonts w:asciiTheme="majorHAnsi" w:hAnsiTheme="majorHAnsi" w:cstheme="majorHAnsi"/>
            <w:color w:val="0000FF"/>
            <w:u w:val="single"/>
          </w:rPr>
          <w:t>Wikipedia</w:t>
        </w:r>
        <w:r w:rsidRPr="00BB73B5">
          <w:rPr>
            <w:rStyle w:val="-me-1"/>
            <w:rFonts w:asciiTheme="majorHAnsi" w:hAnsiTheme="majorHAnsi" w:cstheme="majorHAnsi"/>
            <w:color w:val="0000FF"/>
            <w:u w:val="single"/>
          </w:rPr>
          <w:t>+4</w:t>
        </w:r>
        <w:r w:rsidRPr="00BB73B5">
          <w:rPr>
            <w:rStyle w:val="max-w-full"/>
            <w:rFonts w:asciiTheme="majorHAnsi" w:hAnsiTheme="majorHAnsi" w:cstheme="majorHAnsi"/>
            <w:color w:val="0000FF"/>
            <w:u w:val="single"/>
          </w:rPr>
          <w:t>PMC</w:t>
        </w:r>
        <w:r w:rsidRPr="00BB73B5">
          <w:rPr>
            <w:rStyle w:val="-me-1"/>
            <w:rFonts w:asciiTheme="majorHAnsi" w:hAnsiTheme="majorHAnsi" w:cstheme="majorHAnsi"/>
            <w:color w:val="0000FF"/>
            <w:u w:val="single"/>
          </w:rPr>
          <w:t>+4</w:t>
        </w:r>
      </w:hyperlink>
      <w:r w:rsidRPr="00BB73B5">
        <w:t xml:space="preserve">. </w:t>
      </w:r>
      <w:r w:rsidRPr="00BB73B5">
        <w:rPr>
          <w:rStyle w:val="relative"/>
          <w:rFonts w:asciiTheme="majorHAnsi" w:hAnsiTheme="majorHAnsi" w:cstheme="majorHAnsi"/>
        </w:rPr>
        <w:t>General Jeffery Amherst and Colonel Henry Bouquet both corresponded about using smallpox to “extirpate this execrable race,” showing intent to weaponize the disease</w:t>
      </w:r>
      <w:r w:rsidRPr="00BB73B5">
        <w:t xml:space="preserve"> </w:t>
      </w:r>
      <w:hyperlink r:id="rId11" w:tgtFrame="_blank" w:history="1">
        <w:r w:rsidRPr="00BB73B5">
          <w:rPr>
            <w:rStyle w:val="max-w-full"/>
            <w:rFonts w:asciiTheme="majorHAnsi" w:hAnsiTheme="majorHAnsi" w:cstheme="majorHAnsi"/>
            <w:color w:val="0000FF"/>
            <w:u w:val="single"/>
          </w:rPr>
          <w:t>ASM.org</w:t>
        </w:r>
        <w:r w:rsidRPr="00BB73B5">
          <w:rPr>
            <w:rStyle w:val="-me-1"/>
            <w:rFonts w:asciiTheme="majorHAnsi" w:hAnsiTheme="majorHAnsi" w:cstheme="majorHAnsi"/>
            <w:color w:val="0000FF"/>
            <w:u w:val="single"/>
          </w:rPr>
          <w:t>+15</w:t>
        </w:r>
        <w:r w:rsidRPr="00BB73B5">
          <w:rPr>
            <w:rStyle w:val="max-w-full"/>
            <w:rFonts w:asciiTheme="majorHAnsi" w:hAnsiTheme="majorHAnsi" w:cstheme="majorHAnsi"/>
            <w:color w:val="0000FF"/>
            <w:u w:val="single"/>
          </w:rPr>
          <w:t>Wikipedia</w:t>
        </w:r>
        <w:r w:rsidRPr="00BB73B5">
          <w:rPr>
            <w:rStyle w:val="-me-1"/>
            <w:rFonts w:asciiTheme="majorHAnsi" w:hAnsiTheme="majorHAnsi" w:cstheme="majorHAnsi"/>
            <w:color w:val="0000FF"/>
            <w:u w:val="single"/>
          </w:rPr>
          <w:t>+15</w:t>
        </w:r>
        <w:r w:rsidRPr="00BB73B5">
          <w:rPr>
            <w:rStyle w:val="max-w-full"/>
            <w:rFonts w:asciiTheme="majorHAnsi" w:hAnsiTheme="majorHAnsi" w:cstheme="majorHAnsi"/>
            <w:color w:val="0000FF"/>
            <w:u w:val="single"/>
          </w:rPr>
          <w:t>JSTOR Daily</w:t>
        </w:r>
        <w:r w:rsidRPr="00BB73B5">
          <w:rPr>
            <w:rStyle w:val="-me-1"/>
            <w:rFonts w:asciiTheme="majorHAnsi" w:hAnsiTheme="majorHAnsi" w:cstheme="majorHAnsi"/>
            <w:color w:val="0000FF"/>
            <w:u w:val="single"/>
          </w:rPr>
          <w:t>+15</w:t>
        </w:r>
      </w:hyperlink>
      <w:r w:rsidRPr="00BB73B5">
        <w:t xml:space="preserve">. </w:t>
      </w:r>
      <w:r w:rsidRPr="00BB73B5">
        <w:rPr>
          <w:rStyle w:val="relative"/>
          <w:rFonts w:asciiTheme="majorHAnsi" w:hAnsiTheme="majorHAnsi" w:cstheme="majorHAnsi"/>
        </w:rPr>
        <w:t>Although outbreaks were common, these documented communications suggest deliberate harm beyond mere coincidence</w:t>
      </w:r>
      <w:r w:rsidRPr="00BB73B5">
        <w:t xml:space="preserve"> </w:t>
      </w:r>
      <w:hyperlink r:id="rId12" w:tgtFrame="_blank" w:history="1">
        <w:r w:rsidRPr="00BB73B5">
          <w:rPr>
            <w:rStyle w:val="max-w-full"/>
            <w:rFonts w:asciiTheme="majorHAnsi" w:hAnsiTheme="majorHAnsi" w:cstheme="majorHAnsi"/>
            <w:color w:val="0000FF"/>
            <w:u w:val="single"/>
          </w:rPr>
          <w:t>JSTOR Daily</w:t>
        </w:r>
      </w:hyperlink>
      <w:r w:rsidRPr="00BB73B5">
        <w:t>.</w:t>
      </w:r>
    </w:p>
    <w:p w14:paraId="6E1AF599" w14:textId="77777777" w:rsidR="000F4E8E" w:rsidRDefault="000F4E8E" w:rsidP="000F4E8E">
      <w:pPr>
        <w:spacing w:line="240" w:lineRule="auto"/>
        <w:contextualSpacing/>
      </w:pPr>
    </w:p>
    <w:p w14:paraId="41A5564C" w14:textId="52890894" w:rsidR="00BB73B5" w:rsidRPr="00BB73B5" w:rsidRDefault="00BB73B5" w:rsidP="000F4E8E">
      <w:pPr>
        <w:spacing w:line="240" w:lineRule="auto"/>
        <w:contextualSpacing/>
      </w:pPr>
      <w:r w:rsidRPr="00BB73B5">
        <w:t>Ethical Issues</w:t>
      </w:r>
    </w:p>
    <w:p w14:paraId="7EEC7A52" w14:textId="5ACA65AB" w:rsidR="00BB73B5" w:rsidRDefault="00BB73B5" w:rsidP="000F4E8E">
      <w:pPr>
        <w:spacing w:line="240" w:lineRule="auto"/>
        <w:contextualSpacing/>
      </w:pPr>
      <w:r w:rsidRPr="00BB73B5">
        <w:rPr>
          <w:rStyle w:val="Strong"/>
          <w:rFonts w:asciiTheme="majorHAnsi" w:hAnsiTheme="majorHAnsi" w:cstheme="majorHAnsi"/>
          <w:b w:val="0"/>
          <w:bCs w:val="0"/>
        </w:rPr>
        <w:t>1. Intentional Harm &amp; Violation of Non-Maleficence</w:t>
      </w:r>
      <w:r w:rsidRPr="00BB73B5">
        <w:br/>
      </w:r>
      <w:r w:rsidRPr="00BB73B5">
        <w:rPr>
          <w:rStyle w:val="relative"/>
          <w:rFonts w:asciiTheme="majorHAnsi" w:hAnsiTheme="majorHAnsi" w:cstheme="majorHAnsi"/>
        </w:rPr>
        <w:t>Medical and research ethics underscore the principle of non-maleficence—first, do no harm. The deliberate use of smallpox blankets starkly violates this, transforming medical knowledge into a tool for destruction rather than healing</w:t>
      </w:r>
      <w:r w:rsidRPr="00BB73B5">
        <w:t xml:space="preserve"> </w:t>
      </w:r>
      <w:hyperlink r:id="rId13" w:tgtFrame="_blank" w:history="1">
        <w:r w:rsidRPr="00BB73B5">
          <w:rPr>
            <w:rStyle w:val="max-w-full"/>
            <w:rFonts w:asciiTheme="majorHAnsi" w:hAnsiTheme="majorHAnsi" w:cstheme="majorHAnsi"/>
            <w:color w:val="0000FF"/>
            <w:u w:val="single"/>
          </w:rPr>
          <w:t>Wikipedia</w:t>
        </w:r>
        <w:r w:rsidRPr="00BB73B5">
          <w:rPr>
            <w:rStyle w:val="-me-1"/>
            <w:rFonts w:asciiTheme="majorHAnsi" w:hAnsiTheme="majorHAnsi" w:cstheme="majorHAnsi"/>
            <w:color w:val="0000FF"/>
            <w:u w:val="single"/>
          </w:rPr>
          <w:t>+15</w:t>
        </w:r>
        <w:r w:rsidRPr="00BB73B5">
          <w:rPr>
            <w:rStyle w:val="max-w-full"/>
            <w:rFonts w:asciiTheme="majorHAnsi" w:hAnsiTheme="majorHAnsi" w:cstheme="majorHAnsi"/>
            <w:color w:val="0000FF"/>
            <w:u w:val="single"/>
          </w:rPr>
          <w:t>PMC</w:t>
        </w:r>
        <w:r w:rsidRPr="00BB73B5">
          <w:rPr>
            <w:rStyle w:val="-me-1"/>
            <w:rFonts w:asciiTheme="majorHAnsi" w:hAnsiTheme="majorHAnsi" w:cstheme="majorHAnsi"/>
            <w:color w:val="0000FF"/>
            <w:u w:val="single"/>
          </w:rPr>
          <w:t>+15</w:t>
        </w:r>
        <w:r w:rsidRPr="00BB73B5">
          <w:rPr>
            <w:rStyle w:val="max-w-full"/>
            <w:rFonts w:asciiTheme="majorHAnsi" w:hAnsiTheme="majorHAnsi" w:cstheme="majorHAnsi"/>
            <w:color w:val="0000FF"/>
            <w:u w:val="single"/>
          </w:rPr>
          <w:t>Quod Libet</w:t>
        </w:r>
        <w:r w:rsidRPr="00BB73B5">
          <w:rPr>
            <w:rStyle w:val="-me-1"/>
            <w:rFonts w:asciiTheme="majorHAnsi" w:hAnsiTheme="majorHAnsi" w:cstheme="majorHAnsi"/>
            <w:color w:val="0000FF"/>
            <w:u w:val="single"/>
          </w:rPr>
          <w:t>+15</w:t>
        </w:r>
      </w:hyperlink>
      <w:r w:rsidRPr="00BB73B5">
        <w:t>.</w:t>
      </w:r>
    </w:p>
    <w:p w14:paraId="21AB2CE9" w14:textId="77777777" w:rsidR="000F4E8E" w:rsidRPr="00BB73B5" w:rsidRDefault="000F4E8E" w:rsidP="000F4E8E">
      <w:pPr>
        <w:spacing w:line="240" w:lineRule="auto"/>
        <w:contextualSpacing/>
      </w:pPr>
    </w:p>
    <w:p w14:paraId="511D9E63" w14:textId="6B5F8B91" w:rsidR="00BB73B5" w:rsidRDefault="00BB73B5" w:rsidP="000F4E8E">
      <w:pPr>
        <w:spacing w:line="240" w:lineRule="auto"/>
        <w:contextualSpacing/>
        <w:rPr>
          <w:rStyle w:val="relative"/>
          <w:rFonts w:asciiTheme="majorHAnsi" w:hAnsiTheme="majorHAnsi" w:cstheme="majorHAnsi"/>
        </w:rPr>
      </w:pPr>
      <w:r w:rsidRPr="00BB73B5">
        <w:rPr>
          <w:rStyle w:val="Strong"/>
          <w:rFonts w:asciiTheme="majorHAnsi" w:hAnsiTheme="majorHAnsi" w:cstheme="majorHAnsi"/>
          <w:b w:val="0"/>
          <w:bCs w:val="0"/>
        </w:rPr>
        <w:t>2. Targeting Vulnerable Populations</w:t>
      </w:r>
      <w:r w:rsidRPr="00BB73B5">
        <w:br/>
      </w:r>
      <w:r w:rsidRPr="00BB73B5">
        <w:rPr>
          <w:rStyle w:val="relative"/>
          <w:rFonts w:asciiTheme="majorHAnsi" w:hAnsiTheme="majorHAnsi" w:cstheme="majorHAnsi"/>
        </w:rPr>
        <w:t>Indigenous communities lacked immunity to smallpox, making the act especially vicious. Targeting a vulnerable, marginalized group for lethal purposes breaches the core principle of justice in ethical frameworks.</w:t>
      </w:r>
    </w:p>
    <w:p w14:paraId="4B7A353B" w14:textId="77777777" w:rsidR="000F4E8E" w:rsidRPr="00BB73B5" w:rsidRDefault="000F4E8E" w:rsidP="000F4E8E">
      <w:pPr>
        <w:spacing w:line="240" w:lineRule="auto"/>
        <w:contextualSpacing/>
      </w:pPr>
    </w:p>
    <w:p w14:paraId="78522CE1" w14:textId="77777777" w:rsidR="00BB73B5" w:rsidRPr="00BB73B5" w:rsidRDefault="00BB73B5" w:rsidP="000F4E8E">
      <w:pPr>
        <w:spacing w:line="240" w:lineRule="auto"/>
        <w:contextualSpacing/>
      </w:pPr>
      <w:r w:rsidRPr="00BB73B5">
        <w:rPr>
          <w:rStyle w:val="Strong"/>
          <w:rFonts w:asciiTheme="majorHAnsi" w:hAnsiTheme="majorHAnsi" w:cstheme="majorHAnsi"/>
          <w:b w:val="0"/>
          <w:bCs w:val="0"/>
        </w:rPr>
        <w:t>3. Biased Reporting and Historical Erasure</w:t>
      </w:r>
      <w:r w:rsidRPr="00BB73B5">
        <w:br/>
      </w:r>
      <w:r w:rsidRPr="00BB73B5">
        <w:rPr>
          <w:rStyle w:val="relative"/>
          <w:rFonts w:asciiTheme="majorHAnsi" w:hAnsiTheme="majorHAnsi" w:cstheme="majorHAnsi"/>
        </w:rPr>
        <w:t>Early historical narratives often downplayed or dismissed the smallpox blanket incident. This selective retelling reflects biased documentation, minimizing Indigenous suffering and obscuring colonial intent. The persistent doubt over whether the act was deliberate—despite evidence—shows how biased reporting distorts moral responsibility</w:t>
      </w:r>
      <w:r w:rsidRPr="00BB73B5">
        <w:t xml:space="preserve"> </w:t>
      </w:r>
      <w:hyperlink r:id="rId14" w:tgtFrame="_blank" w:history="1">
        <w:proofErr w:type="spellStart"/>
        <w:r w:rsidRPr="00BB73B5">
          <w:rPr>
            <w:rStyle w:val="max-w-full"/>
            <w:rFonts w:asciiTheme="majorHAnsi" w:hAnsiTheme="majorHAnsi" w:cstheme="majorHAnsi"/>
            <w:color w:val="0000FF"/>
            <w:u w:val="single"/>
          </w:rPr>
          <w:t>ASM.org</w:t>
        </w:r>
      </w:hyperlink>
      <w:hyperlink r:id="rId15" w:tgtFrame="_blank" w:history="1">
        <w:r w:rsidRPr="00BB73B5">
          <w:rPr>
            <w:rStyle w:val="max-w-full"/>
            <w:rFonts w:asciiTheme="majorHAnsi" w:hAnsiTheme="majorHAnsi" w:cstheme="majorHAnsi"/>
            <w:color w:val="0000FF"/>
            <w:u w:val="single"/>
          </w:rPr>
          <w:t>JSTOR</w:t>
        </w:r>
        <w:proofErr w:type="spellEnd"/>
        <w:r w:rsidRPr="00BB73B5">
          <w:rPr>
            <w:rStyle w:val="max-w-full"/>
            <w:rFonts w:asciiTheme="majorHAnsi" w:hAnsiTheme="majorHAnsi" w:cstheme="majorHAnsi"/>
            <w:color w:val="0000FF"/>
            <w:u w:val="single"/>
          </w:rPr>
          <w:t xml:space="preserve"> </w:t>
        </w:r>
        <w:proofErr w:type="spellStart"/>
        <w:r w:rsidRPr="00BB73B5">
          <w:rPr>
            <w:rStyle w:val="max-w-full"/>
            <w:rFonts w:asciiTheme="majorHAnsi" w:hAnsiTheme="majorHAnsi" w:cstheme="majorHAnsi"/>
            <w:color w:val="0000FF"/>
            <w:u w:val="single"/>
          </w:rPr>
          <w:t>Daily</w:t>
        </w:r>
      </w:hyperlink>
      <w:hyperlink r:id="rId16" w:tgtFrame="_blank" w:history="1">
        <w:r w:rsidRPr="00BB73B5">
          <w:rPr>
            <w:rStyle w:val="max-w-full"/>
            <w:rFonts w:asciiTheme="majorHAnsi" w:hAnsiTheme="majorHAnsi" w:cstheme="majorHAnsi"/>
            <w:color w:val="0000FF"/>
            <w:u w:val="single"/>
          </w:rPr>
          <w:t>HISTORY</w:t>
        </w:r>
        <w:proofErr w:type="spellEnd"/>
      </w:hyperlink>
      <w:r w:rsidRPr="00BB73B5">
        <w:t>.</w:t>
      </w:r>
    </w:p>
    <w:p w14:paraId="345B562F" w14:textId="77777777" w:rsidR="000F4E8E" w:rsidRDefault="000F4E8E" w:rsidP="000F4E8E">
      <w:pPr>
        <w:spacing w:line="240" w:lineRule="auto"/>
        <w:contextualSpacing/>
      </w:pPr>
    </w:p>
    <w:p w14:paraId="5FCA2817" w14:textId="2A590681" w:rsidR="00BB73B5" w:rsidRPr="00BB73B5" w:rsidRDefault="00BB73B5" w:rsidP="000F4E8E">
      <w:pPr>
        <w:spacing w:line="240" w:lineRule="auto"/>
        <w:contextualSpacing/>
      </w:pPr>
      <w:r w:rsidRPr="00BB73B5">
        <w:t>Consequences and Lessons</w:t>
      </w:r>
    </w:p>
    <w:p w14:paraId="6970D6D1" w14:textId="77777777" w:rsidR="00BB73B5" w:rsidRPr="00BB73B5" w:rsidRDefault="00BB73B5" w:rsidP="000F4E8E">
      <w:pPr>
        <w:spacing w:line="240" w:lineRule="auto"/>
        <w:contextualSpacing/>
      </w:pPr>
      <w:r w:rsidRPr="00BB73B5">
        <w:rPr>
          <w:rStyle w:val="relative"/>
          <w:rFonts w:asciiTheme="majorHAnsi" w:hAnsiTheme="majorHAnsi" w:cstheme="majorHAnsi"/>
        </w:rPr>
        <w:t>The consequences were catastrophic for Indigenous populations: massive mortality, societal disruption, and loss of trust in colonial—and later scientific—institutions. This historical episode underscores how ethical failures in the application of science not only cause immediate harm but also erode inter-community trust and worsen inequalities. It also emphasizes the importance of acknowledging victims and accurately recording historical accounts.</w:t>
      </w:r>
    </w:p>
    <w:p w14:paraId="195F3DB8" w14:textId="77777777" w:rsidR="000F4E8E" w:rsidRDefault="000F4E8E" w:rsidP="000F4E8E">
      <w:pPr>
        <w:spacing w:line="240" w:lineRule="auto"/>
        <w:contextualSpacing/>
      </w:pPr>
    </w:p>
    <w:p w14:paraId="4B028C4E" w14:textId="2F062251" w:rsidR="00BB73B5" w:rsidRPr="00BB73B5" w:rsidRDefault="00BB73B5" w:rsidP="000F4E8E">
      <w:pPr>
        <w:spacing w:line="240" w:lineRule="auto"/>
        <w:contextualSpacing/>
      </w:pPr>
      <w:r w:rsidRPr="00BB73B5">
        <w:t>Application of Research Ethics and Unbiased Assessment</w:t>
      </w:r>
    </w:p>
    <w:p w14:paraId="3BCD67AD" w14:textId="75CF6979" w:rsidR="00BB73B5" w:rsidRDefault="00BB73B5" w:rsidP="000F4E8E">
      <w:pPr>
        <w:spacing w:line="240" w:lineRule="auto"/>
        <w:contextualSpacing/>
        <w:rPr>
          <w:rStyle w:val="relative"/>
          <w:rFonts w:asciiTheme="majorHAnsi" w:hAnsiTheme="majorHAnsi" w:cstheme="majorHAnsi"/>
        </w:rPr>
      </w:pPr>
      <w:r w:rsidRPr="00BB73B5">
        <w:rPr>
          <w:rStyle w:val="Strong"/>
          <w:rFonts w:asciiTheme="majorHAnsi" w:hAnsiTheme="majorHAnsi" w:cstheme="majorHAnsi"/>
          <w:b w:val="0"/>
          <w:bCs w:val="0"/>
        </w:rPr>
        <w:t>Informed Consent &amp; Respect for Persons</w:t>
      </w:r>
      <w:r w:rsidRPr="00BB73B5">
        <w:br/>
      </w:r>
      <w:r w:rsidRPr="00BB73B5">
        <w:rPr>
          <w:rStyle w:val="relative"/>
          <w:rFonts w:asciiTheme="majorHAnsi" w:hAnsiTheme="majorHAnsi" w:cstheme="majorHAnsi"/>
        </w:rPr>
        <w:t>Although modern frameworks like IRBs didn’t exist in the 18th century, the basic human right to bodily autonomy is timeless. The distribution of infected materials without consent is a gross violation of human dignity. Ethical science demands transparency and respect in interactions with research subjects.</w:t>
      </w:r>
    </w:p>
    <w:p w14:paraId="310E388D" w14:textId="77777777" w:rsidR="000F4E8E" w:rsidRPr="00BB73B5" w:rsidRDefault="000F4E8E" w:rsidP="000F4E8E">
      <w:pPr>
        <w:spacing w:line="240" w:lineRule="auto"/>
        <w:contextualSpacing/>
      </w:pPr>
    </w:p>
    <w:p w14:paraId="520F1B6F" w14:textId="099C3ACA" w:rsidR="00BB73B5" w:rsidRDefault="00BB73B5" w:rsidP="000F4E8E">
      <w:pPr>
        <w:spacing w:line="240" w:lineRule="auto"/>
        <w:contextualSpacing/>
        <w:rPr>
          <w:rStyle w:val="relative"/>
          <w:rFonts w:asciiTheme="majorHAnsi" w:hAnsiTheme="majorHAnsi" w:cstheme="majorHAnsi"/>
        </w:rPr>
      </w:pPr>
      <w:r w:rsidRPr="00BB73B5">
        <w:rPr>
          <w:rStyle w:val="Strong"/>
          <w:rFonts w:asciiTheme="majorHAnsi" w:hAnsiTheme="majorHAnsi" w:cstheme="majorHAnsi"/>
          <w:b w:val="0"/>
          <w:bCs w:val="0"/>
        </w:rPr>
        <w:t>Justice &amp; Equitable Treatment</w:t>
      </w:r>
      <w:r w:rsidRPr="00BB73B5">
        <w:br/>
      </w:r>
      <w:r w:rsidRPr="00BB73B5">
        <w:rPr>
          <w:rStyle w:val="relative"/>
          <w:rFonts w:asciiTheme="majorHAnsi" w:hAnsiTheme="majorHAnsi" w:cstheme="majorHAnsi"/>
        </w:rPr>
        <w:t>The smallpox blankets episode represented an imbalance—Inflicting harm without any intended benefit to the population targeted. Ethics today emphasize fair distribution of risks and benefits; here, Indigenous peoples were subject to extreme harm with no reciprocity or redress.</w:t>
      </w:r>
    </w:p>
    <w:p w14:paraId="49880863" w14:textId="77777777" w:rsidR="000F4E8E" w:rsidRPr="00BB73B5" w:rsidRDefault="000F4E8E" w:rsidP="000F4E8E">
      <w:pPr>
        <w:spacing w:line="240" w:lineRule="auto"/>
        <w:contextualSpacing/>
      </w:pPr>
    </w:p>
    <w:p w14:paraId="289C4505" w14:textId="77777777" w:rsidR="00BB73B5" w:rsidRPr="00BB73B5" w:rsidRDefault="00BB73B5" w:rsidP="000F4E8E">
      <w:pPr>
        <w:spacing w:line="240" w:lineRule="auto"/>
        <w:contextualSpacing/>
      </w:pPr>
      <w:r w:rsidRPr="000F4E8E">
        <w:t>Unbiased Reporting &amp; Accountability</w:t>
      </w:r>
      <w:r w:rsidRPr="000F4E8E">
        <w:br/>
      </w:r>
      <w:r w:rsidRPr="00BB73B5">
        <w:rPr>
          <w:rStyle w:val="relative"/>
          <w:rFonts w:asciiTheme="majorHAnsi" w:hAnsiTheme="majorHAnsi" w:cstheme="majorHAnsi"/>
        </w:rPr>
        <w:t>Ethical science requires truthful reporting of both the benefits and harms of research or intervention. Acknowledging wrongdoing is crucial to healing and preventing recurrence. In historical scholarship, giving voice to Indigenous perspectives and documenting traumatic experiences accurately are vital to uphold justice and truth.</w:t>
      </w:r>
    </w:p>
    <w:p w14:paraId="30B9D938" w14:textId="77777777" w:rsidR="000F4E8E" w:rsidRDefault="000F4E8E" w:rsidP="000F4E8E">
      <w:pPr>
        <w:spacing w:line="240" w:lineRule="auto"/>
        <w:contextualSpacing/>
      </w:pPr>
    </w:p>
    <w:p w14:paraId="2FD1A7D1" w14:textId="02B68FDE" w:rsidR="00BB73B5" w:rsidRPr="00BB73B5" w:rsidRDefault="00BB73B5" w:rsidP="000F4E8E">
      <w:pPr>
        <w:spacing w:after="0" w:line="240" w:lineRule="auto"/>
      </w:pPr>
      <w:r w:rsidRPr="00BB73B5">
        <w:t>Conclusion</w:t>
      </w:r>
    </w:p>
    <w:p w14:paraId="191FD2CC" w14:textId="77777777" w:rsidR="00BB73B5" w:rsidRPr="00BB73B5" w:rsidRDefault="00BB73B5" w:rsidP="000F4E8E">
      <w:pPr>
        <w:spacing w:after="0" w:line="240" w:lineRule="auto"/>
        <w:contextualSpacing/>
      </w:pPr>
      <w:r w:rsidRPr="00BB73B5">
        <w:rPr>
          <w:rStyle w:val="relative"/>
          <w:rFonts w:asciiTheme="majorHAnsi" w:hAnsiTheme="majorHAnsi" w:cstheme="majorHAnsi"/>
        </w:rPr>
        <w:t>The Fort Pitt smallpox blanket episode exemplifies how the misapplication of scientific knowledge—without ethical oversight—can serve atrocity. It is a sobering reminder that research ethics, including respect for persons, justice, and unbiased reporting, are non-negotiable. Without them, scientific endeavors risk becoming instruments of oppression rather than progress. Recognizing historical abuses like this ensures we remain vigilant in protecting human dignity and promoting equitable science.</w:t>
      </w:r>
    </w:p>
    <w:p w14:paraId="1948D853" w14:textId="77777777" w:rsidR="000F4E8E" w:rsidRDefault="000F4E8E" w:rsidP="000F4E8E">
      <w:pPr>
        <w:spacing w:line="240" w:lineRule="auto"/>
        <w:contextualSpacing/>
      </w:pPr>
    </w:p>
    <w:p w14:paraId="4D0AF48F" w14:textId="3E107AEE" w:rsidR="00BB73B5" w:rsidRPr="00BB73B5" w:rsidRDefault="00BB73B5" w:rsidP="000F4E8E">
      <w:pPr>
        <w:spacing w:line="240" w:lineRule="auto"/>
        <w:contextualSpacing/>
      </w:pPr>
      <w:r w:rsidRPr="00BB73B5">
        <w:t>Works Cited</w:t>
      </w:r>
    </w:p>
    <w:p w14:paraId="3854F2AF" w14:textId="77777777" w:rsidR="00BB73B5" w:rsidRPr="00BB73B5" w:rsidRDefault="00BB73B5" w:rsidP="000F4E8E">
      <w:pPr>
        <w:spacing w:line="240" w:lineRule="auto"/>
        <w:contextualSpacing/>
      </w:pPr>
      <w:r w:rsidRPr="00BB73B5">
        <w:rPr>
          <w:rStyle w:val="relative"/>
          <w:rFonts w:asciiTheme="majorHAnsi" w:hAnsiTheme="majorHAnsi" w:cstheme="majorHAnsi"/>
        </w:rPr>
        <w:t xml:space="preserve">Anderson, Crucible of War; Jennings, </w:t>
      </w:r>
      <w:r w:rsidRPr="00BB73B5">
        <w:rPr>
          <w:rStyle w:val="Emphasis"/>
          <w:rFonts w:asciiTheme="majorHAnsi" w:hAnsiTheme="majorHAnsi" w:cstheme="majorHAnsi"/>
        </w:rPr>
        <w:t>Empire of Fortune</w:t>
      </w:r>
      <w:r w:rsidRPr="00BB73B5">
        <w:rPr>
          <w:rStyle w:val="relative"/>
          <w:rFonts w:asciiTheme="majorHAnsi" w:hAnsiTheme="majorHAnsi" w:cstheme="majorHAnsi"/>
        </w:rPr>
        <w:t xml:space="preserve">; P. </w:t>
      </w:r>
      <w:proofErr w:type="spellStart"/>
      <w:r w:rsidRPr="00BB73B5">
        <w:rPr>
          <w:rStyle w:val="relative"/>
          <w:rFonts w:asciiTheme="majorHAnsi" w:hAnsiTheme="majorHAnsi" w:cstheme="majorHAnsi"/>
        </w:rPr>
        <w:t>Ranlet</w:t>
      </w:r>
      <w:proofErr w:type="spellEnd"/>
      <w:r w:rsidRPr="00BB73B5">
        <w:rPr>
          <w:rStyle w:val="relative"/>
          <w:rFonts w:asciiTheme="majorHAnsi" w:hAnsiTheme="majorHAnsi" w:cstheme="majorHAnsi"/>
        </w:rPr>
        <w:t xml:space="preserve">. “The British, the Indians, and Smallpox: What Actually Happened at Fort Pitt in 1763?” </w:t>
      </w:r>
      <w:r w:rsidRPr="00BB73B5">
        <w:rPr>
          <w:rStyle w:val="Emphasis"/>
          <w:rFonts w:asciiTheme="majorHAnsi" w:hAnsiTheme="majorHAnsi" w:cstheme="majorHAnsi"/>
        </w:rPr>
        <w:t>Pennsylvania History</w:t>
      </w:r>
      <w:r w:rsidRPr="00BB73B5">
        <w:rPr>
          <w:rStyle w:val="relative"/>
          <w:rFonts w:asciiTheme="majorHAnsi" w:hAnsiTheme="majorHAnsi" w:cstheme="majorHAnsi"/>
        </w:rPr>
        <w:t xml:space="preserve">, 2000. </w:t>
      </w:r>
      <w:r w:rsidRPr="00BB73B5">
        <w:rPr>
          <w:rStyle w:val="Emphasis"/>
          <w:rFonts w:asciiTheme="majorHAnsi" w:hAnsiTheme="majorHAnsi" w:cstheme="majorHAnsi"/>
        </w:rPr>
        <w:t>(As referenced in Wikipedia)</w:t>
      </w:r>
      <w:r w:rsidRPr="00BB73B5">
        <w:t xml:space="preserve"> </w:t>
      </w:r>
      <w:hyperlink r:id="rId17" w:tgtFrame="_blank" w:history="1">
        <w:r w:rsidRPr="00BB73B5">
          <w:rPr>
            <w:rStyle w:val="max-w-full"/>
            <w:rFonts w:asciiTheme="majorHAnsi" w:hAnsiTheme="majorHAnsi" w:cstheme="majorHAnsi"/>
            <w:color w:val="0000FF"/>
            <w:u w:val="single"/>
          </w:rPr>
          <w:t>Wikipedia</w:t>
        </w:r>
      </w:hyperlink>
    </w:p>
    <w:p w14:paraId="2DEEEA28" w14:textId="77777777" w:rsidR="00BB73B5" w:rsidRPr="00BB73B5" w:rsidRDefault="00BB73B5" w:rsidP="000F4E8E">
      <w:pPr>
        <w:spacing w:line="240" w:lineRule="auto"/>
        <w:contextualSpacing/>
      </w:pPr>
      <w:r w:rsidRPr="00BB73B5">
        <w:rPr>
          <w:rStyle w:val="relative"/>
          <w:rFonts w:asciiTheme="majorHAnsi" w:hAnsiTheme="majorHAnsi" w:cstheme="majorHAnsi"/>
        </w:rPr>
        <w:t xml:space="preserve">“How Commonly Was Smallpox Used as a Biological Weapon?” </w:t>
      </w:r>
      <w:r w:rsidRPr="00BB73B5">
        <w:rPr>
          <w:rStyle w:val="Emphasis"/>
          <w:rFonts w:asciiTheme="majorHAnsi" w:hAnsiTheme="majorHAnsi" w:cstheme="majorHAnsi"/>
        </w:rPr>
        <w:t>JSTOR Daily</w:t>
      </w:r>
      <w:r w:rsidRPr="00BB73B5">
        <w:rPr>
          <w:rStyle w:val="relative"/>
          <w:rFonts w:asciiTheme="majorHAnsi" w:hAnsiTheme="majorHAnsi" w:cstheme="majorHAnsi"/>
        </w:rPr>
        <w:t>, April 4, 2021.</w:t>
      </w:r>
      <w:r w:rsidRPr="00BB73B5">
        <w:t xml:space="preserve"> </w:t>
      </w:r>
      <w:hyperlink r:id="rId18" w:tgtFrame="_blank" w:history="1">
        <w:r w:rsidRPr="00BB73B5">
          <w:rPr>
            <w:rStyle w:val="max-w-full"/>
            <w:rFonts w:asciiTheme="majorHAnsi" w:hAnsiTheme="majorHAnsi" w:cstheme="majorHAnsi"/>
            <w:color w:val="0000FF"/>
            <w:u w:val="single"/>
          </w:rPr>
          <w:t>PMC</w:t>
        </w:r>
        <w:r w:rsidRPr="00BB73B5">
          <w:rPr>
            <w:rStyle w:val="-me-1"/>
            <w:rFonts w:asciiTheme="majorHAnsi" w:hAnsiTheme="majorHAnsi" w:cstheme="majorHAnsi"/>
            <w:color w:val="0000FF"/>
            <w:u w:val="single"/>
          </w:rPr>
          <w:t>+7</w:t>
        </w:r>
        <w:r w:rsidRPr="00BB73B5">
          <w:rPr>
            <w:rStyle w:val="max-w-full"/>
            <w:rFonts w:asciiTheme="majorHAnsi" w:hAnsiTheme="majorHAnsi" w:cstheme="majorHAnsi"/>
            <w:color w:val="0000FF"/>
            <w:u w:val="single"/>
          </w:rPr>
          <w:t>JSTOR Daily</w:t>
        </w:r>
        <w:r w:rsidRPr="00BB73B5">
          <w:rPr>
            <w:rStyle w:val="-me-1"/>
            <w:rFonts w:asciiTheme="majorHAnsi" w:hAnsiTheme="majorHAnsi" w:cstheme="majorHAnsi"/>
            <w:color w:val="0000FF"/>
            <w:u w:val="single"/>
          </w:rPr>
          <w:t>+7</w:t>
        </w:r>
        <w:r w:rsidRPr="00BB73B5">
          <w:rPr>
            <w:rStyle w:val="max-w-full"/>
            <w:rFonts w:asciiTheme="majorHAnsi" w:hAnsiTheme="majorHAnsi" w:cstheme="majorHAnsi"/>
            <w:color w:val="0000FF"/>
            <w:u w:val="single"/>
          </w:rPr>
          <w:t>Infectious Diseases Journal</w:t>
        </w:r>
        <w:r w:rsidRPr="00BB73B5">
          <w:rPr>
            <w:rStyle w:val="-me-1"/>
            <w:rFonts w:asciiTheme="majorHAnsi" w:hAnsiTheme="majorHAnsi" w:cstheme="majorHAnsi"/>
            <w:color w:val="0000FF"/>
            <w:u w:val="single"/>
          </w:rPr>
          <w:t>+7</w:t>
        </w:r>
      </w:hyperlink>
    </w:p>
    <w:p w14:paraId="4199DE6B" w14:textId="77777777" w:rsidR="00BB73B5" w:rsidRPr="00BB73B5" w:rsidRDefault="00BB73B5" w:rsidP="000F4E8E">
      <w:pPr>
        <w:spacing w:line="240" w:lineRule="auto"/>
        <w:contextualSpacing/>
      </w:pPr>
      <w:r w:rsidRPr="00BB73B5">
        <w:rPr>
          <w:rStyle w:val="relative"/>
          <w:rFonts w:asciiTheme="majorHAnsi" w:hAnsiTheme="majorHAnsi" w:cstheme="majorHAnsi"/>
        </w:rPr>
        <w:t xml:space="preserve">Investigating the Smallpox Blanket Controversy. </w:t>
      </w:r>
      <w:r w:rsidRPr="00BB73B5">
        <w:rPr>
          <w:rStyle w:val="Emphasis"/>
          <w:rFonts w:asciiTheme="majorHAnsi" w:hAnsiTheme="majorHAnsi" w:cstheme="majorHAnsi"/>
        </w:rPr>
        <w:t>ASM (American Society for Microbiology)</w:t>
      </w:r>
      <w:r w:rsidRPr="00BB73B5">
        <w:rPr>
          <w:rStyle w:val="relative"/>
          <w:rFonts w:asciiTheme="majorHAnsi" w:hAnsiTheme="majorHAnsi" w:cstheme="majorHAnsi"/>
        </w:rPr>
        <w:t>, November 15, 2023.</w:t>
      </w:r>
      <w:r w:rsidRPr="00BB73B5">
        <w:t xml:space="preserve"> </w:t>
      </w:r>
      <w:hyperlink r:id="rId19" w:tgtFrame="_blank" w:history="1">
        <w:r w:rsidRPr="00BB73B5">
          <w:rPr>
            <w:rStyle w:val="max-w-full"/>
            <w:rFonts w:asciiTheme="majorHAnsi" w:hAnsiTheme="majorHAnsi" w:cstheme="majorHAnsi"/>
            <w:color w:val="0000FF"/>
            <w:u w:val="single"/>
          </w:rPr>
          <w:t>Infectious Diseases Journal</w:t>
        </w:r>
        <w:r w:rsidRPr="00BB73B5">
          <w:rPr>
            <w:rStyle w:val="-me-1"/>
            <w:rFonts w:asciiTheme="majorHAnsi" w:hAnsiTheme="majorHAnsi" w:cstheme="majorHAnsi"/>
            <w:color w:val="0000FF"/>
            <w:u w:val="single"/>
          </w:rPr>
          <w:t>+5</w:t>
        </w:r>
        <w:r w:rsidRPr="00BB73B5">
          <w:rPr>
            <w:rStyle w:val="max-w-full"/>
            <w:rFonts w:asciiTheme="majorHAnsi" w:hAnsiTheme="majorHAnsi" w:cstheme="majorHAnsi"/>
            <w:color w:val="0000FF"/>
            <w:u w:val="single"/>
          </w:rPr>
          <w:t>ASM.org</w:t>
        </w:r>
        <w:r w:rsidRPr="00BB73B5">
          <w:rPr>
            <w:rStyle w:val="-me-1"/>
            <w:rFonts w:asciiTheme="majorHAnsi" w:hAnsiTheme="majorHAnsi" w:cstheme="majorHAnsi"/>
            <w:color w:val="0000FF"/>
            <w:u w:val="single"/>
          </w:rPr>
          <w:t>+5</w:t>
        </w:r>
        <w:r w:rsidRPr="00BB73B5">
          <w:rPr>
            <w:rStyle w:val="max-w-full"/>
            <w:rFonts w:asciiTheme="majorHAnsi" w:hAnsiTheme="majorHAnsi" w:cstheme="majorHAnsi"/>
            <w:color w:val="0000FF"/>
            <w:u w:val="single"/>
          </w:rPr>
          <w:t>Taylor &amp; Francis Online</w:t>
        </w:r>
        <w:r w:rsidRPr="00BB73B5">
          <w:rPr>
            <w:rStyle w:val="-me-1"/>
            <w:rFonts w:asciiTheme="majorHAnsi" w:hAnsiTheme="majorHAnsi" w:cstheme="majorHAnsi"/>
            <w:color w:val="0000FF"/>
            <w:u w:val="single"/>
          </w:rPr>
          <w:t>+5</w:t>
        </w:r>
      </w:hyperlink>
    </w:p>
    <w:p w14:paraId="46F67933" w14:textId="77777777" w:rsidR="00BB73B5" w:rsidRPr="00BB73B5" w:rsidRDefault="00BB73B5" w:rsidP="000F4E8E">
      <w:pPr>
        <w:spacing w:line="240" w:lineRule="auto"/>
        <w:contextualSpacing/>
      </w:pPr>
      <w:r w:rsidRPr="00BB73B5">
        <w:rPr>
          <w:rStyle w:val="relative"/>
          <w:rFonts w:asciiTheme="majorHAnsi" w:hAnsiTheme="majorHAnsi" w:cstheme="majorHAnsi"/>
        </w:rPr>
        <w:lastRenderedPageBreak/>
        <w:t xml:space="preserve">“History of Biological Warfare.” </w:t>
      </w:r>
      <w:r w:rsidRPr="00BB73B5">
        <w:rPr>
          <w:rStyle w:val="Emphasis"/>
          <w:rFonts w:asciiTheme="majorHAnsi" w:hAnsiTheme="majorHAnsi" w:cstheme="majorHAnsi"/>
        </w:rPr>
        <w:t>Wikipedia</w:t>
      </w:r>
      <w:r w:rsidRPr="00BB73B5">
        <w:rPr>
          <w:rStyle w:val="relative"/>
          <w:rFonts w:asciiTheme="majorHAnsi" w:hAnsiTheme="majorHAnsi" w:cstheme="majorHAnsi"/>
        </w:rPr>
        <w:t>, last month.</w:t>
      </w:r>
      <w:r w:rsidRPr="00BB73B5">
        <w:t xml:space="preserve"> </w:t>
      </w:r>
      <w:hyperlink r:id="rId20" w:tgtFrame="_blank" w:history="1">
        <w:r w:rsidRPr="00BB73B5">
          <w:rPr>
            <w:rStyle w:val="max-w-full"/>
            <w:rFonts w:asciiTheme="majorHAnsi" w:hAnsiTheme="majorHAnsi" w:cstheme="majorHAnsi"/>
            <w:color w:val="0000FF"/>
            <w:u w:val="single"/>
          </w:rPr>
          <w:t>Wikipedia</w:t>
        </w:r>
        <w:r w:rsidRPr="00BB73B5">
          <w:rPr>
            <w:rStyle w:val="-me-1"/>
            <w:rFonts w:asciiTheme="majorHAnsi" w:hAnsiTheme="majorHAnsi" w:cstheme="majorHAnsi"/>
            <w:color w:val="0000FF"/>
            <w:u w:val="single"/>
          </w:rPr>
          <w:t>+1</w:t>
        </w:r>
      </w:hyperlink>
    </w:p>
    <w:p w14:paraId="31F2B6C0" w14:textId="69FAFEAC" w:rsidR="00BB73B5" w:rsidRDefault="00BB73B5" w:rsidP="000F4E8E">
      <w:pPr>
        <w:spacing w:line="240" w:lineRule="auto"/>
        <w:contextualSpacing/>
      </w:pPr>
    </w:p>
    <w:p w14:paraId="5D0904F8" w14:textId="77777777" w:rsidR="000F4E8E" w:rsidRPr="00BB73B5" w:rsidRDefault="000F4E8E" w:rsidP="000F4E8E">
      <w:pPr>
        <w:spacing w:line="240" w:lineRule="auto"/>
        <w:contextualSpacing/>
      </w:pPr>
    </w:p>
    <w:p w14:paraId="45394745" w14:textId="0CA2ED91" w:rsidR="00BB73B5" w:rsidRPr="002E2EF3" w:rsidRDefault="00BB73B5" w:rsidP="000F4E8E">
      <w:pPr>
        <w:spacing w:line="240" w:lineRule="auto"/>
        <w:contextualSpacing/>
        <w:rPr>
          <w:rStyle w:val="Strong"/>
          <w:rFonts w:asciiTheme="majorHAnsi" w:hAnsiTheme="majorHAnsi" w:cstheme="majorHAnsi"/>
        </w:rPr>
      </w:pPr>
      <w:r w:rsidRPr="002E2EF3">
        <w:rPr>
          <w:rStyle w:val="Strong"/>
          <w:rFonts w:asciiTheme="majorHAnsi" w:hAnsiTheme="majorHAnsi" w:cstheme="majorHAnsi"/>
        </w:rPr>
        <w:t>Case Study: Philip Morris and the Ethics of Cigarette Production Research</w:t>
      </w:r>
    </w:p>
    <w:p w14:paraId="618080B5" w14:textId="3E28617E" w:rsidR="002E2EF3" w:rsidRPr="002E2EF3" w:rsidRDefault="002E2EF3" w:rsidP="000F4E8E">
      <w:pPr>
        <w:spacing w:line="240" w:lineRule="auto"/>
        <w:contextualSpacing/>
        <w:rPr>
          <w:rStyle w:val="Strong"/>
          <w:rFonts w:asciiTheme="majorHAnsi" w:hAnsiTheme="majorHAnsi" w:cstheme="majorHAnsi"/>
        </w:rPr>
      </w:pPr>
      <w:r w:rsidRPr="002E2EF3">
        <w:rPr>
          <w:rStyle w:val="Strong"/>
          <w:rFonts w:asciiTheme="majorHAnsi" w:hAnsiTheme="majorHAnsi" w:cstheme="majorHAnsi"/>
        </w:rPr>
        <w:t>Stella Glantz</w:t>
      </w:r>
    </w:p>
    <w:p w14:paraId="4C791F4F" w14:textId="19D67FF7" w:rsidR="002E2EF3" w:rsidRPr="002E2EF3" w:rsidRDefault="002E2EF3" w:rsidP="000F4E8E">
      <w:pPr>
        <w:spacing w:line="240" w:lineRule="auto"/>
        <w:contextualSpacing/>
        <w:rPr>
          <w:rStyle w:val="Strong"/>
          <w:rFonts w:asciiTheme="majorHAnsi" w:hAnsiTheme="majorHAnsi" w:cstheme="majorHAnsi"/>
        </w:rPr>
      </w:pPr>
      <w:r w:rsidRPr="002E2EF3">
        <w:rPr>
          <w:rStyle w:val="Strong"/>
          <w:rFonts w:asciiTheme="majorHAnsi" w:hAnsiTheme="majorHAnsi" w:cstheme="majorHAnsi"/>
        </w:rPr>
        <w:t>Human Anatomy &amp; Physiology</w:t>
      </w:r>
    </w:p>
    <w:p w14:paraId="54F7E2E6" w14:textId="77777777" w:rsidR="002E2EF3" w:rsidRPr="00BB73B5" w:rsidRDefault="002E2EF3" w:rsidP="000F4E8E">
      <w:pPr>
        <w:spacing w:line="240" w:lineRule="auto"/>
        <w:contextualSpacing/>
      </w:pPr>
    </w:p>
    <w:p w14:paraId="02E8A4E2" w14:textId="77777777" w:rsidR="00BB73B5" w:rsidRPr="00BB73B5" w:rsidRDefault="00BB73B5" w:rsidP="000F4E8E">
      <w:pPr>
        <w:spacing w:line="240" w:lineRule="auto"/>
        <w:contextualSpacing/>
      </w:pPr>
      <w:r w:rsidRPr="00BB73B5">
        <w:t>Introduction</w:t>
      </w:r>
    </w:p>
    <w:p w14:paraId="320A32EA" w14:textId="77777777" w:rsidR="00BB73B5" w:rsidRPr="00BB73B5" w:rsidRDefault="00BB73B5" w:rsidP="000F4E8E">
      <w:pPr>
        <w:spacing w:line="240" w:lineRule="auto"/>
        <w:contextualSpacing/>
      </w:pPr>
      <w:r w:rsidRPr="00BB73B5">
        <w:t>The Philip Morris cigarette production case highlights one of the most troubling intersections between corporate interests and scientific research. For decades, tobacco companies like Philip Morris manipulated research, withheld critical health data, and engaged in campaigns of misinformation to protect profits. This behavior not only violated ethical principles of honesty and transparency but also cost millions of lives globally. This essay argues that the Philip Morris case demonstrates the dangers of biased research and the necessity of strict research ethics and unbiased reporting to ensure that science serves public health rather than corporate interests.</w:t>
      </w:r>
    </w:p>
    <w:p w14:paraId="4C50196B" w14:textId="34C7A468" w:rsidR="00BB73B5" w:rsidRPr="00BB73B5" w:rsidRDefault="00BB73B5" w:rsidP="000F4E8E">
      <w:pPr>
        <w:spacing w:line="240" w:lineRule="auto"/>
        <w:contextualSpacing/>
      </w:pPr>
    </w:p>
    <w:p w14:paraId="37EC099E" w14:textId="77777777" w:rsidR="00BB73B5" w:rsidRPr="00BB73B5" w:rsidRDefault="00BB73B5" w:rsidP="000F4E8E">
      <w:pPr>
        <w:spacing w:line="240" w:lineRule="auto"/>
        <w:contextualSpacing/>
      </w:pPr>
      <w:r w:rsidRPr="00BB73B5">
        <w:t>Background of the Case</w:t>
      </w:r>
    </w:p>
    <w:p w14:paraId="7539D3E1" w14:textId="77777777" w:rsidR="00BB73B5" w:rsidRPr="00BB73B5" w:rsidRDefault="00BB73B5" w:rsidP="000F4E8E">
      <w:pPr>
        <w:spacing w:line="240" w:lineRule="auto"/>
        <w:contextualSpacing/>
      </w:pPr>
      <w:r w:rsidRPr="00BB73B5">
        <w:t>Philip Morris International, one of the largest tobacco companies in the world, became notorious for its role in concealing and distorting evidence about the harmful effects of smoking. Beginning in the mid-20th century, as epidemiological research increasingly linked smoking to lung cancer, heart disease, and other health risks, Philip Morris and other tobacco companies launched efforts to create doubt about these findings.</w:t>
      </w:r>
    </w:p>
    <w:p w14:paraId="551F81E9" w14:textId="77777777" w:rsidR="000F4E8E" w:rsidRDefault="000F4E8E" w:rsidP="000F4E8E">
      <w:pPr>
        <w:spacing w:line="240" w:lineRule="auto"/>
        <w:contextualSpacing/>
      </w:pPr>
    </w:p>
    <w:p w14:paraId="468244A4" w14:textId="1103AD64" w:rsidR="00BB73B5" w:rsidRPr="00BB73B5" w:rsidRDefault="00BB73B5" w:rsidP="000F4E8E">
      <w:pPr>
        <w:spacing w:line="240" w:lineRule="auto"/>
        <w:contextualSpacing/>
      </w:pPr>
      <w:r w:rsidRPr="00BB73B5">
        <w:t>Internal company documents, released during U.S. litigation in the 1990s, revealed that Philip Morris scientists were aware of the dangers of tobacco use as early as the 1950s. Yet, rather than publishing accurate assessments, the company funded “safe cigarette” projects, commissioned biased studies, and created organizations such as the Tobacco Industry Research Committee to promote the idea that the evidence against smoking was “inconclusive” (Proctor 17). These strategies delayed regulatory action and contributed to ongoing public confusion about smoking risks.</w:t>
      </w:r>
    </w:p>
    <w:p w14:paraId="7E835FEB" w14:textId="77777777" w:rsidR="000F4E8E" w:rsidRDefault="000F4E8E" w:rsidP="000F4E8E">
      <w:pPr>
        <w:spacing w:line="240" w:lineRule="auto"/>
        <w:contextualSpacing/>
      </w:pPr>
    </w:p>
    <w:p w14:paraId="4A8CD579" w14:textId="75A9648D" w:rsidR="00BB73B5" w:rsidRPr="00BB73B5" w:rsidRDefault="00BB73B5" w:rsidP="000F4E8E">
      <w:pPr>
        <w:spacing w:line="240" w:lineRule="auto"/>
        <w:contextualSpacing/>
      </w:pPr>
      <w:r w:rsidRPr="00BB73B5">
        <w:t>Ethical Issues</w:t>
      </w:r>
    </w:p>
    <w:p w14:paraId="17E66724" w14:textId="77777777" w:rsidR="00BB73B5" w:rsidRPr="00BB73B5" w:rsidRDefault="00BB73B5" w:rsidP="000F4E8E">
      <w:pPr>
        <w:spacing w:line="240" w:lineRule="auto"/>
        <w:contextualSpacing/>
      </w:pPr>
      <w:r w:rsidRPr="00BB73B5">
        <w:rPr>
          <w:rStyle w:val="Strong"/>
          <w:rFonts w:asciiTheme="majorHAnsi" w:hAnsiTheme="majorHAnsi" w:cstheme="majorHAnsi"/>
          <w:b w:val="0"/>
          <w:bCs w:val="0"/>
        </w:rPr>
        <w:t>1. Suppression of Scientific Data</w:t>
      </w:r>
      <w:r w:rsidRPr="00BB73B5">
        <w:br/>
        <w:t>The most significant ethical violation by Philip Morris was the deliberate suppression of evidence. By withholding internal research that confirmed the dangers of smoking, the company violated the ethical obligation of transparency. Ethical science requires that findings, whether favorable or unfavorable, be disclosed honestly.</w:t>
      </w:r>
    </w:p>
    <w:p w14:paraId="457487F6" w14:textId="77777777" w:rsidR="000F4E8E" w:rsidRDefault="000F4E8E" w:rsidP="000F4E8E">
      <w:pPr>
        <w:spacing w:line="240" w:lineRule="auto"/>
        <w:contextualSpacing/>
        <w:rPr>
          <w:rStyle w:val="Strong"/>
          <w:rFonts w:asciiTheme="majorHAnsi" w:hAnsiTheme="majorHAnsi" w:cstheme="majorHAnsi"/>
          <w:b w:val="0"/>
          <w:bCs w:val="0"/>
        </w:rPr>
      </w:pPr>
    </w:p>
    <w:p w14:paraId="7D0F7DEE" w14:textId="4B6D9185" w:rsidR="00BB73B5" w:rsidRPr="00BB73B5" w:rsidRDefault="00BB73B5" w:rsidP="000F4E8E">
      <w:pPr>
        <w:spacing w:line="240" w:lineRule="auto"/>
        <w:contextualSpacing/>
      </w:pPr>
      <w:r w:rsidRPr="00BB73B5">
        <w:rPr>
          <w:rStyle w:val="Strong"/>
          <w:rFonts w:asciiTheme="majorHAnsi" w:hAnsiTheme="majorHAnsi" w:cstheme="majorHAnsi"/>
          <w:b w:val="0"/>
          <w:bCs w:val="0"/>
        </w:rPr>
        <w:t>2. Manipulation and Bias in Research</w:t>
      </w:r>
      <w:r w:rsidRPr="00BB73B5">
        <w:br/>
        <w:t>Philip Morris engaged in the strategic funding of biased research designed to minimize the dangers of smoking or emphasize alternative explanations, such as genetic predisposition or pollution (Brandt 255). This introduced systemic bias into the scientific record, misleading both the public and policymakers.</w:t>
      </w:r>
    </w:p>
    <w:p w14:paraId="1809CF97" w14:textId="77777777" w:rsidR="000F4E8E" w:rsidRDefault="000F4E8E" w:rsidP="000F4E8E">
      <w:pPr>
        <w:spacing w:line="240" w:lineRule="auto"/>
        <w:contextualSpacing/>
        <w:rPr>
          <w:rStyle w:val="Strong"/>
          <w:rFonts w:asciiTheme="majorHAnsi" w:hAnsiTheme="majorHAnsi" w:cstheme="majorHAnsi"/>
          <w:b w:val="0"/>
          <w:bCs w:val="0"/>
        </w:rPr>
      </w:pPr>
    </w:p>
    <w:p w14:paraId="565F19F5" w14:textId="0F3FA782" w:rsidR="00BB73B5" w:rsidRDefault="00BB73B5" w:rsidP="000F4E8E">
      <w:pPr>
        <w:spacing w:line="240" w:lineRule="auto"/>
        <w:contextualSpacing/>
      </w:pPr>
      <w:r w:rsidRPr="00BB73B5">
        <w:rPr>
          <w:rStyle w:val="Strong"/>
          <w:rFonts w:asciiTheme="majorHAnsi" w:hAnsiTheme="majorHAnsi" w:cstheme="majorHAnsi"/>
          <w:b w:val="0"/>
          <w:bCs w:val="0"/>
        </w:rPr>
        <w:t>3. Public Health Harm</w:t>
      </w:r>
      <w:r w:rsidRPr="00BB73B5">
        <w:br/>
        <w:t xml:space="preserve">Ethical research is guided by beneficence—maximizing benefits and minimizing harm. By promoting doubt about smoking risks, Philip Morris prioritized profit over public health, directly contributing to </w:t>
      </w:r>
      <w:r w:rsidRPr="00BB73B5">
        <w:lastRenderedPageBreak/>
        <w:t>preventable disease and death. This case illustrates how biased research is not just academically problematic but has devastating human consequences.</w:t>
      </w:r>
    </w:p>
    <w:p w14:paraId="5E521D6C" w14:textId="77777777" w:rsidR="000F4E8E" w:rsidRPr="00BB73B5" w:rsidRDefault="000F4E8E" w:rsidP="000F4E8E">
      <w:pPr>
        <w:spacing w:line="240" w:lineRule="auto"/>
        <w:contextualSpacing/>
      </w:pPr>
    </w:p>
    <w:p w14:paraId="04F31E0A" w14:textId="77777777" w:rsidR="00BB73B5" w:rsidRPr="00BB73B5" w:rsidRDefault="00BB73B5" w:rsidP="000F4E8E">
      <w:pPr>
        <w:spacing w:line="240" w:lineRule="auto"/>
        <w:contextualSpacing/>
      </w:pPr>
      <w:r w:rsidRPr="00BB73B5">
        <w:t>Consequences and Lessons</w:t>
      </w:r>
    </w:p>
    <w:p w14:paraId="7DD428D7" w14:textId="75549E7D" w:rsidR="00BB73B5" w:rsidRDefault="00BB73B5" w:rsidP="000F4E8E">
      <w:pPr>
        <w:spacing w:line="240" w:lineRule="auto"/>
        <w:contextualSpacing/>
      </w:pPr>
      <w:r w:rsidRPr="00BB73B5">
        <w:t>The consequences of Philip Morris’s unethical practices are staggering. Smoking remains the leading cause of preventable death worldwide, linked to over 8 million deaths annually according to the World Health Organization (WHO). The delay in effective regulation—due in part to industry misinformation—magnified the scale of the epidemic.</w:t>
      </w:r>
    </w:p>
    <w:p w14:paraId="4A5112DA" w14:textId="77777777" w:rsidR="000F4E8E" w:rsidRPr="00BB73B5" w:rsidRDefault="000F4E8E" w:rsidP="000F4E8E">
      <w:pPr>
        <w:spacing w:line="240" w:lineRule="auto"/>
        <w:contextualSpacing/>
      </w:pPr>
    </w:p>
    <w:p w14:paraId="4F2FBDAF" w14:textId="77777777" w:rsidR="00BB73B5" w:rsidRPr="00BB73B5" w:rsidRDefault="00BB73B5" w:rsidP="000F4E8E">
      <w:pPr>
        <w:spacing w:line="240" w:lineRule="auto"/>
        <w:contextualSpacing/>
      </w:pPr>
      <w:r w:rsidRPr="00BB73B5">
        <w:t>Legal consequences followed as well. In the 1998 U.S. Master Settlement Agreement, Philip Morris and other tobacco companies agreed to pay over $200 billion in damages and disclose millions of internal documents. These revelations confirmed decades of deliberate deception.</w:t>
      </w:r>
    </w:p>
    <w:p w14:paraId="758CCCE5" w14:textId="77777777" w:rsidR="00BB73B5" w:rsidRPr="00BB73B5" w:rsidRDefault="00BB73B5" w:rsidP="000F4E8E">
      <w:pPr>
        <w:spacing w:line="240" w:lineRule="auto"/>
        <w:contextualSpacing/>
      </w:pPr>
      <w:r w:rsidRPr="00BB73B5">
        <w:t>The key lesson from this case is that research conducted under the influence of corporate interests is especially vulnerable to bias. Safeguards such as independent peer review, conflict-of-interest disclosures, and strong regulation are essential to prevent similar ethical breaches.</w:t>
      </w:r>
    </w:p>
    <w:p w14:paraId="40CF8CAD" w14:textId="77777777" w:rsidR="000F4E8E" w:rsidRDefault="000F4E8E" w:rsidP="000F4E8E">
      <w:pPr>
        <w:spacing w:line="240" w:lineRule="auto"/>
        <w:contextualSpacing/>
      </w:pPr>
    </w:p>
    <w:p w14:paraId="7207BE32" w14:textId="6C52D558" w:rsidR="00BB73B5" w:rsidRPr="00BB73B5" w:rsidRDefault="00BB73B5" w:rsidP="000F4E8E">
      <w:pPr>
        <w:spacing w:line="240" w:lineRule="auto"/>
        <w:contextualSpacing/>
      </w:pPr>
      <w:r w:rsidRPr="00BB73B5">
        <w:t>Application of Research Ethics and Unbiased Assessment</w:t>
      </w:r>
    </w:p>
    <w:p w14:paraId="2E186606" w14:textId="77777777" w:rsidR="00BB73B5" w:rsidRPr="00BB73B5" w:rsidRDefault="00BB73B5" w:rsidP="000F4E8E">
      <w:pPr>
        <w:spacing w:line="240" w:lineRule="auto"/>
        <w:contextualSpacing/>
      </w:pPr>
      <w:r w:rsidRPr="00BB73B5">
        <w:t>The Philip Morris case demonstrates how research ethics could have altered outcomes.</w:t>
      </w:r>
    </w:p>
    <w:p w14:paraId="20620B29" w14:textId="77777777" w:rsidR="000F4E8E" w:rsidRDefault="000F4E8E" w:rsidP="000F4E8E">
      <w:pPr>
        <w:spacing w:line="240" w:lineRule="auto"/>
        <w:contextualSpacing/>
        <w:rPr>
          <w:rStyle w:val="Strong"/>
          <w:rFonts w:asciiTheme="majorHAnsi" w:hAnsiTheme="majorHAnsi" w:cstheme="majorHAnsi"/>
          <w:b w:val="0"/>
          <w:bCs w:val="0"/>
        </w:rPr>
      </w:pPr>
    </w:p>
    <w:p w14:paraId="790EB058" w14:textId="04BB4C12" w:rsidR="00BB73B5" w:rsidRPr="00BB73B5" w:rsidRDefault="00BB73B5" w:rsidP="000F4E8E">
      <w:pPr>
        <w:spacing w:line="240" w:lineRule="auto"/>
        <w:contextualSpacing/>
      </w:pPr>
      <w:r w:rsidRPr="00BB73B5">
        <w:rPr>
          <w:rStyle w:val="Strong"/>
          <w:rFonts w:asciiTheme="majorHAnsi" w:hAnsiTheme="majorHAnsi" w:cstheme="majorHAnsi"/>
          <w:b w:val="0"/>
          <w:bCs w:val="0"/>
        </w:rPr>
        <w:t>Honesty and Transparency</w:t>
      </w:r>
      <w:r w:rsidRPr="00BB73B5">
        <w:br/>
        <w:t>If Philip Morris scientists had reported their findings honestly, the dangers of smoking could have been communicated to the public much earlier. Transparent disclosure of results is fundamental to unbiased scientific assessment.</w:t>
      </w:r>
    </w:p>
    <w:p w14:paraId="2A61CB26" w14:textId="77777777" w:rsidR="000F4E8E" w:rsidRDefault="000F4E8E" w:rsidP="000F4E8E">
      <w:pPr>
        <w:spacing w:line="240" w:lineRule="auto"/>
        <w:contextualSpacing/>
        <w:rPr>
          <w:rStyle w:val="Strong"/>
          <w:rFonts w:asciiTheme="majorHAnsi" w:hAnsiTheme="majorHAnsi" w:cstheme="majorHAnsi"/>
          <w:b w:val="0"/>
          <w:bCs w:val="0"/>
        </w:rPr>
      </w:pPr>
    </w:p>
    <w:p w14:paraId="43901AB4" w14:textId="49039B18" w:rsidR="00BB73B5" w:rsidRPr="00BB73B5" w:rsidRDefault="00BB73B5" w:rsidP="000F4E8E">
      <w:pPr>
        <w:spacing w:line="240" w:lineRule="auto"/>
        <w:contextualSpacing/>
      </w:pPr>
      <w:r w:rsidRPr="00BB73B5">
        <w:rPr>
          <w:rStyle w:val="Strong"/>
          <w:rFonts w:asciiTheme="majorHAnsi" w:hAnsiTheme="majorHAnsi" w:cstheme="majorHAnsi"/>
          <w:b w:val="0"/>
          <w:bCs w:val="0"/>
        </w:rPr>
        <w:t>Conflict of Interest Management</w:t>
      </w:r>
      <w:r w:rsidRPr="00BB73B5">
        <w:br/>
        <w:t>Modern research ethics emphasize declaring and managing conflicts of interest. Had tobacco-funded research been scrutinized with such standards, its credibility would have been questioned, preventing biased studies from dominating public discourse.</w:t>
      </w:r>
    </w:p>
    <w:p w14:paraId="7CF11D72" w14:textId="77777777" w:rsidR="000F4E8E" w:rsidRDefault="000F4E8E" w:rsidP="000F4E8E">
      <w:pPr>
        <w:spacing w:line="240" w:lineRule="auto"/>
        <w:contextualSpacing/>
        <w:rPr>
          <w:rStyle w:val="Strong"/>
          <w:rFonts w:asciiTheme="majorHAnsi" w:hAnsiTheme="majorHAnsi" w:cstheme="majorHAnsi"/>
          <w:b w:val="0"/>
          <w:bCs w:val="0"/>
        </w:rPr>
      </w:pPr>
    </w:p>
    <w:p w14:paraId="0A5D3340" w14:textId="4216BA2D" w:rsidR="00BB73B5" w:rsidRPr="00BB73B5" w:rsidRDefault="00BB73B5" w:rsidP="000F4E8E">
      <w:pPr>
        <w:spacing w:line="240" w:lineRule="auto"/>
        <w:contextualSpacing/>
      </w:pPr>
      <w:r w:rsidRPr="00BB73B5">
        <w:rPr>
          <w:rStyle w:val="Strong"/>
          <w:rFonts w:asciiTheme="majorHAnsi" w:hAnsiTheme="majorHAnsi" w:cstheme="majorHAnsi"/>
          <w:b w:val="0"/>
          <w:bCs w:val="0"/>
        </w:rPr>
        <w:t>Justice and Public Responsibility</w:t>
      </w:r>
      <w:r w:rsidRPr="00BB73B5">
        <w:br/>
        <w:t>Ethical frameworks highlight the principle of justice—ensuring fair distribution of risks and benefits. Philip Morris’s actions unfairly placed the risks on the public while reaping enormous profits. Ethical responsibility to society requires that scientific knowledge serve the public good, not corporate gain.</w:t>
      </w:r>
    </w:p>
    <w:p w14:paraId="6C8B966D" w14:textId="77777777" w:rsidR="000F4E8E" w:rsidRDefault="000F4E8E" w:rsidP="000F4E8E">
      <w:pPr>
        <w:spacing w:line="240" w:lineRule="auto"/>
        <w:contextualSpacing/>
        <w:rPr>
          <w:rStyle w:val="Strong"/>
          <w:rFonts w:asciiTheme="majorHAnsi" w:hAnsiTheme="majorHAnsi" w:cstheme="majorHAnsi"/>
          <w:b w:val="0"/>
          <w:bCs w:val="0"/>
        </w:rPr>
      </w:pPr>
    </w:p>
    <w:p w14:paraId="3483D925" w14:textId="78799D11" w:rsidR="00BB73B5" w:rsidRPr="00BB73B5" w:rsidRDefault="00BB73B5" w:rsidP="000F4E8E">
      <w:pPr>
        <w:spacing w:line="240" w:lineRule="auto"/>
        <w:contextualSpacing/>
      </w:pPr>
      <w:r w:rsidRPr="00BB73B5">
        <w:rPr>
          <w:rStyle w:val="Strong"/>
          <w:rFonts w:asciiTheme="majorHAnsi" w:hAnsiTheme="majorHAnsi" w:cstheme="majorHAnsi"/>
          <w:b w:val="0"/>
          <w:bCs w:val="0"/>
        </w:rPr>
        <w:t>Independent Oversight</w:t>
      </w:r>
      <w:r w:rsidRPr="00BB73B5">
        <w:br/>
        <w:t>Today, Institutional Review Boards (IRBs) and regulatory agencies serve as watchdogs to ensure research meets ethical standards. If such oversight had been applied to tobacco research earlier, biased studies might not have exerted such influence.</w:t>
      </w:r>
    </w:p>
    <w:p w14:paraId="6AA28949" w14:textId="77777777" w:rsidR="000F4E8E" w:rsidRDefault="000F4E8E" w:rsidP="000F4E8E">
      <w:pPr>
        <w:spacing w:line="240" w:lineRule="auto"/>
        <w:contextualSpacing/>
      </w:pPr>
    </w:p>
    <w:p w14:paraId="242B7D17" w14:textId="27BF22B0" w:rsidR="00BB73B5" w:rsidRPr="00BB73B5" w:rsidRDefault="00BB73B5" w:rsidP="000F4E8E">
      <w:pPr>
        <w:spacing w:line="240" w:lineRule="auto"/>
        <w:contextualSpacing/>
      </w:pPr>
      <w:r w:rsidRPr="00BB73B5">
        <w:t>Conclusion</w:t>
      </w:r>
    </w:p>
    <w:p w14:paraId="336AA84F" w14:textId="77777777" w:rsidR="00BB73B5" w:rsidRPr="00BB73B5" w:rsidRDefault="00BB73B5" w:rsidP="000F4E8E">
      <w:pPr>
        <w:spacing w:line="240" w:lineRule="auto"/>
        <w:contextualSpacing/>
      </w:pPr>
      <w:r w:rsidRPr="00BB73B5">
        <w:t xml:space="preserve">The Philip Morris cigarette production case underscores the dangers of prioritizing profit over truth in scientific research. Through the suppression of data, manipulation of research, and deliberate misinformation campaigns, Philip Morris violated fundamental ethical principles and contributed to one of the greatest public health crises of the modern era. The case demonstrates the importance of research ethics—including honesty, transparency, justice, and unbiased assessment—in safeguarding </w:t>
      </w:r>
      <w:r w:rsidRPr="00BB73B5">
        <w:lastRenderedPageBreak/>
        <w:t>both science and society. By learning from this case, the scientific community can better guard against corporate manipulation and ensure that research fulfills its true purpose: advancing human well-being.</w:t>
      </w:r>
    </w:p>
    <w:p w14:paraId="2F27DFBD" w14:textId="77777777" w:rsidR="000F4E8E" w:rsidRDefault="000F4E8E" w:rsidP="000F4E8E">
      <w:pPr>
        <w:spacing w:line="240" w:lineRule="auto"/>
        <w:contextualSpacing/>
      </w:pPr>
    </w:p>
    <w:p w14:paraId="0F6195F1" w14:textId="4EF1D93D" w:rsidR="00BB73B5" w:rsidRPr="00BB73B5" w:rsidRDefault="00BB73B5" w:rsidP="000F4E8E">
      <w:pPr>
        <w:spacing w:line="240" w:lineRule="auto"/>
        <w:contextualSpacing/>
      </w:pPr>
      <w:r w:rsidRPr="00BB73B5">
        <w:t>Works Cited</w:t>
      </w:r>
    </w:p>
    <w:p w14:paraId="2DC1F2B4" w14:textId="77777777" w:rsidR="00BB73B5" w:rsidRPr="00BB73B5" w:rsidRDefault="00BB73B5" w:rsidP="000F4E8E">
      <w:pPr>
        <w:spacing w:line="240" w:lineRule="auto"/>
        <w:contextualSpacing/>
      </w:pPr>
      <w:r w:rsidRPr="00BB73B5">
        <w:t xml:space="preserve">Brandt, Allan M. </w:t>
      </w:r>
      <w:r w:rsidRPr="00BB73B5">
        <w:rPr>
          <w:rStyle w:val="Emphasis"/>
          <w:rFonts w:asciiTheme="majorHAnsi" w:hAnsiTheme="majorHAnsi" w:cstheme="majorHAnsi"/>
        </w:rPr>
        <w:t>The Cigarette Century: The Rise, Fall, and Deadly Persistence of the Product That Defined America</w:t>
      </w:r>
      <w:r w:rsidRPr="00BB73B5">
        <w:t>. Basic Books, 2007.</w:t>
      </w:r>
    </w:p>
    <w:p w14:paraId="0488A70E" w14:textId="77777777" w:rsidR="00BB73B5" w:rsidRPr="00BB73B5" w:rsidRDefault="00BB73B5" w:rsidP="000F4E8E">
      <w:pPr>
        <w:spacing w:line="240" w:lineRule="auto"/>
        <w:contextualSpacing/>
      </w:pPr>
      <w:r w:rsidRPr="00BB73B5">
        <w:t xml:space="preserve">Proctor, Robert N. </w:t>
      </w:r>
      <w:r w:rsidRPr="00BB73B5">
        <w:rPr>
          <w:rStyle w:val="Emphasis"/>
          <w:rFonts w:asciiTheme="majorHAnsi" w:hAnsiTheme="majorHAnsi" w:cstheme="majorHAnsi"/>
        </w:rPr>
        <w:t>Golden Holocaust: Origins of the Cigarette Catastrophe and the Case for Abolition</w:t>
      </w:r>
      <w:r w:rsidRPr="00BB73B5">
        <w:t>. University of California Press, 2011.</w:t>
      </w:r>
    </w:p>
    <w:p w14:paraId="097D7864" w14:textId="77777777" w:rsidR="00BB73B5" w:rsidRPr="00BB73B5" w:rsidRDefault="00BB73B5" w:rsidP="000F4E8E">
      <w:pPr>
        <w:spacing w:line="240" w:lineRule="auto"/>
        <w:contextualSpacing/>
      </w:pPr>
      <w:r w:rsidRPr="00BB73B5">
        <w:t xml:space="preserve">World Health Organization. “Tobacco.” </w:t>
      </w:r>
      <w:r w:rsidRPr="00BB73B5">
        <w:rPr>
          <w:rStyle w:val="Emphasis"/>
          <w:rFonts w:asciiTheme="majorHAnsi" w:hAnsiTheme="majorHAnsi" w:cstheme="majorHAnsi"/>
        </w:rPr>
        <w:t>World Health Organization</w:t>
      </w:r>
      <w:r w:rsidRPr="00BB73B5">
        <w:t xml:space="preserve">, 2024, </w:t>
      </w:r>
      <w:hyperlink r:id="rId21" w:tgtFrame="_new" w:history="1">
        <w:r w:rsidRPr="00BB73B5">
          <w:rPr>
            <w:rStyle w:val="Hyperlink"/>
            <w:rFonts w:asciiTheme="majorHAnsi" w:hAnsiTheme="majorHAnsi" w:cstheme="majorHAnsi"/>
          </w:rPr>
          <w:t>https://www.who.int/news-room/fact-sheets/detail/tobacco</w:t>
        </w:r>
      </w:hyperlink>
      <w:r w:rsidRPr="00BB73B5">
        <w:t>.</w:t>
      </w:r>
    </w:p>
    <w:p w14:paraId="2D803F90" w14:textId="77777777" w:rsidR="00BB73B5" w:rsidRPr="00BB73B5" w:rsidRDefault="00BB73B5" w:rsidP="000F4E8E">
      <w:pPr>
        <w:spacing w:line="240" w:lineRule="auto"/>
        <w:contextualSpacing/>
      </w:pPr>
      <w:r w:rsidRPr="00BB73B5">
        <w:t xml:space="preserve">U.S. Department of Justice. </w:t>
      </w:r>
      <w:r w:rsidRPr="00BB73B5">
        <w:rPr>
          <w:rStyle w:val="Emphasis"/>
          <w:rFonts w:asciiTheme="majorHAnsi" w:hAnsiTheme="majorHAnsi" w:cstheme="majorHAnsi"/>
        </w:rPr>
        <w:t>United States v. Philip Morris USA Inc., et al.</w:t>
      </w:r>
      <w:r w:rsidRPr="00BB73B5">
        <w:t xml:space="preserve"> Civil Action No. 99-CV-02496, 2006.</w:t>
      </w:r>
    </w:p>
    <w:p w14:paraId="2C1349BC" w14:textId="77777777" w:rsidR="00BB73B5" w:rsidRPr="00BB73B5" w:rsidRDefault="00BB73B5" w:rsidP="000F4E8E">
      <w:pPr>
        <w:spacing w:line="240" w:lineRule="auto"/>
        <w:contextualSpacing/>
      </w:pPr>
      <w:r w:rsidRPr="00BB73B5">
        <w:t xml:space="preserve">Bero, Lisa A. “Tobacco Industry Manipulation of Research.” </w:t>
      </w:r>
      <w:r w:rsidRPr="00BB73B5">
        <w:rPr>
          <w:rStyle w:val="Emphasis"/>
          <w:rFonts w:asciiTheme="majorHAnsi" w:hAnsiTheme="majorHAnsi" w:cstheme="majorHAnsi"/>
        </w:rPr>
        <w:t>Public Health Reports</w:t>
      </w:r>
      <w:r w:rsidRPr="00BB73B5">
        <w:t>, vol. 120, no. 2, 2005, pp. 200–208.</w:t>
      </w:r>
    </w:p>
    <w:p w14:paraId="2CC7FEF7" w14:textId="77777777" w:rsidR="00BB73B5" w:rsidRDefault="00BB73B5" w:rsidP="000F4E8E">
      <w:pPr>
        <w:spacing w:after="0" w:line="240" w:lineRule="auto"/>
        <w:contextualSpacing/>
      </w:pPr>
    </w:p>
    <w:sectPr w:rsidR="00BB73B5" w:rsidSect="00034616">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9854" w14:textId="77777777" w:rsidR="001C0258" w:rsidRDefault="001C0258" w:rsidP="00557187">
      <w:pPr>
        <w:spacing w:after="0" w:line="240" w:lineRule="auto"/>
      </w:pPr>
      <w:r>
        <w:separator/>
      </w:r>
    </w:p>
  </w:endnote>
  <w:endnote w:type="continuationSeparator" w:id="0">
    <w:p w14:paraId="5CBECF8E" w14:textId="77777777" w:rsidR="001C0258" w:rsidRDefault="001C0258" w:rsidP="0055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08502"/>
      <w:docPartObj>
        <w:docPartGallery w:val="Page Numbers (Bottom of Page)"/>
        <w:docPartUnique/>
      </w:docPartObj>
    </w:sdtPr>
    <w:sdtEndPr>
      <w:rPr>
        <w:noProof/>
      </w:rPr>
    </w:sdtEndPr>
    <w:sdtContent>
      <w:p w14:paraId="66F82E7A" w14:textId="79BEE8DF" w:rsidR="00557187" w:rsidRDefault="00557187">
        <w:pPr>
          <w:pStyle w:val="Footer"/>
          <w:jc w:val="right"/>
        </w:pPr>
        <w:r w:rsidRPr="00557187">
          <w:rPr>
            <w:sz w:val="18"/>
            <w:szCs w:val="18"/>
          </w:rPr>
          <w:fldChar w:fldCharType="begin"/>
        </w:r>
        <w:r w:rsidRPr="00557187">
          <w:rPr>
            <w:sz w:val="18"/>
            <w:szCs w:val="18"/>
          </w:rPr>
          <w:instrText xml:space="preserve"> PAGE   \* MERGEFORMAT </w:instrText>
        </w:r>
        <w:r w:rsidRPr="00557187">
          <w:rPr>
            <w:sz w:val="18"/>
            <w:szCs w:val="18"/>
          </w:rPr>
          <w:fldChar w:fldCharType="separate"/>
        </w:r>
        <w:r w:rsidRPr="00557187">
          <w:rPr>
            <w:noProof/>
            <w:sz w:val="18"/>
            <w:szCs w:val="18"/>
          </w:rPr>
          <w:t>2</w:t>
        </w:r>
        <w:r w:rsidRPr="00557187">
          <w:rPr>
            <w:noProof/>
            <w:sz w:val="18"/>
            <w:szCs w:val="18"/>
          </w:rPr>
          <w:fldChar w:fldCharType="end"/>
        </w:r>
      </w:p>
    </w:sdtContent>
  </w:sdt>
  <w:p w14:paraId="5901FB44" w14:textId="77777777" w:rsidR="00557187" w:rsidRDefault="0055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C13F" w14:textId="77777777" w:rsidR="001C0258" w:rsidRDefault="001C0258" w:rsidP="00557187">
      <w:pPr>
        <w:spacing w:after="0" w:line="240" w:lineRule="auto"/>
      </w:pPr>
      <w:r>
        <w:separator/>
      </w:r>
    </w:p>
  </w:footnote>
  <w:footnote w:type="continuationSeparator" w:id="0">
    <w:p w14:paraId="0A4BD5E8" w14:textId="77777777" w:rsidR="001C0258" w:rsidRDefault="001C0258" w:rsidP="00557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4E7942"/>
    <w:multiLevelType w:val="hybridMultilevel"/>
    <w:tmpl w:val="45483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E360C"/>
    <w:multiLevelType w:val="hybridMultilevel"/>
    <w:tmpl w:val="322A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E221F"/>
    <w:multiLevelType w:val="hybridMultilevel"/>
    <w:tmpl w:val="6910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556138">
    <w:abstractNumId w:val="8"/>
  </w:num>
  <w:num w:numId="2" w16cid:durableId="609749818">
    <w:abstractNumId w:val="6"/>
  </w:num>
  <w:num w:numId="3" w16cid:durableId="1659651082">
    <w:abstractNumId w:val="5"/>
  </w:num>
  <w:num w:numId="4" w16cid:durableId="627591399">
    <w:abstractNumId w:val="4"/>
  </w:num>
  <w:num w:numId="5" w16cid:durableId="1345286604">
    <w:abstractNumId w:val="7"/>
  </w:num>
  <w:num w:numId="6" w16cid:durableId="952518125">
    <w:abstractNumId w:val="3"/>
  </w:num>
  <w:num w:numId="7" w16cid:durableId="665983028">
    <w:abstractNumId w:val="2"/>
  </w:num>
  <w:num w:numId="8" w16cid:durableId="1021666390">
    <w:abstractNumId w:val="1"/>
  </w:num>
  <w:num w:numId="9" w16cid:durableId="1143430500">
    <w:abstractNumId w:val="0"/>
  </w:num>
  <w:num w:numId="10" w16cid:durableId="177237148">
    <w:abstractNumId w:val="9"/>
  </w:num>
  <w:num w:numId="11" w16cid:durableId="578292472">
    <w:abstractNumId w:val="11"/>
  </w:num>
  <w:num w:numId="12" w16cid:durableId="17655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4E8E"/>
    <w:rsid w:val="001374F8"/>
    <w:rsid w:val="0015074B"/>
    <w:rsid w:val="001C0258"/>
    <w:rsid w:val="0029639D"/>
    <w:rsid w:val="002E2EF3"/>
    <w:rsid w:val="00326F90"/>
    <w:rsid w:val="003A6396"/>
    <w:rsid w:val="00446F92"/>
    <w:rsid w:val="00477A67"/>
    <w:rsid w:val="00557187"/>
    <w:rsid w:val="00702B38"/>
    <w:rsid w:val="007C2740"/>
    <w:rsid w:val="00861E84"/>
    <w:rsid w:val="00AA1D8D"/>
    <w:rsid w:val="00AE6D0A"/>
    <w:rsid w:val="00B47730"/>
    <w:rsid w:val="00BB73B5"/>
    <w:rsid w:val="00CB0664"/>
    <w:rsid w:val="00CB16C0"/>
    <w:rsid w:val="00CF36B4"/>
    <w:rsid w:val="00D5021C"/>
    <w:rsid w:val="00F316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7FA44"/>
  <w14:defaultImageDpi w14:val="330"/>
  <w15:docId w15:val="{ABC65CBD-A04F-44A1-8C2A-253196FD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861E84"/>
    <w:pPr>
      <w:keepNext/>
      <w:keepLines/>
      <w:spacing w:before="480" w:after="0"/>
      <w:outlineLvl w:val="0"/>
    </w:pPr>
    <w:rPr>
      <w:rFonts w:asciiTheme="majorHAnsi" w:eastAsiaTheme="majorEastAsia" w:hAnsiTheme="majorHAnsi" w:cstheme="majorBidi"/>
      <w:bCs/>
      <w:color w:val="2F5597"/>
      <w:sz w:val="32"/>
      <w:szCs w:val="28"/>
    </w:rPr>
  </w:style>
  <w:style w:type="paragraph" w:styleId="Heading2">
    <w:name w:val="heading 2"/>
    <w:basedOn w:val="Normal"/>
    <w:next w:val="Normal"/>
    <w:link w:val="Heading2Char"/>
    <w:uiPriority w:val="9"/>
    <w:unhideWhenUsed/>
    <w:qFormat/>
    <w:rsid w:val="00861E84"/>
    <w:pPr>
      <w:keepNext/>
      <w:keepLines/>
      <w:spacing w:before="200" w:after="0"/>
      <w:outlineLvl w:val="1"/>
    </w:pPr>
    <w:rPr>
      <w:rFonts w:asciiTheme="majorHAnsi" w:eastAsiaTheme="majorEastAsia" w:hAnsiTheme="majorHAnsi" w:cstheme="majorBidi"/>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61E84"/>
    <w:rPr>
      <w:rFonts w:asciiTheme="majorHAnsi" w:eastAsiaTheme="majorEastAsia" w:hAnsiTheme="majorHAnsi" w:cstheme="majorBidi"/>
      <w:bCs/>
      <w:color w:val="2F5597"/>
      <w:sz w:val="32"/>
      <w:szCs w:val="28"/>
    </w:rPr>
  </w:style>
  <w:style w:type="character" w:customStyle="1" w:styleId="Heading2Char">
    <w:name w:val="Heading 2 Char"/>
    <w:basedOn w:val="DefaultParagraphFont"/>
    <w:link w:val="Heading2"/>
    <w:uiPriority w:val="9"/>
    <w:rsid w:val="00861E84"/>
    <w:rPr>
      <w:rFonts w:asciiTheme="majorHAnsi" w:eastAsiaTheme="majorEastAsia" w:hAnsiTheme="majorHAnsi" w:cstheme="majorBidi"/>
      <w:bCs/>
      <w:color w:val="2F5597"/>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61E84"/>
    <w:pPr>
      <w:pBdr>
        <w:bottom w:val="single" w:sz="8" w:space="4" w:color="4F81BD" w:themeColor="accent1"/>
      </w:pBdr>
      <w:spacing w:after="300" w:line="240" w:lineRule="auto"/>
      <w:contextualSpacing/>
    </w:pPr>
    <w:rPr>
      <w:rFonts w:asciiTheme="majorHAnsi" w:eastAsiaTheme="majorEastAsia" w:hAnsiTheme="majorHAnsi" w:cstheme="majorBidi"/>
      <w:color w:val="2F5597"/>
      <w:spacing w:val="5"/>
      <w:kern w:val="28"/>
      <w:sz w:val="56"/>
      <w:szCs w:val="52"/>
    </w:rPr>
  </w:style>
  <w:style w:type="character" w:customStyle="1" w:styleId="TitleChar">
    <w:name w:val="Title Char"/>
    <w:basedOn w:val="DefaultParagraphFont"/>
    <w:link w:val="Title"/>
    <w:uiPriority w:val="10"/>
    <w:rsid w:val="00861E84"/>
    <w:rPr>
      <w:rFonts w:asciiTheme="majorHAnsi" w:eastAsiaTheme="majorEastAsia" w:hAnsiTheme="majorHAnsi" w:cstheme="majorBidi"/>
      <w:color w:val="2F5597"/>
      <w:spacing w:val="5"/>
      <w:kern w:val="28"/>
      <w:sz w:val="56"/>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B73B5"/>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BB73B5"/>
    <w:rPr>
      <w:color w:val="0000FF"/>
      <w:u w:val="single"/>
    </w:rPr>
  </w:style>
  <w:style w:type="character" w:customStyle="1" w:styleId="relative">
    <w:name w:val="relative"/>
    <w:basedOn w:val="DefaultParagraphFont"/>
    <w:rsid w:val="00BB73B5"/>
  </w:style>
  <w:style w:type="character" w:customStyle="1" w:styleId="ms-1">
    <w:name w:val="ms-1"/>
    <w:basedOn w:val="DefaultParagraphFont"/>
    <w:rsid w:val="00BB73B5"/>
  </w:style>
  <w:style w:type="character" w:customStyle="1" w:styleId="max-w-full">
    <w:name w:val="max-w-full"/>
    <w:basedOn w:val="DefaultParagraphFont"/>
    <w:rsid w:val="00BB73B5"/>
  </w:style>
  <w:style w:type="character" w:customStyle="1" w:styleId="-me-1">
    <w:name w:val="-me-1"/>
    <w:basedOn w:val="DefaultParagraphFont"/>
    <w:rsid w:val="00BB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74054">
      <w:bodyDiv w:val="1"/>
      <w:marLeft w:val="0"/>
      <w:marRight w:val="0"/>
      <w:marTop w:val="0"/>
      <w:marBottom w:val="0"/>
      <w:divBdr>
        <w:top w:val="none" w:sz="0" w:space="0" w:color="auto"/>
        <w:left w:val="none" w:sz="0" w:space="0" w:color="auto"/>
        <w:bottom w:val="none" w:sz="0" w:space="0" w:color="auto"/>
        <w:right w:val="none" w:sz="0" w:space="0" w:color="auto"/>
      </w:divBdr>
    </w:div>
    <w:div w:id="1178732313">
      <w:bodyDiv w:val="1"/>
      <w:marLeft w:val="0"/>
      <w:marRight w:val="0"/>
      <w:marTop w:val="0"/>
      <w:marBottom w:val="0"/>
      <w:divBdr>
        <w:top w:val="none" w:sz="0" w:space="0" w:color="auto"/>
        <w:left w:val="none" w:sz="0" w:space="0" w:color="auto"/>
        <w:bottom w:val="none" w:sz="0" w:space="0" w:color="auto"/>
        <w:right w:val="none" w:sz="0" w:space="0" w:color="auto"/>
      </w:divBdr>
    </w:div>
    <w:div w:id="1310865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d.lib.umich.edu/p/plag/5240451.0001.009/--did-the-us-army-distribute-smallpox-blankets-to-indians?rgn=main%3Bview%3Dfulltext&amp;utm_source=chatgpt.com" TargetMode="External"/><Relationship Id="rId13" Type="http://schemas.openxmlformats.org/officeDocument/2006/relationships/hyperlink" Target="https://pmc.ncbi.nlm.nih.gov/articles/PMC1200679/?utm_source=chatgpt.com" TargetMode="External"/><Relationship Id="rId18" Type="http://schemas.openxmlformats.org/officeDocument/2006/relationships/hyperlink" Target="https://daily.jstor.org/how-commonly-was-smallpox-used-as-a-biological-weapon/?utm_source=chatgpt.com" TargetMode="External"/><Relationship Id="rId3" Type="http://schemas.openxmlformats.org/officeDocument/2006/relationships/styles" Target="styles.xml"/><Relationship Id="rId21" Type="http://schemas.openxmlformats.org/officeDocument/2006/relationships/hyperlink" Target="https://www.who.int/news-room/fact-sheets/detail/tobacco" TargetMode="External"/><Relationship Id="rId7" Type="http://schemas.openxmlformats.org/officeDocument/2006/relationships/endnotes" Target="endnotes.xml"/><Relationship Id="rId12" Type="http://schemas.openxmlformats.org/officeDocument/2006/relationships/hyperlink" Target="https://daily.jstor.org/how-commonly-was-smallpox-used-as-a-biological-weapon/?utm_source=chatgpt.com" TargetMode="External"/><Relationship Id="rId17" Type="http://schemas.openxmlformats.org/officeDocument/2006/relationships/hyperlink" Target="https://en.wikipedia.org/wiki/History_of_biological_warfare?utm_source=chatgpt.com" TargetMode="External"/><Relationship Id="rId2" Type="http://schemas.openxmlformats.org/officeDocument/2006/relationships/numbering" Target="numbering.xml"/><Relationship Id="rId16" Type="http://schemas.openxmlformats.org/officeDocument/2006/relationships/hyperlink" Target="https://www.history.com/articles/colonists-native-americans-smallpox-blankets?utm_source=chatgpt.com" TargetMode="External"/><Relationship Id="rId20" Type="http://schemas.openxmlformats.org/officeDocument/2006/relationships/hyperlink" Target="https://en.wikipedia.org/wiki/History_of_biological_warfar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istory_of_biological_warfare?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ily.jstor.org/how-commonly-was-smallpox-used-as-a-biological-weapon/?utm_source=chatgpt.com" TargetMode="External"/><Relationship Id="rId23" Type="http://schemas.openxmlformats.org/officeDocument/2006/relationships/fontTable" Target="fontTable.xml"/><Relationship Id="rId10" Type="http://schemas.openxmlformats.org/officeDocument/2006/relationships/hyperlink" Target="https://en.wikipedia.org/wiki/History_of_biological_warfare?utm_source=chatgpt.com" TargetMode="External"/><Relationship Id="rId19" Type="http://schemas.openxmlformats.org/officeDocument/2006/relationships/hyperlink" Target="https://asm.org/articles/2023/november/investigating-the-smallpox-blanket-controversy?utm_source=chatgpt.com" TargetMode="External"/><Relationship Id="rId4" Type="http://schemas.openxmlformats.org/officeDocument/2006/relationships/settings" Target="settings.xml"/><Relationship Id="rId9" Type="http://schemas.openxmlformats.org/officeDocument/2006/relationships/hyperlink" Target="https://en.wikipedia.org/wiki/History_of_biological_warfare?utm_source=chatgpt.com" TargetMode="External"/><Relationship Id="rId14" Type="http://schemas.openxmlformats.org/officeDocument/2006/relationships/hyperlink" Target="https://asm.org/articles/2023/november/investigating-the-smallpox-blanket-controversy?utm_source=chatgp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4</cp:revision>
  <dcterms:created xsi:type="dcterms:W3CDTF">2025-08-19T14:33:00Z</dcterms:created>
  <dcterms:modified xsi:type="dcterms:W3CDTF">2025-09-09T19:59:00Z</dcterms:modified>
  <cp:category/>
</cp:coreProperties>
</file>