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849D" w14:textId="56CF33B2" w:rsidR="2BA40A90" w:rsidRDefault="00A247C8" w:rsidP="00CB7788">
      <w:pPr>
        <w:pStyle w:val="Title"/>
        <w:spacing w:after="0" w:line="240" w:lineRule="auto"/>
        <w:rPr>
          <w:rFonts w:ascii="Calibri" w:eastAsia="Calibri" w:hAnsi="Calibri"/>
          <w:b/>
          <w:bCs/>
        </w:rPr>
      </w:pPr>
      <w:r w:rsidRPr="51058E5B">
        <w:rPr>
          <w:rFonts w:ascii="Calibri" w:eastAsia="Calibri" w:hAnsi="Calibri"/>
        </w:rPr>
        <w:t>Directorial Review Assignment</w:t>
      </w:r>
    </w:p>
    <w:p w14:paraId="1A0CDF07" w14:textId="080E8139" w:rsidR="3524D2B5" w:rsidRDefault="3524D2B5" w:rsidP="00CB7788">
      <w:pPr>
        <w:spacing w:line="240" w:lineRule="auto"/>
        <w:contextualSpacing/>
      </w:pPr>
    </w:p>
    <w:p w14:paraId="14251A26" w14:textId="77777777" w:rsidR="00A247C8" w:rsidRPr="00A247C8" w:rsidRDefault="00A247C8" w:rsidP="00CB7788">
      <w:pPr>
        <w:pStyle w:val="Heading1"/>
        <w:keepNext w:val="0"/>
        <w:keepLines w:val="0"/>
        <w:contextualSpacing/>
      </w:pPr>
      <w:r w:rsidRPr="51058E5B">
        <w:t>Information for Instructors</w:t>
      </w:r>
    </w:p>
    <w:p w14:paraId="4FAF2911" w14:textId="77777777" w:rsidR="3B8DEF89" w:rsidRDefault="3B8DEF89" w:rsidP="00CB7788">
      <w:pPr>
        <w:pStyle w:val="Heading1"/>
        <w:keepNext w:val="0"/>
        <w:keepLines w:val="0"/>
        <w:contextualSpacing/>
        <w:rPr>
          <w:b/>
          <w:bCs/>
          <w:sz w:val="56"/>
          <w:szCs w:val="56"/>
        </w:rPr>
      </w:pPr>
      <w:r w:rsidRPr="51058E5B">
        <w:t>Directorial Review Assignment</w:t>
      </w:r>
    </w:p>
    <w:p w14:paraId="6E68E1FE" w14:textId="77777777" w:rsidR="00A247C8" w:rsidRPr="00A247C8" w:rsidRDefault="00A247C8" w:rsidP="00CB7788">
      <w:pPr>
        <w:pStyle w:val="Heading2"/>
        <w:keepNext w:val="0"/>
        <w:keepLines w:val="0"/>
        <w:spacing w:line="240" w:lineRule="auto"/>
        <w:contextualSpacing/>
      </w:pPr>
      <w:r w:rsidRPr="51058E5B">
        <w:t>Overview</w:t>
      </w:r>
    </w:p>
    <w:p w14:paraId="30232675" w14:textId="10A86BA9" w:rsidR="00A247C8" w:rsidRPr="00A247C8" w:rsidRDefault="00A247C8" w:rsidP="00CB7788">
      <w:pPr>
        <w:spacing w:line="240" w:lineRule="auto"/>
        <w:contextualSpacing/>
      </w:pPr>
      <w:r w:rsidRPr="62BB277D">
        <w:rPr>
          <w:kern w:val="0"/>
          <w14:ligatures w14:val="none"/>
        </w:rPr>
        <w:t xml:space="preserve">This assignment addresses the Pathways outcome: </w:t>
      </w:r>
      <w:r w:rsidRPr="51058E5B">
        <w:rPr>
          <w:kern w:val="0"/>
          <w14:ligatures w14:val="none"/>
        </w:rPr>
        <w:t xml:space="preserve">Gather, interpret, and assess information from a variety of sources and points of view. </w:t>
      </w:r>
    </w:p>
    <w:p w14:paraId="7DB9F9D1" w14:textId="6317A6D9" w:rsidR="00A247C8" w:rsidRPr="00A247C8" w:rsidRDefault="50DFF504" w:rsidP="00CB7788">
      <w:pPr>
        <w:spacing w:before="100" w:beforeAutospacing="1" w:after="100" w:afterAutospacing="1" w:line="240" w:lineRule="auto"/>
        <w:contextualSpacing/>
      </w:pPr>
      <w:r w:rsidRPr="62BB277D">
        <w:rPr>
          <w:kern w:val="0"/>
          <w14:ligatures w14:val="none"/>
        </w:rPr>
        <w:t>S</w:t>
      </w:r>
      <w:r w:rsidR="00A247C8" w:rsidRPr="62BB277D">
        <w:rPr>
          <w:kern w:val="0"/>
          <w14:ligatures w14:val="none"/>
        </w:rPr>
        <w:t>tudents will write a directorial review analyzing a recorded or live theatr</w:t>
      </w:r>
      <w:r w:rsidR="7A460351" w:rsidRPr="62BB277D">
        <w:rPr>
          <w:kern w:val="0"/>
          <w14:ligatures w14:val="none"/>
        </w:rPr>
        <w:t>e</w:t>
      </w:r>
      <w:r w:rsidR="00A247C8" w:rsidRPr="62BB277D">
        <w:rPr>
          <w:kern w:val="0"/>
          <w14:ligatures w14:val="none"/>
        </w:rPr>
        <w:t xml:space="preserve"> production. They will gather information from reviews, scholarly analyses, and interviews, interpret multiple perspectives on the director’s choices, and assess how these choices impacted the production’s meaning, performance style, and audience reception. This assignment builds skills in research, critical interpretation, and applied performance analysis essential to theater arts studies.</w:t>
      </w:r>
    </w:p>
    <w:p w14:paraId="07DD9F65" w14:textId="77777777" w:rsidR="00CB7788" w:rsidRDefault="00CB7788" w:rsidP="00CB7788">
      <w:pPr>
        <w:spacing w:beforeAutospacing="1" w:afterAutospacing="1" w:line="240" w:lineRule="auto"/>
        <w:contextualSpacing/>
      </w:pPr>
    </w:p>
    <w:p w14:paraId="0E655CE0" w14:textId="77777777" w:rsidR="00A247C8" w:rsidRPr="00A247C8" w:rsidRDefault="00A247C8" w:rsidP="00CB7788">
      <w:pPr>
        <w:pStyle w:val="Heading1"/>
        <w:keepNext w:val="0"/>
        <w:keepLines w:val="0"/>
        <w:contextualSpacing/>
        <w:rPr>
          <w:rStyle w:val="Heading1Char"/>
        </w:rPr>
      </w:pPr>
      <w:r w:rsidRPr="51058E5B">
        <w:t>Information for Students</w:t>
      </w:r>
    </w:p>
    <w:p w14:paraId="76861716" w14:textId="77777777" w:rsidR="77F1FF89" w:rsidRDefault="77F1FF89" w:rsidP="00CB7788">
      <w:pPr>
        <w:pStyle w:val="Heading1"/>
        <w:keepNext w:val="0"/>
        <w:keepLines w:val="0"/>
        <w:contextualSpacing/>
        <w:rPr>
          <w:b/>
          <w:bCs/>
          <w:sz w:val="56"/>
          <w:szCs w:val="56"/>
        </w:rPr>
      </w:pPr>
      <w:r w:rsidRPr="51058E5B">
        <w:t>Directorial Review Assignment</w:t>
      </w:r>
    </w:p>
    <w:p w14:paraId="61A8C022" w14:textId="77777777" w:rsidR="00A247C8" w:rsidRPr="00A247C8" w:rsidRDefault="00A247C8" w:rsidP="00CB7788">
      <w:pPr>
        <w:pStyle w:val="Heading2"/>
        <w:keepNext w:val="0"/>
        <w:keepLines w:val="0"/>
        <w:spacing w:line="240" w:lineRule="auto"/>
        <w:contextualSpacing/>
        <w:rPr>
          <w:b/>
          <w:bCs/>
        </w:rPr>
      </w:pPr>
      <w:r w:rsidRPr="51058E5B">
        <w:t>Overview</w:t>
      </w:r>
    </w:p>
    <w:p w14:paraId="21DFD27D" w14:textId="77777777" w:rsidR="00A247C8" w:rsidRPr="00A247C8" w:rsidRDefault="00A247C8" w:rsidP="00CB7788">
      <w:pPr>
        <w:spacing w:line="240" w:lineRule="auto"/>
        <w:contextualSpacing/>
        <w:rPr>
          <w:kern w:val="0"/>
          <w14:ligatures w14:val="none"/>
        </w:rPr>
      </w:pPr>
      <w:r w:rsidRPr="62BB277D">
        <w:rPr>
          <w:kern w:val="0"/>
          <w14:ligatures w14:val="none"/>
        </w:rPr>
        <w:t>For this assignment, you will write a directorial review of a theater production (live or recorded) we have viewed in class or that you view independently with instructor approval. You will gather and integrate information from at least three sources (such as reviews, scholarly articles, or interviews) to interpret and assess the director’s choices. Your review will demonstrate your ability to gather, interpret, and assess information from multiple points of view and communicate your analysis clearly.</w:t>
      </w:r>
    </w:p>
    <w:p w14:paraId="479D54B9" w14:textId="4DBF1796" w:rsidR="6855FC84" w:rsidRDefault="6855FC84" w:rsidP="00CB7788">
      <w:pPr>
        <w:spacing w:beforeAutospacing="1" w:afterAutospacing="1" w:line="240" w:lineRule="auto"/>
        <w:contextualSpacing/>
      </w:pPr>
    </w:p>
    <w:p w14:paraId="229ABBBC" w14:textId="77777777" w:rsidR="00A247C8" w:rsidRPr="00A247C8" w:rsidRDefault="00A247C8" w:rsidP="00CB7788">
      <w:pPr>
        <w:spacing w:before="100" w:beforeAutospacing="1" w:after="100" w:afterAutospacing="1" w:line="240" w:lineRule="auto"/>
        <w:contextualSpacing/>
        <w:rPr>
          <w:kern w:val="0"/>
          <w14:ligatures w14:val="none"/>
        </w:rPr>
      </w:pPr>
      <w:r w:rsidRPr="62BB277D">
        <w:rPr>
          <w:kern w:val="0"/>
          <w14:ligatures w14:val="none"/>
        </w:rPr>
        <w:t>As you work on this assignment you will:</w:t>
      </w:r>
    </w:p>
    <w:p w14:paraId="2520E939" w14:textId="77777777" w:rsidR="00A247C8" w:rsidRPr="00A247C8" w:rsidRDefault="00A247C8" w:rsidP="00CB7788">
      <w:pPr>
        <w:numPr>
          <w:ilvl w:val="0"/>
          <w:numId w:val="1"/>
        </w:numPr>
        <w:spacing w:before="100" w:beforeAutospacing="1" w:after="100" w:afterAutospacing="1" w:line="240" w:lineRule="auto"/>
        <w:contextualSpacing/>
        <w:rPr>
          <w:kern w:val="0"/>
          <w14:ligatures w14:val="none"/>
        </w:rPr>
      </w:pPr>
      <w:r w:rsidRPr="62BB277D">
        <w:rPr>
          <w:kern w:val="0"/>
          <w14:ligatures w14:val="none"/>
        </w:rPr>
        <w:t>Select a production to analyze (live, recorded stage performance, or streaming production).</w:t>
      </w:r>
    </w:p>
    <w:p w14:paraId="7AA005F2" w14:textId="77777777" w:rsidR="00A247C8" w:rsidRPr="00A247C8" w:rsidRDefault="00A247C8" w:rsidP="00CB7788">
      <w:pPr>
        <w:numPr>
          <w:ilvl w:val="0"/>
          <w:numId w:val="1"/>
        </w:numPr>
        <w:spacing w:before="100" w:beforeAutospacing="1" w:after="100" w:afterAutospacing="1" w:line="240" w:lineRule="auto"/>
        <w:contextualSpacing/>
        <w:rPr>
          <w:kern w:val="0"/>
          <w14:ligatures w14:val="none"/>
        </w:rPr>
      </w:pPr>
      <w:r w:rsidRPr="62BB277D">
        <w:rPr>
          <w:kern w:val="0"/>
          <w14:ligatures w14:val="none"/>
        </w:rPr>
        <w:t>Gather information from at least three credible sources, such as professional reviews, scholarly analyses, or interviews with the director or actors.</w:t>
      </w:r>
    </w:p>
    <w:p w14:paraId="681117BD" w14:textId="77777777" w:rsidR="00A247C8" w:rsidRPr="00A247C8" w:rsidRDefault="00A247C8" w:rsidP="00CB7788">
      <w:pPr>
        <w:numPr>
          <w:ilvl w:val="0"/>
          <w:numId w:val="1"/>
        </w:numPr>
        <w:spacing w:before="100" w:beforeAutospacing="1" w:after="100" w:afterAutospacing="1" w:line="240" w:lineRule="auto"/>
        <w:contextualSpacing/>
        <w:rPr>
          <w:kern w:val="0"/>
          <w14:ligatures w14:val="none"/>
        </w:rPr>
      </w:pPr>
      <w:r w:rsidRPr="62BB277D">
        <w:rPr>
          <w:kern w:val="0"/>
          <w14:ligatures w14:val="none"/>
        </w:rPr>
        <w:t>Interpret and explain the director’s artistic choices (e.g. casting, staging, design, interpretation of script).</w:t>
      </w:r>
    </w:p>
    <w:p w14:paraId="72C88D31" w14:textId="77777777" w:rsidR="00A247C8" w:rsidRPr="00A247C8" w:rsidRDefault="00A247C8" w:rsidP="00CB7788">
      <w:pPr>
        <w:numPr>
          <w:ilvl w:val="0"/>
          <w:numId w:val="1"/>
        </w:numPr>
        <w:spacing w:before="100" w:beforeAutospacing="1" w:after="100" w:afterAutospacing="1" w:line="240" w:lineRule="auto"/>
        <w:contextualSpacing/>
        <w:rPr>
          <w:kern w:val="0"/>
          <w14:ligatures w14:val="none"/>
        </w:rPr>
      </w:pPr>
      <w:r w:rsidRPr="62BB277D">
        <w:rPr>
          <w:kern w:val="0"/>
          <w14:ligatures w14:val="none"/>
        </w:rPr>
        <w:t>Assess how these choices shaped the production’s meaning, effectiveness, and audience impact.</w:t>
      </w:r>
    </w:p>
    <w:p w14:paraId="18CD5E4D" w14:textId="31D8733D" w:rsidR="73A78BA2" w:rsidRPr="006920E3" w:rsidRDefault="00A247C8" w:rsidP="00CB7788">
      <w:pPr>
        <w:numPr>
          <w:ilvl w:val="0"/>
          <w:numId w:val="1"/>
        </w:numPr>
        <w:spacing w:before="100" w:beforeAutospacing="1" w:after="100" w:afterAutospacing="1" w:line="240" w:lineRule="auto"/>
        <w:contextualSpacing/>
        <w:rPr>
          <w:kern w:val="0"/>
          <w14:ligatures w14:val="none"/>
        </w:rPr>
      </w:pPr>
      <w:r w:rsidRPr="62BB277D">
        <w:rPr>
          <w:kern w:val="0"/>
          <w14:ligatures w14:val="none"/>
        </w:rPr>
        <w:t>Develop a</w:t>
      </w:r>
      <w:r w:rsidR="6402CFEF" w:rsidRPr="62BB277D">
        <w:rPr>
          <w:kern w:val="0"/>
          <w14:ligatures w14:val="none"/>
        </w:rPr>
        <w:t>n original</w:t>
      </w:r>
      <w:r w:rsidRPr="62BB277D">
        <w:rPr>
          <w:kern w:val="0"/>
          <w14:ligatures w14:val="none"/>
        </w:rPr>
        <w:t xml:space="preserve"> thesis supported by evidence from your observations and sources.</w:t>
      </w:r>
    </w:p>
    <w:p w14:paraId="67217040" w14:textId="77777777" w:rsidR="00A247C8" w:rsidRPr="00A247C8" w:rsidRDefault="00A247C8" w:rsidP="00CB7788">
      <w:pPr>
        <w:pStyle w:val="Heading1"/>
        <w:keepNext w:val="0"/>
        <w:keepLines w:val="0"/>
        <w:contextualSpacing/>
        <w:rPr>
          <w:b/>
          <w:bCs/>
          <w:sz w:val="27"/>
          <w:szCs w:val="27"/>
        </w:rPr>
      </w:pPr>
      <w:r w:rsidRPr="51058E5B">
        <w:t>Assignment Format &amp; Guidelines</w:t>
      </w:r>
    </w:p>
    <w:p w14:paraId="08DC3207" w14:textId="77777777" w:rsidR="00A247C8" w:rsidRPr="00A247C8" w:rsidRDefault="00A247C8" w:rsidP="00CB7788">
      <w:pPr>
        <w:spacing w:line="240" w:lineRule="auto"/>
        <w:contextualSpacing/>
        <w:rPr>
          <w:kern w:val="0"/>
          <w14:ligatures w14:val="none"/>
        </w:rPr>
      </w:pPr>
      <w:r w:rsidRPr="62BB277D">
        <w:rPr>
          <w:kern w:val="0"/>
          <w14:ligatures w14:val="none"/>
        </w:rPr>
        <w:t>Your directorial review will:</w:t>
      </w:r>
    </w:p>
    <w:p w14:paraId="0277E3CE" w14:textId="77777777" w:rsidR="00A247C8" w:rsidRPr="00A247C8" w:rsidRDefault="00A247C8" w:rsidP="00CB7788">
      <w:pPr>
        <w:numPr>
          <w:ilvl w:val="0"/>
          <w:numId w:val="2"/>
        </w:numPr>
        <w:spacing w:before="100" w:beforeAutospacing="1" w:after="100" w:afterAutospacing="1" w:line="240" w:lineRule="auto"/>
        <w:contextualSpacing/>
        <w:rPr>
          <w:kern w:val="0"/>
          <w14:ligatures w14:val="none"/>
        </w:rPr>
      </w:pPr>
      <w:r w:rsidRPr="62BB277D">
        <w:rPr>
          <w:kern w:val="0"/>
          <w14:ligatures w14:val="none"/>
        </w:rPr>
        <w:t>Be 3–4 pages in length, typed and double-spaced, using 12-point font.</w:t>
      </w:r>
    </w:p>
    <w:p w14:paraId="1DB9CBE0" w14:textId="77777777" w:rsidR="00A247C8" w:rsidRPr="00A247C8" w:rsidRDefault="00A247C8" w:rsidP="00CB7788">
      <w:pPr>
        <w:numPr>
          <w:ilvl w:val="0"/>
          <w:numId w:val="2"/>
        </w:numPr>
        <w:spacing w:before="100" w:beforeAutospacing="1" w:after="100" w:afterAutospacing="1" w:line="240" w:lineRule="auto"/>
        <w:contextualSpacing/>
        <w:rPr>
          <w:kern w:val="0"/>
          <w14:ligatures w14:val="none"/>
        </w:rPr>
      </w:pPr>
      <w:r w:rsidRPr="62BB277D">
        <w:rPr>
          <w:kern w:val="0"/>
          <w14:ligatures w14:val="none"/>
        </w:rPr>
        <w:t>Include an introduction with a clear thesis statement, body paragraphs integrating your analysis and sources, and a conclusion.</w:t>
      </w:r>
    </w:p>
    <w:p w14:paraId="7BCF0472" w14:textId="77777777" w:rsidR="00A247C8" w:rsidRPr="00A247C8" w:rsidRDefault="00A247C8" w:rsidP="00CB7788">
      <w:pPr>
        <w:numPr>
          <w:ilvl w:val="0"/>
          <w:numId w:val="2"/>
        </w:numPr>
        <w:spacing w:before="100" w:beforeAutospacing="1" w:after="100" w:afterAutospacing="1" w:line="240" w:lineRule="auto"/>
        <w:contextualSpacing/>
        <w:rPr>
          <w:kern w:val="0"/>
          <w14:ligatures w14:val="none"/>
        </w:rPr>
      </w:pPr>
      <w:r w:rsidRPr="62BB277D">
        <w:rPr>
          <w:kern w:val="0"/>
          <w14:ligatures w14:val="none"/>
        </w:rPr>
        <w:t>Use clear academic writing with complete sentences and proper grammar.</w:t>
      </w:r>
    </w:p>
    <w:p w14:paraId="3911F097" w14:textId="0A4C8667" w:rsidR="1431612C" w:rsidRDefault="1431612C" w:rsidP="00CB7788">
      <w:pPr>
        <w:numPr>
          <w:ilvl w:val="0"/>
          <w:numId w:val="2"/>
        </w:numPr>
        <w:spacing w:beforeAutospacing="1" w:afterAutospacing="1" w:line="240" w:lineRule="auto"/>
        <w:contextualSpacing/>
      </w:pPr>
      <w:r w:rsidRPr="3A4A7BD7">
        <w:t>Use MLA formatting for in-text citations and the Works Cited page.</w:t>
      </w:r>
    </w:p>
    <w:p w14:paraId="7B50E038" w14:textId="63D0521A" w:rsidR="00A247C8" w:rsidRDefault="00A247C8" w:rsidP="00CB7788">
      <w:pPr>
        <w:spacing w:line="240" w:lineRule="auto"/>
        <w:contextualSpacing/>
      </w:pPr>
    </w:p>
    <w:p w14:paraId="71BFCC5E" w14:textId="77777777" w:rsidR="006920E3" w:rsidRPr="00A247C8" w:rsidRDefault="006920E3" w:rsidP="00CB7788">
      <w:pPr>
        <w:spacing w:line="240" w:lineRule="auto"/>
        <w:contextualSpacing/>
      </w:pPr>
    </w:p>
    <w:p w14:paraId="68B6B88E" w14:textId="77777777" w:rsidR="00A247C8" w:rsidRPr="00A247C8" w:rsidRDefault="00A247C8" w:rsidP="00CB7788">
      <w:pPr>
        <w:pStyle w:val="Heading1"/>
        <w:keepNext w:val="0"/>
        <w:keepLines w:val="0"/>
        <w:contextualSpacing/>
        <w:rPr>
          <w:b/>
          <w:bCs/>
        </w:rPr>
      </w:pPr>
      <w:r w:rsidRPr="3A4A7BD7">
        <w:lastRenderedPageBreak/>
        <w:t>Assessment Criteria</w:t>
      </w:r>
    </w:p>
    <w:p w14:paraId="7D93ECD0" w14:textId="04E6D22F" w:rsidR="32E4B069" w:rsidRDefault="32E4B069" w:rsidP="00CB7788">
      <w:pPr>
        <w:spacing w:line="240" w:lineRule="auto"/>
        <w:contextualSpacing/>
      </w:pPr>
      <w:r>
        <w:t>Your directorial review will be graded on your</w:t>
      </w:r>
      <w:r w:rsidR="3BFF810D">
        <w:t>:</w:t>
      </w:r>
      <w:r>
        <w:t xml:space="preserve"> </w:t>
      </w:r>
    </w:p>
    <w:p w14:paraId="4DB9C6CB" w14:textId="6F5E97C8" w:rsidR="00A247C8" w:rsidRPr="00A247C8" w:rsidRDefault="62BA6B4F" w:rsidP="00CB7788">
      <w:pPr>
        <w:numPr>
          <w:ilvl w:val="0"/>
          <w:numId w:val="3"/>
        </w:numPr>
        <w:spacing w:before="100" w:beforeAutospacing="1" w:after="100" w:afterAutospacing="1" w:line="240" w:lineRule="auto"/>
        <w:contextualSpacing/>
        <w:rPr>
          <w:kern w:val="0"/>
          <w14:ligatures w14:val="none"/>
        </w:rPr>
      </w:pPr>
      <w:r w:rsidRPr="62BB277D">
        <w:rPr>
          <w:kern w:val="0"/>
          <w14:ligatures w14:val="none"/>
        </w:rPr>
        <w:t xml:space="preserve">Selection of </w:t>
      </w:r>
      <w:r w:rsidR="00A247C8" w:rsidRPr="62BB277D">
        <w:rPr>
          <w:kern w:val="0"/>
          <w14:ligatures w14:val="none"/>
        </w:rPr>
        <w:t>an appropriate theat</w:t>
      </w:r>
      <w:r w:rsidR="32A5029A" w:rsidRPr="62BB277D">
        <w:rPr>
          <w:kern w:val="0"/>
          <w14:ligatures w14:val="none"/>
        </w:rPr>
        <w:t>re</w:t>
      </w:r>
      <w:r w:rsidR="00A247C8" w:rsidRPr="62BB277D">
        <w:rPr>
          <w:kern w:val="0"/>
          <w14:ligatures w14:val="none"/>
        </w:rPr>
        <w:t xml:space="preserve"> production</w:t>
      </w:r>
      <w:r w:rsidR="680C9916" w:rsidRPr="62BB277D">
        <w:rPr>
          <w:kern w:val="0"/>
          <w14:ligatures w14:val="none"/>
        </w:rPr>
        <w:t>.</w:t>
      </w:r>
    </w:p>
    <w:p w14:paraId="70E4EC28" w14:textId="2B54598D" w:rsidR="00A247C8" w:rsidRPr="00A247C8" w:rsidRDefault="084433E9" w:rsidP="00CB7788">
      <w:pPr>
        <w:numPr>
          <w:ilvl w:val="0"/>
          <w:numId w:val="3"/>
        </w:numPr>
        <w:spacing w:before="100" w:beforeAutospacing="1" w:after="100" w:afterAutospacing="1" w:line="240" w:lineRule="auto"/>
        <w:contextualSpacing/>
        <w:rPr>
          <w:kern w:val="0"/>
          <w14:ligatures w14:val="none"/>
        </w:rPr>
      </w:pPr>
      <w:bookmarkStart w:id="0" w:name="_Int_zlGa4JmU"/>
      <w:r w:rsidRPr="62BB277D">
        <w:rPr>
          <w:kern w:val="0"/>
          <w14:ligatures w14:val="none"/>
        </w:rPr>
        <w:t>Use</w:t>
      </w:r>
      <w:r w:rsidR="14CE080C" w:rsidRPr="62BB277D">
        <w:rPr>
          <w:kern w:val="0"/>
          <w14:ligatures w14:val="none"/>
        </w:rPr>
        <w:t xml:space="preserve"> </w:t>
      </w:r>
      <w:r w:rsidRPr="62BB277D">
        <w:rPr>
          <w:kern w:val="0"/>
          <w14:ligatures w14:val="none"/>
        </w:rPr>
        <w:t>of</w:t>
      </w:r>
      <w:bookmarkEnd w:id="0"/>
      <w:r w:rsidRPr="62BB277D">
        <w:rPr>
          <w:kern w:val="0"/>
          <w14:ligatures w14:val="none"/>
        </w:rPr>
        <w:t xml:space="preserve"> at</w:t>
      </w:r>
      <w:r w:rsidR="00A247C8" w:rsidRPr="62BB277D">
        <w:rPr>
          <w:kern w:val="0"/>
          <w14:ligatures w14:val="none"/>
        </w:rPr>
        <w:t xml:space="preserve"> least three credible sources.</w:t>
      </w:r>
    </w:p>
    <w:p w14:paraId="1944BBC9" w14:textId="2536B391" w:rsidR="00A247C8" w:rsidRPr="00A247C8" w:rsidRDefault="00A247C8" w:rsidP="00CB7788">
      <w:pPr>
        <w:numPr>
          <w:ilvl w:val="0"/>
          <w:numId w:val="3"/>
        </w:numPr>
        <w:spacing w:before="100" w:beforeAutospacing="1" w:after="100" w:afterAutospacing="1" w:line="240" w:lineRule="auto"/>
        <w:contextualSpacing/>
        <w:rPr>
          <w:kern w:val="0"/>
          <w14:ligatures w14:val="none"/>
        </w:rPr>
      </w:pPr>
      <w:r w:rsidRPr="62BB277D">
        <w:rPr>
          <w:kern w:val="0"/>
          <w14:ligatures w14:val="none"/>
        </w:rPr>
        <w:t>Interpret</w:t>
      </w:r>
      <w:r w:rsidR="3ACE6CAC" w:rsidRPr="62BB277D">
        <w:rPr>
          <w:kern w:val="0"/>
          <w14:ligatures w14:val="none"/>
        </w:rPr>
        <w:t>ation</w:t>
      </w:r>
      <w:r w:rsidRPr="62BB277D">
        <w:rPr>
          <w:kern w:val="0"/>
          <w14:ligatures w14:val="none"/>
        </w:rPr>
        <w:t xml:space="preserve"> and </w:t>
      </w:r>
      <w:r w:rsidR="4317435C" w:rsidRPr="62BB277D">
        <w:rPr>
          <w:kern w:val="0"/>
          <w14:ligatures w14:val="none"/>
        </w:rPr>
        <w:t xml:space="preserve">explanation </w:t>
      </w:r>
      <w:r w:rsidR="0494B4DA" w:rsidRPr="62BB277D">
        <w:rPr>
          <w:kern w:val="0"/>
          <w14:ligatures w14:val="none"/>
        </w:rPr>
        <w:t>of the</w:t>
      </w:r>
      <w:r w:rsidRPr="62BB277D">
        <w:rPr>
          <w:kern w:val="0"/>
          <w14:ligatures w14:val="none"/>
        </w:rPr>
        <w:t xml:space="preserve"> director’s artistic choices clearly.</w:t>
      </w:r>
    </w:p>
    <w:p w14:paraId="7CE4CE3B" w14:textId="54CA2581" w:rsidR="00A247C8" w:rsidRPr="00A247C8" w:rsidRDefault="00A247C8" w:rsidP="00CB7788">
      <w:pPr>
        <w:numPr>
          <w:ilvl w:val="0"/>
          <w:numId w:val="3"/>
        </w:numPr>
        <w:spacing w:before="100" w:beforeAutospacing="1" w:after="100" w:afterAutospacing="1" w:line="240" w:lineRule="auto"/>
        <w:contextualSpacing/>
        <w:rPr>
          <w:kern w:val="0"/>
          <w14:ligatures w14:val="none"/>
        </w:rPr>
      </w:pPr>
      <w:r w:rsidRPr="62BB277D">
        <w:rPr>
          <w:kern w:val="0"/>
          <w14:ligatures w14:val="none"/>
        </w:rPr>
        <w:t>Assess</w:t>
      </w:r>
      <w:r w:rsidR="4A510143" w:rsidRPr="62BB277D">
        <w:rPr>
          <w:kern w:val="0"/>
          <w14:ligatures w14:val="none"/>
        </w:rPr>
        <w:t xml:space="preserve">ment </w:t>
      </w:r>
      <w:r w:rsidR="5C391D11" w:rsidRPr="62BB277D">
        <w:rPr>
          <w:kern w:val="0"/>
          <w14:ligatures w14:val="none"/>
        </w:rPr>
        <w:t>of how</w:t>
      </w:r>
      <w:r w:rsidRPr="62BB277D">
        <w:rPr>
          <w:kern w:val="0"/>
          <w14:ligatures w14:val="none"/>
        </w:rPr>
        <w:t xml:space="preserve"> these choices impacted the production’s meaning and audience experience.</w:t>
      </w:r>
    </w:p>
    <w:p w14:paraId="70C8A0D2" w14:textId="0B99CB12" w:rsidR="00A247C8" w:rsidRPr="00A247C8" w:rsidRDefault="00A247C8" w:rsidP="00CB7788">
      <w:pPr>
        <w:numPr>
          <w:ilvl w:val="0"/>
          <w:numId w:val="3"/>
        </w:numPr>
        <w:spacing w:before="100" w:beforeAutospacing="1" w:after="100" w:afterAutospacing="1" w:line="240" w:lineRule="auto"/>
        <w:contextualSpacing/>
        <w:rPr>
          <w:kern w:val="0"/>
          <w14:ligatures w14:val="none"/>
        </w:rPr>
      </w:pPr>
      <w:r w:rsidRPr="62BB277D">
        <w:rPr>
          <w:kern w:val="0"/>
          <w14:ligatures w14:val="none"/>
        </w:rPr>
        <w:t>Develop</w:t>
      </w:r>
      <w:r w:rsidR="3061BCFE" w:rsidRPr="62BB277D">
        <w:rPr>
          <w:kern w:val="0"/>
          <w14:ligatures w14:val="none"/>
        </w:rPr>
        <w:t xml:space="preserve">ment of </w:t>
      </w:r>
      <w:r w:rsidRPr="62BB277D">
        <w:rPr>
          <w:kern w:val="0"/>
          <w14:ligatures w14:val="none"/>
        </w:rPr>
        <w:t>a clear, well-supported thesis with analysis and evidence.</w:t>
      </w:r>
    </w:p>
    <w:p w14:paraId="5BCE8E00" w14:textId="2ED80981" w:rsidR="00A247C8" w:rsidRPr="00A247C8" w:rsidRDefault="00A247C8" w:rsidP="00CB7788">
      <w:pPr>
        <w:numPr>
          <w:ilvl w:val="0"/>
          <w:numId w:val="3"/>
        </w:numPr>
        <w:spacing w:before="100" w:beforeAutospacing="1" w:after="100" w:afterAutospacing="1" w:line="240" w:lineRule="auto"/>
        <w:contextualSpacing/>
        <w:rPr>
          <w:kern w:val="0"/>
          <w14:ligatures w14:val="none"/>
        </w:rPr>
      </w:pPr>
      <w:r w:rsidRPr="62BB277D">
        <w:rPr>
          <w:kern w:val="0"/>
          <w14:ligatures w14:val="none"/>
        </w:rPr>
        <w:t>Use</w:t>
      </w:r>
      <w:r w:rsidR="68E6E727" w:rsidRPr="62BB277D">
        <w:rPr>
          <w:kern w:val="0"/>
          <w14:ligatures w14:val="none"/>
        </w:rPr>
        <w:t xml:space="preserve"> of </w:t>
      </w:r>
      <w:r w:rsidRPr="62BB277D">
        <w:rPr>
          <w:kern w:val="0"/>
          <w14:ligatures w14:val="none"/>
        </w:rPr>
        <w:t>correct MLA citation</w:t>
      </w:r>
      <w:r w:rsidR="1273EA1A" w:rsidRPr="62BB277D">
        <w:rPr>
          <w:kern w:val="0"/>
          <w14:ligatures w14:val="none"/>
        </w:rPr>
        <w:t>s</w:t>
      </w:r>
      <w:r w:rsidRPr="62BB277D">
        <w:rPr>
          <w:kern w:val="0"/>
          <w14:ligatures w14:val="none"/>
        </w:rPr>
        <w:t>.</w:t>
      </w:r>
    </w:p>
    <w:p w14:paraId="7EEA9200" w14:textId="4C6C892F" w:rsidR="02324C77" w:rsidRDefault="03DB4311" w:rsidP="006920E3">
      <w:pPr>
        <w:numPr>
          <w:ilvl w:val="0"/>
          <w:numId w:val="3"/>
        </w:numPr>
        <w:spacing w:before="100" w:beforeAutospacing="1" w:after="100" w:afterAutospacing="1" w:line="240" w:lineRule="auto"/>
        <w:contextualSpacing/>
        <w:rPr>
          <w:kern w:val="0"/>
          <w14:ligatures w14:val="none"/>
        </w:rPr>
      </w:pPr>
      <w:bookmarkStart w:id="1" w:name="_Int_B0BxE0fR"/>
      <w:r w:rsidRPr="62BB277D">
        <w:rPr>
          <w:kern w:val="0"/>
          <w14:ligatures w14:val="none"/>
        </w:rPr>
        <w:t>Writing being</w:t>
      </w:r>
      <w:bookmarkEnd w:id="1"/>
      <w:r w:rsidRPr="62BB277D">
        <w:rPr>
          <w:kern w:val="0"/>
          <w14:ligatures w14:val="none"/>
        </w:rPr>
        <w:t xml:space="preserve"> clear</w:t>
      </w:r>
      <w:r w:rsidR="00A247C8" w:rsidRPr="62BB277D">
        <w:rPr>
          <w:kern w:val="0"/>
          <w14:ligatures w14:val="none"/>
        </w:rPr>
        <w:t>, organized, and coherent.</w:t>
      </w:r>
      <w:r w:rsidR="008A5B6B" w:rsidRPr="62BB277D">
        <w:rPr>
          <w:kern w:val="0"/>
          <w14:ligatures w14:val="none"/>
        </w:rPr>
        <w:t xml:space="preserve"> With proper use </w:t>
      </w:r>
      <w:r w:rsidR="3D830A6A" w:rsidRPr="62BB277D">
        <w:rPr>
          <w:kern w:val="0"/>
          <w14:ligatures w14:val="none"/>
        </w:rPr>
        <w:t>of academic</w:t>
      </w:r>
      <w:r w:rsidR="00A247C8" w:rsidRPr="62BB277D">
        <w:rPr>
          <w:kern w:val="0"/>
          <w14:ligatures w14:val="none"/>
        </w:rPr>
        <w:t xml:space="preserve"> </w:t>
      </w:r>
      <w:r w:rsidR="08620A1F" w:rsidRPr="62BB277D">
        <w:rPr>
          <w:kern w:val="0"/>
          <w14:ligatures w14:val="none"/>
        </w:rPr>
        <w:t>language</w:t>
      </w:r>
      <w:r w:rsidR="7C1B61A3" w:rsidRPr="62BB277D">
        <w:rPr>
          <w:kern w:val="0"/>
          <w14:ligatures w14:val="none"/>
        </w:rPr>
        <w:t>, grammar</w:t>
      </w:r>
      <w:r w:rsidR="00A247C8" w:rsidRPr="62BB277D">
        <w:rPr>
          <w:kern w:val="0"/>
          <w14:ligatures w14:val="none"/>
        </w:rPr>
        <w:t>, punctuation, and formatting.</w:t>
      </w:r>
    </w:p>
    <w:p w14:paraId="7AD7BBD1" w14:textId="77777777" w:rsidR="00511513" w:rsidRPr="006920E3" w:rsidRDefault="00511513" w:rsidP="00511513">
      <w:pPr>
        <w:spacing w:before="100" w:beforeAutospacing="1" w:after="100" w:afterAutospacing="1" w:line="240" w:lineRule="auto"/>
        <w:ind w:left="720"/>
        <w:contextualSpacing/>
        <w:rPr>
          <w:kern w:val="0"/>
          <w14:ligatures w14:val="none"/>
        </w:rPr>
      </w:pPr>
    </w:p>
    <w:tbl>
      <w:tblPr>
        <w:tblStyle w:val="TableGrid"/>
        <w:tblW w:w="0" w:type="auto"/>
        <w:tblLook w:val="04A0" w:firstRow="1" w:lastRow="0" w:firstColumn="1" w:lastColumn="0" w:noHBand="0" w:noVBand="1"/>
      </w:tblPr>
      <w:tblGrid>
        <w:gridCol w:w="1619"/>
        <w:gridCol w:w="2505"/>
        <w:gridCol w:w="1964"/>
        <w:gridCol w:w="2234"/>
        <w:gridCol w:w="1892"/>
      </w:tblGrid>
      <w:tr w:rsidR="00511513" w14:paraId="628B87AF" w14:textId="77777777" w:rsidTr="00511513">
        <w:tc>
          <w:tcPr>
            <w:tcW w:w="102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4EA7B5D" w14:textId="77777777" w:rsidR="00511513" w:rsidRPr="00356A8C" w:rsidRDefault="00511513" w:rsidP="00410C33">
            <w:pPr>
              <w:jc w:val="center"/>
              <w:rPr>
                <w:sz w:val="28"/>
                <w:szCs w:val="28"/>
              </w:rPr>
            </w:pPr>
            <w:r w:rsidRPr="00356A8C">
              <w:rPr>
                <w:b/>
                <w:color w:val="FFFFFF"/>
                <w:sz w:val="28"/>
                <w:szCs w:val="28"/>
              </w:rPr>
              <w:t>Directorial Review Assignment Grading Rubric</w:t>
            </w:r>
          </w:p>
        </w:tc>
      </w:tr>
      <w:tr w:rsidR="00511513" w14:paraId="6BDEAEEA" w14:textId="77777777" w:rsidTr="00511513">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DE129CE" w14:textId="77777777" w:rsidR="00511513" w:rsidRDefault="00511513" w:rsidP="00410C33">
            <w:pPr>
              <w:jc w:val="center"/>
            </w:pPr>
            <w:r>
              <w:rPr>
                <w:b/>
                <w:color w:val="FFFFFF"/>
              </w:rPr>
              <w:t>Criteria</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20D8685" w14:textId="77777777" w:rsidR="00511513" w:rsidRDefault="00511513" w:rsidP="00410C33">
            <w:pPr>
              <w:jc w:val="center"/>
            </w:pPr>
            <w:r>
              <w:rPr>
                <w:b/>
                <w:color w:val="FFFFFF"/>
              </w:rPr>
              <w:t>Exceeds Expectations</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BEE8F7B" w14:textId="77777777" w:rsidR="00511513" w:rsidRDefault="00511513" w:rsidP="00410C33">
            <w:pPr>
              <w:jc w:val="center"/>
            </w:pPr>
            <w:r>
              <w:rPr>
                <w:b/>
                <w:color w:val="FFFFFF"/>
              </w:rPr>
              <w:t>Meets Expectations</w:t>
            </w:r>
          </w:p>
        </w:tc>
        <w:tc>
          <w:tcPr>
            <w:tcW w:w="2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A03427E" w14:textId="77777777" w:rsidR="00511513" w:rsidRDefault="00511513" w:rsidP="00410C33">
            <w:pPr>
              <w:jc w:val="center"/>
            </w:pPr>
            <w:r>
              <w:rPr>
                <w:b/>
                <w:color w:val="FFFFFF"/>
              </w:rPr>
              <w:t>Approaching Expectations</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A1AA952" w14:textId="77777777" w:rsidR="00511513" w:rsidRDefault="00511513" w:rsidP="00410C33">
            <w:pPr>
              <w:jc w:val="center"/>
            </w:pPr>
            <w:r>
              <w:rPr>
                <w:b/>
                <w:color w:val="FFFFFF"/>
              </w:rPr>
              <w:t>Developing</w:t>
            </w:r>
          </w:p>
        </w:tc>
      </w:tr>
      <w:tr w:rsidR="00511513" w14:paraId="110F1C15" w14:textId="77777777" w:rsidTr="00511513">
        <w:tc>
          <w:tcPr>
            <w:tcW w:w="1075" w:type="dxa"/>
            <w:tcBorders>
              <w:top w:val="single" w:sz="4" w:space="0" w:color="FFFFFF" w:themeColor="background1"/>
            </w:tcBorders>
          </w:tcPr>
          <w:p w14:paraId="6E9C7098" w14:textId="77777777" w:rsidR="00511513" w:rsidRDefault="00511513" w:rsidP="00410C33">
            <w:pPr>
              <w:rPr>
                <w:b/>
                <w:bCs/>
              </w:rPr>
            </w:pPr>
            <w:r w:rsidRPr="00356A8C">
              <w:rPr>
                <w:b/>
                <w:bCs/>
              </w:rPr>
              <w:t xml:space="preserve">Thesis &amp; Analysis </w:t>
            </w:r>
          </w:p>
          <w:p w14:paraId="58E93839" w14:textId="1D7A0EF4" w:rsidR="00511513" w:rsidRPr="00356A8C" w:rsidRDefault="00511513" w:rsidP="00410C33">
            <w:pPr>
              <w:rPr>
                <w:b/>
                <w:bCs/>
              </w:rPr>
            </w:pPr>
            <w:r w:rsidRPr="00356A8C">
              <w:rPr>
                <w:b/>
                <w:bCs/>
              </w:rPr>
              <w:t>(20 points)</w:t>
            </w:r>
          </w:p>
        </w:tc>
        <w:tc>
          <w:tcPr>
            <w:tcW w:w="2700" w:type="dxa"/>
            <w:tcBorders>
              <w:top w:val="single" w:sz="4" w:space="0" w:color="FFFFFF" w:themeColor="background1"/>
            </w:tcBorders>
          </w:tcPr>
          <w:p w14:paraId="061ECE3C" w14:textId="77777777" w:rsidR="00511513" w:rsidRDefault="00511513" w:rsidP="00410C33">
            <w:r>
              <w:t>Develops a nuanced, original thesis with sophisticated analysis of directorial choices.</w:t>
            </w:r>
            <w:r>
              <w:br/>
              <w:t>(18–20 points)</w:t>
            </w:r>
          </w:p>
        </w:tc>
        <w:tc>
          <w:tcPr>
            <w:tcW w:w="2070" w:type="dxa"/>
            <w:tcBorders>
              <w:top w:val="single" w:sz="4" w:space="0" w:color="FFFFFF" w:themeColor="background1"/>
            </w:tcBorders>
          </w:tcPr>
          <w:p w14:paraId="66DA7A02" w14:textId="77777777" w:rsidR="00511513" w:rsidRDefault="00511513" w:rsidP="00410C33">
            <w:r>
              <w:t>Develops a clear thesis with supported analysis of directorial choices.</w:t>
            </w:r>
            <w:r>
              <w:br/>
              <w:t>(14–17 points)</w:t>
            </w:r>
          </w:p>
        </w:tc>
        <w:tc>
          <w:tcPr>
            <w:tcW w:w="2385" w:type="dxa"/>
            <w:tcBorders>
              <w:top w:val="single" w:sz="4" w:space="0" w:color="FFFFFF" w:themeColor="background1"/>
            </w:tcBorders>
          </w:tcPr>
          <w:p w14:paraId="668790FD" w14:textId="77777777" w:rsidR="00511513" w:rsidRDefault="00511513" w:rsidP="00410C33">
            <w:r>
              <w:t>Thesis or analysis is attempted but lacks depth, precision, or clarity.</w:t>
            </w:r>
            <w:r>
              <w:br/>
              <w:t>(10–13 points)</w:t>
            </w:r>
          </w:p>
        </w:tc>
        <w:tc>
          <w:tcPr>
            <w:tcW w:w="1984" w:type="dxa"/>
            <w:tcBorders>
              <w:top w:val="single" w:sz="4" w:space="0" w:color="FFFFFF" w:themeColor="background1"/>
            </w:tcBorders>
          </w:tcPr>
          <w:p w14:paraId="79D23A2F" w14:textId="77777777" w:rsidR="00511513" w:rsidRDefault="00511513" w:rsidP="00410C33">
            <w:r>
              <w:t>Thesis is unclear or analysis is missing.</w:t>
            </w:r>
            <w:r>
              <w:br/>
              <w:t>(0–9 points)</w:t>
            </w:r>
          </w:p>
        </w:tc>
      </w:tr>
      <w:tr w:rsidR="00511513" w14:paraId="36D06E9E" w14:textId="77777777" w:rsidTr="00511513">
        <w:tc>
          <w:tcPr>
            <w:tcW w:w="1075" w:type="dxa"/>
          </w:tcPr>
          <w:p w14:paraId="2A058BC7" w14:textId="77777777" w:rsidR="00511513" w:rsidRDefault="00511513" w:rsidP="00410C33">
            <w:pPr>
              <w:rPr>
                <w:b/>
                <w:bCs/>
              </w:rPr>
            </w:pPr>
            <w:r w:rsidRPr="00356A8C">
              <w:rPr>
                <w:b/>
                <w:bCs/>
              </w:rPr>
              <w:t xml:space="preserve">Use of Sources </w:t>
            </w:r>
          </w:p>
          <w:p w14:paraId="0BB5009D" w14:textId="02985BC7" w:rsidR="00511513" w:rsidRPr="00356A8C" w:rsidRDefault="00511513" w:rsidP="00410C33">
            <w:pPr>
              <w:rPr>
                <w:b/>
                <w:bCs/>
              </w:rPr>
            </w:pPr>
            <w:r w:rsidRPr="00356A8C">
              <w:rPr>
                <w:b/>
                <w:bCs/>
              </w:rPr>
              <w:t>(20 points)</w:t>
            </w:r>
          </w:p>
        </w:tc>
        <w:tc>
          <w:tcPr>
            <w:tcW w:w="2700" w:type="dxa"/>
          </w:tcPr>
          <w:p w14:paraId="39E5363E" w14:textId="77777777" w:rsidR="00511513" w:rsidRDefault="00511513" w:rsidP="00410C33">
            <w:r>
              <w:t>Integrates at least three credible sources seamlessly with strong connections to analysis.</w:t>
            </w:r>
            <w:r>
              <w:br/>
              <w:t>(18–20 points)</w:t>
            </w:r>
          </w:p>
        </w:tc>
        <w:tc>
          <w:tcPr>
            <w:tcW w:w="2070" w:type="dxa"/>
          </w:tcPr>
          <w:p w14:paraId="295EACA3" w14:textId="77777777" w:rsidR="00511513" w:rsidRDefault="00511513" w:rsidP="00410C33">
            <w:r>
              <w:t>Integrates at least three credible sources with general connections to analysis.</w:t>
            </w:r>
            <w:r>
              <w:br/>
              <w:t>(14–17 points)</w:t>
            </w:r>
          </w:p>
        </w:tc>
        <w:tc>
          <w:tcPr>
            <w:tcW w:w="2385" w:type="dxa"/>
          </w:tcPr>
          <w:p w14:paraId="3011A0F6" w14:textId="77777777" w:rsidR="00511513" w:rsidRDefault="00511513" w:rsidP="00410C33">
            <w:r>
              <w:t>Uses sources but with weak connections to analysis or fewer than required.</w:t>
            </w:r>
            <w:r>
              <w:br/>
              <w:t>(10–13 points)</w:t>
            </w:r>
          </w:p>
        </w:tc>
        <w:tc>
          <w:tcPr>
            <w:tcW w:w="1984" w:type="dxa"/>
          </w:tcPr>
          <w:p w14:paraId="2F58DC9A" w14:textId="77777777" w:rsidR="00511513" w:rsidRDefault="00511513" w:rsidP="00410C33">
            <w:r>
              <w:t xml:space="preserve">Uses a limited number of sources ineffectively </w:t>
            </w:r>
          </w:p>
          <w:p w14:paraId="7F13D49C" w14:textId="77777777" w:rsidR="00511513" w:rsidRDefault="00511513" w:rsidP="00410C33">
            <w:r>
              <w:t>(0–9 points)</w:t>
            </w:r>
          </w:p>
        </w:tc>
      </w:tr>
      <w:tr w:rsidR="00511513" w14:paraId="1EEC3459" w14:textId="77777777" w:rsidTr="00511513">
        <w:tc>
          <w:tcPr>
            <w:tcW w:w="1075" w:type="dxa"/>
          </w:tcPr>
          <w:p w14:paraId="7530664E" w14:textId="77777777" w:rsidR="00511513" w:rsidRDefault="00511513" w:rsidP="00410C33">
            <w:pPr>
              <w:rPr>
                <w:b/>
                <w:bCs/>
              </w:rPr>
            </w:pPr>
            <w:r w:rsidRPr="00356A8C">
              <w:rPr>
                <w:b/>
                <w:bCs/>
              </w:rPr>
              <w:t>Interpretation of Choices</w:t>
            </w:r>
          </w:p>
          <w:p w14:paraId="5CD1C667" w14:textId="77777777" w:rsidR="00511513" w:rsidRPr="00356A8C" w:rsidRDefault="00511513" w:rsidP="00410C33">
            <w:pPr>
              <w:rPr>
                <w:b/>
                <w:bCs/>
              </w:rPr>
            </w:pPr>
            <w:r w:rsidRPr="00356A8C">
              <w:rPr>
                <w:b/>
                <w:bCs/>
              </w:rPr>
              <w:t>(20 points)</w:t>
            </w:r>
          </w:p>
        </w:tc>
        <w:tc>
          <w:tcPr>
            <w:tcW w:w="2700" w:type="dxa"/>
          </w:tcPr>
          <w:p w14:paraId="76B55839" w14:textId="77777777" w:rsidR="00511513" w:rsidRDefault="00511513" w:rsidP="00410C33">
            <w:r>
              <w:t>Thoroughly interprets and explains directorial choices with insight.</w:t>
            </w:r>
            <w:r>
              <w:br/>
              <w:t>(18–20 points)</w:t>
            </w:r>
          </w:p>
        </w:tc>
        <w:tc>
          <w:tcPr>
            <w:tcW w:w="2070" w:type="dxa"/>
          </w:tcPr>
          <w:p w14:paraId="260677BF" w14:textId="77777777" w:rsidR="00511513" w:rsidRDefault="00511513" w:rsidP="00410C33">
            <w:r>
              <w:t>Explains directorial choices clearly.</w:t>
            </w:r>
            <w:r>
              <w:br/>
              <w:t>(14–17 points)</w:t>
            </w:r>
          </w:p>
        </w:tc>
        <w:tc>
          <w:tcPr>
            <w:tcW w:w="2385" w:type="dxa"/>
          </w:tcPr>
          <w:p w14:paraId="612CA9BC" w14:textId="77777777" w:rsidR="00511513" w:rsidRDefault="00511513" w:rsidP="00410C33">
            <w:r>
              <w:t>Explanation of choices is attempted but incomplete, vague, or lacks depth.</w:t>
            </w:r>
            <w:r>
              <w:br/>
              <w:t>(10–13 points)</w:t>
            </w:r>
          </w:p>
        </w:tc>
        <w:tc>
          <w:tcPr>
            <w:tcW w:w="1984" w:type="dxa"/>
          </w:tcPr>
          <w:p w14:paraId="097878DA" w14:textId="77777777" w:rsidR="00511513" w:rsidRDefault="00511513" w:rsidP="00410C33">
            <w:r>
              <w:t>No explanation of choices.</w:t>
            </w:r>
          </w:p>
          <w:p w14:paraId="6DC0F7B8" w14:textId="77777777" w:rsidR="00511513" w:rsidRDefault="00511513" w:rsidP="00410C33">
            <w:r>
              <w:t>(0–9 points)</w:t>
            </w:r>
          </w:p>
        </w:tc>
      </w:tr>
      <w:tr w:rsidR="00511513" w14:paraId="2F6A77A3" w14:textId="77777777" w:rsidTr="00511513">
        <w:tc>
          <w:tcPr>
            <w:tcW w:w="1075" w:type="dxa"/>
          </w:tcPr>
          <w:p w14:paraId="66A10063" w14:textId="77777777" w:rsidR="00511513" w:rsidRDefault="00511513" w:rsidP="00410C33">
            <w:pPr>
              <w:rPr>
                <w:b/>
                <w:bCs/>
              </w:rPr>
            </w:pPr>
            <w:r w:rsidRPr="00356A8C">
              <w:rPr>
                <w:b/>
                <w:bCs/>
              </w:rPr>
              <w:t>Assessment of Impact</w:t>
            </w:r>
          </w:p>
          <w:p w14:paraId="4998CFCC" w14:textId="77777777" w:rsidR="00511513" w:rsidRPr="00356A8C" w:rsidRDefault="00511513" w:rsidP="00410C33">
            <w:pPr>
              <w:rPr>
                <w:b/>
                <w:bCs/>
              </w:rPr>
            </w:pPr>
            <w:r w:rsidRPr="00356A8C">
              <w:rPr>
                <w:b/>
                <w:bCs/>
              </w:rPr>
              <w:t>(20 points)</w:t>
            </w:r>
          </w:p>
        </w:tc>
        <w:tc>
          <w:tcPr>
            <w:tcW w:w="2700" w:type="dxa"/>
          </w:tcPr>
          <w:p w14:paraId="0668AC4A" w14:textId="77777777" w:rsidR="00511513" w:rsidRDefault="00511513" w:rsidP="00410C33">
            <w:r>
              <w:t>Critically assesses how choices shaped meaning and audience experience with sophistication.</w:t>
            </w:r>
            <w:r>
              <w:br/>
              <w:t>(18–20 points)</w:t>
            </w:r>
          </w:p>
        </w:tc>
        <w:tc>
          <w:tcPr>
            <w:tcW w:w="2070" w:type="dxa"/>
          </w:tcPr>
          <w:p w14:paraId="78A64AED" w14:textId="77777777" w:rsidR="00511513" w:rsidRDefault="00511513" w:rsidP="00410C33">
            <w:r>
              <w:t>Assesses how choices shaped meaning and audience experience.</w:t>
            </w:r>
            <w:r>
              <w:br/>
              <w:t>(14–17 points)</w:t>
            </w:r>
          </w:p>
        </w:tc>
        <w:tc>
          <w:tcPr>
            <w:tcW w:w="2385" w:type="dxa"/>
          </w:tcPr>
          <w:p w14:paraId="1E956135" w14:textId="77777777" w:rsidR="00511513" w:rsidRDefault="00511513" w:rsidP="00410C33">
            <w:r>
              <w:t>Assessment is attempted but is general or lacking clear examples.</w:t>
            </w:r>
            <w:r>
              <w:br/>
              <w:t>(10–13 points)</w:t>
            </w:r>
          </w:p>
        </w:tc>
        <w:tc>
          <w:tcPr>
            <w:tcW w:w="1984" w:type="dxa"/>
          </w:tcPr>
          <w:p w14:paraId="63BEF283" w14:textId="77777777" w:rsidR="00511513" w:rsidRDefault="00511513" w:rsidP="00410C33">
            <w:r>
              <w:t>Unclear or no assessment of impact.</w:t>
            </w:r>
            <w:r>
              <w:br/>
              <w:t>(0–9 points)</w:t>
            </w:r>
          </w:p>
        </w:tc>
      </w:tr>
      <w:tr w:rsidR="00511513" w14:paraId="27D895BF" w14:textId="77777777" w:rsidTr="00511513">
        <w:tc>
          <w:tcPr>
            <w:tcW w:w="1075" w:type="dxa"/>
          </w:tcPr>
          <w:p w14:paraId="227C7F35" w14:textId="77777777" w:rsidR="00511513" w:rsidRDefault="00511513" w:rsidP="00410C33">
            <w:pPr>
              <w:rPr>
                <w:b/>
                <w:bCs/>
              </w:rPr>
            </w:pPr>
            <w:r w:rsidRPr="00356A8C">
              <w:rPr>
                <w:b/>
                <w:bCs/>
              </w:rPr>
              <w:t xml:space="preserve">Organization &amp; Writing </w:t>
            </w:r>
          </w:p>
          <w:p w14:paraId="1D28E9AD" w14:textId="77777777" w:rsidR="00511513" w:rsidRPr="00356A8C" w:rsidRDefault="00511513" w:rsidP="00410C33">
            <w:pPr>
              <w:rPr>
                <w:b/>
                <w:bCs/>
              </w:rPr>
            </w:pPr>
            <w:r w:rsidRPr="00356A8C">
              <w:rPr>
                <w:b/>
                <w:bCs/>
              </w:rPr>
              <w:t>(10 points)</w:t>
            </w:r>
          </w:p>
        </w:tc>
        <w:tc>
          <w:tcPr>
            <w:tcW w:w="2700" w:type="dxa"/>
          </w:tcPr>
          <w:p w14:paraId="45994805" w14:textId="77777777" w:rsidR="00511513" w:rsidRDefault="00511513" w:rsidP="00410C33">
            <w:r>
              <w:t xml:space="preserve">Writing is exceptionally clear, organized, and academic with virtually </w:t>
            </w:r>
            <w:r>
              <w:lastRenderedPageBreak/>
              <w:t>no errors.</w:t>
            </w:r>
            <w:r>
              <w:br/>
              <w:t>(9–10 points)</w:t>
            </w:r>
          </w:p>
        </w:tc>
        <w:tc>
          <w:tcPr>
            <w:tcW w:w="2070" w:type="dxa"/>
          </w:tcPr>
          <w:p w14:paraId="246CCE2C" w14:textId="77777777" w:rsidR="00511513" w:rsidRDefault="00511513" w:rsidP="00410C33">
            <w:r>
              <w:lastRenderedPageBreak/>
              <w:t xml:space="preserve">Writing is mostly clear and organized with </w:t>
            </w:r>
            <w:r>
              <w:lastRenderedPageBreak/>
              <w:t>few errors.</w:t>
            </w:r>
            <w:r>
              <w:br/>
              <w:t>(6–8 points)</w:t>
            </w:r>
          </w:p>
        </w:tc>
        <w:tc>
          <w:tcPr>
            <w:tcW w:w="2385" w:type="dxa"/>
          </w:tcPr>
          <w:p w14:paraId="7D2E261A" w14:textId="77777777" w:rsidR="00511513" w:rsidRDefault="00511513" w:rsidP="00410C33">
            <w:r>
              <w:lastRenderedPageBreak/>
              <w:t xml:space="preserve">Writing shows some organization but clarity and tone are </w:t>
            </w:r>
            <w:r>
              <w:lastRenderedPageBreak/>
              <w:t>inconsistent.</w:t>
            </w:r>
            <w:r>
              <w:br/>
              <w:t>(3–5 points)</w:t>
            </w:r>
          </w:p>
        </w:tc>
        <w:tc>
          <w:tcPr>
            <w:tcW w:w="1984" w:type="dxa"/>
          </w:tcPr>
          <w:p w14:paraId="6E78B585" w14:textId="77777777" w:rsidR="00511513" w:rsidRDefault="00511513" w:rsidP="00410C33">
            <w:r>
              <w:lastRenderedPageBreak/>
              <w:t xml:space="preserve">Writing lacks clarity, organization, or </w:t>
            </w:r>
            <w:r>
              <w:lastRenderedPageBreak/>
              <w:t>academic tone.</w:t>
            </w:r>
            <w:r>
              <w:br/>
              <w:t>(0–2 points)</w:t>
            </w:r>
          </w:p>
        </w:tc>
      </w:tr>
      <w:tr w:rsidR="00511513" w14:paraId="1D7BB3E6" w14:textId="77777777" w:rsidTr="00511513">
        <w:tc>
          <w:tcPr>
            <w:tcW w:w="1075" w:type="dxa"/>
          </w:tcPr>
          <w:p w14:paraId="1A0540AD" w14:textId="77777777" w:rsidR="00511513" w:rsidRDefault="00511513" w:rsidP="00410C33">
            <w:pPr>
              <w:rPr>
                <w:b/>
                <w:bCs/>
              </w:rPr>
            </w:pPr>
            <w:r w:rsidRPr="00356A8C">
              <w:rPr>
                <w:b/>
                <w:bCs/>
              </w:rPr>
              <w:lastRenderedPageBreak/>
              <w:t xml:space="preserve">Citation &amp; Format </w:t>
            </w:r>
          </w:p>
          <w:p w14:paraId="3AF57F8D" w14:textId="31D02AC3" w:rsidR="00511513" w:rsidRPr="00356A8C" w:rsidRDefault="00511513" w:rsidP="00410C33">
            <w:pPr>
              <w:rPr>
                <w:b/>
                <w:bCs/>
              </w:rPr>
            </w:pPr>
            <w:r w:rsidRPr="00356A8C">
              <w:rPr>
                <w:b/>
                <w:bCs/>
              </w:rPr>
              <w:t>(10 points)</w:t>
            </w:r>
          </w:p>
        </w:tc>
        <w:tc>
          <w:tcPr>
            <w:tcW w:w="2700" w:type="dxa"/>
          </w:tcPr>
          <w:p w14:paraId="772B22C7" w14:textId="77777777" w:rsidR="00511513" w:rsidRDefault="00511513" w:rsidP="00410C33">
            <w:r>
              <w:t>Uses ethical attribution and MLA citation flawlessly; adheres fully to guidelines.</w:t>
            </w:r>
            <w:r>
              <w:br/>
              <w:t>(9–10 points)</w:t>
            </w:r>
          </w:p>
        </w:tc>
        <w:tc>
          <w:tcPr>
            <w:tcW w:w="2070" w:type="dxa"/>
          </w:tcPr>
          <w:p w14:paraId="4CE23556" w14:textId="77777777" w:rsidR="00511513" w:rsidRDefault="00511513" w:rsidP="00410C33">
            <w:r>
              <w:t>Uses MLA citation with few errors; mostly adheres to guidelines.</w:t>
            </w:r>
            <w:r>
              <w:br/>
              <w:t>(6–8 points)</w:t>
            </w:r>
          </w:p>
        </w:tc>
        <w:tc>
          <w:tcPr>
            <w:tcW w:w="2385" w:type="dxa"/>
          </w:tcPr>
          <w:p w14:paraId="1D2506A0" w14:textId="77777777" w:rsidR="00511513" w:rsidRDefault="00511513" w:rsidP="00410C33">
            <w:r>
              <w:t>Uses citation inconsistently or with significant errors.</w:t>
            </w:r>
            <w:r>
              <w:br/>
              <w:t>(3–5 points)</w:t>
            </w:r>
          </w:p>
        </w:tc>
        <w:tc>
          <w:tcPr>
            <w:tcW w:w="1984" w:type="dxa"/>
          </w:tcPr>
          <w:p w14:paraId="307BEE8F" w14:textId="77777777" w:rsidR="00511513" w:rsidRDefault="00511513" w:rsidP="00410C33">
            <w:r>
              <w:t>Uses citation incorrectly or does not adhere to guidelines.</w:t>
            </w:r>
            <w:r>
              <w:br/>
              <w:t>(0–2 points)</w:t>
            </w:r>
          </w:p>
        </w:tc>
      </w:tr>
    </w:tbl>
    <w:p w14:paraId="6166EE71" w14:textId="6789F1F2" w:rsidR="00A247C8" w:rsidRDefault="00A247C8" w:rsidP="00CB7788">
      <w:pPr>
        <w:spacing w:line="240" w:lineRule="auto"/>
        <w:contextualSpacing/>
      </w:pPr>
    </w:p>
    <w:p w14:paraId="1E02DC28" w14:textId="4272CC49" w:rsidR="00A247C8" w:rsidRPr="00A247C8" w:rsidRDefault="00A247C8" w:rsidP="00CB7788">
      <w:pPr>
        <w:pStyle w:val="Heading1"/>
        <w:keepNext w:val="0"/>
        <w:keepLines w:val="0"/>
        <w:contextualSpacing/>
        <w:rPr>
          <w:b/>
          <w:bCs/>
          <w:sz w:val="27"/>
          <w:szCs w:val="27"/>
        </w:rPr>
      </w:pPr>
      <w:r w:rsidRPr="51058E5B">
        <w:t>Sample Student Submission</w:t>
      </w:r>
    </w:p>
    <w:p w14:paraId="63C627D0" w14:textId="675BC2C1" w:rsidR="2BA40A90" w:rsidRDefault="2BA40A90" w:rsidP="00CB7788">
      <w:pPr>
        <w:spacing w:line="240" w:lineRule="auto"/>
        <w:contextualSpacing/>
      </w:pPr>
    </w:p>
    <w:p w14:paraId="6EC4B71B" w14:textId="5505AD88" w:rsidR="00A247C8" w:rsidRPr="00A247C8" w:rsidRDefault="00A247C8" w:rsidP="00CB7788">
      <w:pPr>
        <w:spacing w:line="240" w:lineRule="auto"/>
        <w:contextualSpacing/>
        <w:rPr>
          <w:b/>
          <w:bCs/>
        </w:rPr>
      </w:pPr>
      <w:r w:rsidRPr="2A480C8A">
        <w:rPr>
          <w:b/>
          <w:bCs/>
        </w:rPr>
        <w:t>Edwin Forrest</w:t>
      </w:r>
      <w:r>
        <w:br/>
      </w:r>
      <w:r w:rsidRPr="2A480C8A">
        <w:rPr>
          <w:b/>
          <w:bCs/>
        </w:rPr>
        <w:t>Introduction to Theatr</w:t>
      </w:r>
      <w:r w:rsidR="00CB7788">
        <w:rPr>
          <w:b/>
          <w:bCs/>
        </w:rPr>
        <w:t>e</w:t>
      </w:r>
    </w:p>
    <w:p w14:paraId="0E4634CD" w14:textId="77CB5A8A" w:rsidR="698A0111" w:rsidRDefault="698A0111" w:rsidP="00CB7788">
      <w:pPr>
        <w:spacing w:line="240" w:lineRule="auto"/>
        <w:contextualSpacing/>
        <w:rPr>
          <w:b/>
          <w:bCs/>
        </w:rPr>
      </w:pPr>
      <w:r w:rsidRPr="2A480C8A">
        <w:rPr>
          <w:b/>
          <w:bCs/>
        </w:rPr>
        <w:t>Directorial Review Assignment</w:t>
      </w:r>
    </w:p>
    <w:p w14:paraId="1843F5DF" w14:textId="4BD73CDA" w:rsidR="29A7E0D6" w:rsidRDefault="29A7E0D6" w:rsidP="00CB7788">
      <w:pPr>
        <w:spacing w:line="240" w:lineRule="auto"/>
        <w:contextualSpacing/>
      </w:pPr>
    </w:p>
    <w:p w14:paraId="55DF27A7" w14:textId="77777777" w:rsidR="00CB7788" w:rsidRDefault="00CB7788" w:rsidP="00CB7788">
      <w:pPr>
        <w:spacing w:line="480" w:lineRule="auto"/>
      </w:pPr>
      <w:r>
        <w:t>Marianne Elliott’s Angels in America (2017): Epic Intimacy Through Directorial Precision</w:t>
      </w:r>
    </w:p>
    <w:p w14:paraId="6D010510" w14:textId="77777777" w:rsidR="00CB7788" w:rsidRDefault="00CB7788" w:rsidP="00CB7788">
      <w:pPr>
        <w:spacing w:line="480" w:lineRule="auto"/>
      </w:pPr>
      <w:r>
        <w:t>In Marianne Elliott’s acclaimed 2017 revival of *Angels in America*—first staged at London’s National Theatre before transferring to Broadway—her direction refracts Tony Kushner’s sweeping AIDS-era epic into a charged exploration of myth, identity, and communal resilience. This review contends that Elliott’s staging coherently unites intimacy and spectacle through choreography, visual minimalism, and actor-centric pacing, transforming the epic text into a collectively felt theatrical journey whose historical specificity resonates powerfully in contemporary political context.</w:t>
      </w:r>
    </w:p>
    <w:p w14:paraId="5B2C1705" w14:textId="77777777" w:rsidR="00CB7788" w:rsidRDefault="00CB7788" w:rsidP="00CB7788">
      <w:pPr>
        <w:spacing w:line="480" w:lineRule="auto"/>
      </w:pPr>
    </w:p>
    <w:p w14:paraId="457BFD59" w14:textId="77777777" w:rsidR="00CB7788" w:rsidRDefault="00CB7788" w:rsidP="00CB7788">
      <w:pPr>
        <w:spacing w:line="480" w:lineRule="auto"/>
      </w:pPr>
      <w:r>
        <w:t>Elliott’s directorial thesis is the balance of epic and intimate: a staging discipline that underscores human vulnerability while sustaining the play’s national scope. As Alice Clapie argues in *Miranda*, the production “brought together poetry, political drama, and entertainment: ‘Poetry, Politics and Popcorn’”—suggesting Elliott’s calibration between spectacle and emotional clarity (</w:t>
      </w:r>
      <w:proofErr w:type="spellStart"/>
      <w:r>
        <w:t>Clapie</w:t>
      </w:r>
      <w:proofErr w:type="spellEnd"/>
      <w:r>
        <w:t>). This principle governs her framing: transitions are kinetic and transparent, yielding momentum without stylistic indulgence, and maintaining Kushner’s dynamic flow.</w:t>
      </w:r>
    </w:p>
    <w:p w14:paraId="40B313B4" w14:textId="77777777" w:rsidR="00CB7788" w:rsidRDefault="00CB7788" w:rsidP="00CB7788">
      <w:pPr>
        <w:spacing w:line="480" w:lineRule="auto"/>
      </w:pPr>
    </w:p>
    <w:p w14:paraId="3107A819" w14:textId="77777777" w:rsidR="00CB7788" w:rsidRDefault="00CB7788" w:rsidP="00CB7788">
      <w:pPr>
        <w:spacing w:line="480" w:lineRule="auto"/>
      </w:pPr>
      <w:r>
        <w:lastRenderedPageBreak/>
        <w:t xml:space="preserve">Collaborating with designers Ian MacNeil and Edward Pierce, Elliott employs rotating platforms and trapdoors to enact rapid scene changes in *Millennium Approaches*, invoking Brechtian techniques of visible construction that echo Kushner’s staging notes. </w:t>
      </w:r>
      <w:proofErr w:type="spellStart"/>
      <w:r>
        <w:t>Clapie</w:t>
      </w:r>
      <w:proofErr w:type="spellEnd"/>
      <w:r>
        <w:t xml:space="preserve"> notes the set metaphor: during *Perestroika*, scenery gradually recedes to leave a “large black void,” visually dramatizing the breakdown of political and personal structures under crisis (</w:t>
      </w:r>
      <w:proofErr w:type="spellStart"/>
      <w:r>
        <w:t>Clapie</w:t>
      </w:r>
      <w:proofErr w:type="spellEnd"/>
      <w:r>
        <w:t>). The restrained palette—muted pastels and gray geometries—foregrounds actors over decor, ensuring emotional clarity amid complexity.</w:t>
      </w:r>
    </w:p>
    <w:p w14:paraId="0DC89A68" w14:textId="77777777" w:rsidR="00CB7788" w:rsidRDefault="00CB7788" w:rsidP="00CB7788">
      <w:pPr>
        <w:spacing w:line="480" w:lineRule="auto"/>
      </w:pPr>
    </w:p>
    <w:p w14:paraId="63D83AA8" w14:textId="77777777" w:rsidR="00CB7788" w:rsidRDefault="00CB7788" w:rsidP="00CB7788">
      <w:pPr>
        <w:spacing w:line="480" w:lineRule="auto"/>
      </w:pPr>
      <w:r>
        <w:t xml:space="preserve">Elliott’s precision in casting significantly enhances character embodiment and thematic layering. Andrew Garfield’s Prior Walter exudes both human fragility and prophetic energy; his transitions—from physical decline to celestial calling—are framed through choreographed entrances, lighting shifts, and sustained vocal tone. Denise Gough’s Harper Pitt, in turn, becomes a cipher of psychological dislocation, her breakdown rendered with controlled restraint. </w:t>
      </w:r>
      <w:proofErr w:type="spellStart"/>
      <w:r>
        <w:t>Clapie</w:t>
      </w:r>
      <w:proofErr w:type="spellEnd"/>
      <w:r>
        <w:t xml:space="preserve"> emphasizes how the ensemble’s doubling of roles enriches thematic elasticity—especially in fluid identity and hallucination sequences (</w:t>
      </w:r>
      <w:proofErr w:type="spellStart"/>
      <w:r>
        <w:t>Clapie</w:t>
      </w:r>
      <w:proofErr w:type="spellEnd"/>
      <w:r>
        <w:t>). Meanwhile, Nathan Lane’s Roy Cohn exudes menacing charisma, conjuring contemporary political analogues, a resonance explored in broader critical discourse (Schulman).</w:t>
      </w:r>
    </w:p>
    <w:p w14:paraId="794F25AE" w14:textId="77777777" w:rsidR="00CB7788" w:rsidRDefault="00CB7788" w:rsidP="00CB7788">
      <w:pPr>
        <w:spacing w:line="480" w:lineRule="auto"/>
      </w:pPr>
    </w:p>
    <w:p w14:paraId="6C657E91" w14:textId="77777777" w:rsidR="00CB7788" w:rsidRDefault="00CB7788" w:rsidP="00CB7788">
      <w:pPr>
        <w:spacing w:line="480" w:lineRule="auto"/>
      </w:pPr>
      <w:r>
        <w:t>Elliott choreographs supernatural events—most notably the Angel’s descent through the ceiling—into a rhythm of psychic rupture and catharsis. Scholars and critics alike underscore the tonal alchemy: what begins as intimate domestic realism escalates into hallucinatory epic toward *Perestroika*—a shift Elliott executes via spatial manipulation and musical underscore that neither overwhelms nor undercuts emotional stakes (</w:t>
      </w:r>
      <w:proofErr w:type="spellStart"/>
      <w:r>
        <w:t>Clapie</w:t>
      </w:r>
      <w:proofErr w:type="spellEnd"/>
      <w:r>
        <w:t xml:space="preserve">; Schulman). </w:t>
      </w:r>
      <w:proofErr w:type="spellStart"/>
      <w:r>
        <w:t>Clapie</w:t>
      </w:r>
      <w:proofErr w:type="spellEnd"/>
      <w:r>
        <w:t xml:space="preserve"> situates the staging in Kushner’s tradition of “epic potential,” highlighting that director choices enable or diminish the epic dimension of the text (</w:t>
      </w:r>
      <w:proofErr w:type="spellStart"/>
      <w:r>
        <w:t>Clapie</w:t>
      </w:r>
      <w:proofErr w:type="spellEnd"/>
      <w:r>
        <w:t>).</w:t>
      </w:r>
    </w:p>
    <w:p w14:paraId="0CB57258" w14:textId="77777777" w:rsidR="00CB7788" w:rsidRDefault="00CB7788" w:rsidP="00CB7788">
      <w:pPr>
        <w:spacing w:line="480" w:lineRule="auto"/>
      </w:pPr>
      <w:r>
        <w:lastRenderedPageBreak/>
        <w:t>Although set amid 1985–86 Reagan-era America, Elliott’s *Angels in America* acquired an arresting relevance in 2017–2018. Writers in *American Theatre* stressed that Roy Cohn’s rhetoric and the play’s meditations on denial, authoritarianism, and fear function as unspoken commentary on contemporary political realities (Weinert-Kendt). Elliott intentionally frames Cohn’s speeches and physical domination to echo present-day political discourse, rendering Kushner’s text more than period drama but also urgent cultural critique.</w:t>
      </w:r>
    </w:p>
    <w:p w14:paraId="27F06293" w14:textId="77777777" w:rsidR="00CB7788" w:rsidRDefault="00CB7788" w:rsidP="00CB7788">
      <w:pPr>
        <w:spacing w:line="480" w:lineRule="auto"/>
      </w:pPr>
    </w:p>
    <w:p w14:paraId="4C027B9E" w14:textId="77777777" w:rsidR="00CB7788" w:rsidRDefault="00CB7788" w:rsidP="00CB7788">
      <w:pPr>
        <w:spacing w:line="480" w:lineRule="auto"/>
      </w:pPr>
      <w:r>
        <w:t xml:space="preserve">From spatial momentum to emotional architecture, Elliott’s direction ensures that audience investment remains sustained across the play’s eight-hour arc. </w:t>
      </w:r>
      <w:proofErr w:type="spellStart"/>
      <w:r>
        <w:t>Clapie</w:t>
      </w:r>
      <w:proofErr w:type="spellEnd"/>
      <w:r>
        <w:t xml:space="preserve"> notes that the production delivers the “rewards of patience and effort and the pleasures of an epic journey”—audiences emerge transformed, both intellectually and emotionally (</w:t>
      </w:r>
      <w:proofErr w:type="spellStart"/>
      <w:r>
        <w:t>Clapie</w:t>
      </w:r>
      <w:proofErr w:type="spellEnd"/>
      <w:r>
        <w:t>). The staging is thus not merely efficient but ethically engaged, demanding that spectators confront the intersections of illness, identity, and national myth.</w:t>
      </w:r>
    </w:p>
    <w:p w14:paraId="164D2A8D" w14:textId="77777777" w:rsidR="00CB7788" w:rsidRDefault="00CB7788" w:rsidP="00CB7788">
      <w:pPr>
        <w:spacing w:line="480" w:lineRule="auto"/>
      </w:pPr>
      <w:r>
        <w:t>Marianne Elliott’s *Angels in America* revives Kushner’s epic with clarity and compassion. Her direction balances the vast scope of national trauma with intimate, character-driven storytelling. Through thoughtful staging, disciplined choreography, and casting that embodies psychological depth, Elliott renders the play not as a relic of the AIDS crisis but as a metaphor for collective endurance. In doing so, she demonstrates that theatrical epic can reside in deeply intimate moments—and that, across decades, hope still arrives through art.</w:t>
      </w:r>
    </w:p>
    <w:p w14:paraId="29662802" w14:textId="77777777" w:rsidR="00CB7788" w:rsidRDefault="00CB7788" w:rsidP="00CB7788">
      <w:pPr>
        <w:spacing w:line="480" w:lineRule="auto"/>
      </w:pPr>
    </w:p>
    <w:p w14:paraId="4F19A4D3" w14:textId="77777777" w:rsidR="00CB7788" w:rsidRDefault="00CB7788" w:rsidP="00CB7788">
      <w:pPr>
        <w:spacing w:line="480" w:lineRule="auto"/>
        <w:jc w:val="center"/>
      </w:pPr>
      <w:r>
        <w:rPr>
          <w:b/>
        </w:rPr>
        <w:t>Works Cited</w:t>
      </w:r>
    </w:p>
    <w:p w14:paraId="25D51329" w14:textId="77777777" w:rsidR="00CB7788" w:rsidRDefault="00CB7788" w:rsidP="00CB7788">
      <w:pPr>
        <w:spacing w:line="480" w:lineRule="auto"/>
        <w:ind w:left="720" w:hanging="720"/>
      </w:pPr>
      <w:proofErr w:type="spellStart"/>
      <w:r>
        <w:t>Clapie</w:t>
      </w:r>
      <w:proofErr w:type="spellEnd"/>
      <w:r>
        <w:t>, Alice. “Poetry, Politics and Popcorn: Angels in America at the National Theatre.” Miranda, no. 15, 2017, journals.openedition.org/</w:t>
      </w:r>
      <w:proofErr w:type="spellStart"/>
      <w:r>
        <w:t>miranda</w:t>
      </w:r>
      <w:proofErr w:type="spellEnd"/>
      <w:r>
        <w:t>/11084.</w:t>
      </w:r>
    </w:p>
    <w:p w14:paraId="7A4CE3EF" w14:textId="77777777" w:rsidR="00CB7788" w:rsidRDefault="00CB7788" w:rsidP="00CB7788">
      <w:pPr>
        <w:spacing w:line="480" w:lineRule="auto"/>
        <w:ind w:left="720" w:hanging="720"/>
      </w:pPr>
      <w:r>
        <w:lastRenderedPageBreak/>
        <w:t>Schulman, Michael. “’Angels in America’ Rises Again.” The New Yorker, 19 Mar. 2018, www.newyorker.com/magazine/2018/03/26/angels-in-america-rises-again.</w:t>
      </w:r>
    </w:p>
    <w:p w14:paraId="72D13212" w14:textId="77777777" w:rsidR="00CB7788" w:rsidRDefault="00CB7788" w:rsidP="00CB7788">
      <w:pPr>
        <w:spacing w:line="480" w:lineRule="auto"/>
        <w:ind w:left="720" w:hanging="720"/>
      </w:pPr>
      <w:r>
        <w:t>Weinert-Kendt, Rob. “Angels in the Details.” American Theatre, 13 Feb. 2018, www.americantheatre.org/2018/02/13/angels-in-the-details/.</w:t>
      </w:r>
    </w:p>
    <w:p w14:paraId="2EC77EF1" w14:textId="77777777" w:rsidR="00A247C8" w:rsidRDefault="00A247C8" w:rsidP="00CB7788">
      <w:pPr>
        <w:spacing w:line="240" w:lineRule="auto"/>
        <w:contextualSpacing/>
      </w:pPr>
    </w:p>
    <w:sectPr w:rsidR="00A247C8">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8ACA" w14:textId="77777777" w:rsidR="001752E6" w:rsidRDefault="001752E6">
      <w:pPr>
        <w:spacing w:line="240" w:lineRule="auto"/>
      </w:pPr>
      <w:r>
        <w:separator/>
      </w:r>
    </w:p>
  </w:endnote>
  <w:endnote w:type="continuationSeparator" w:id="0">
    <w:p w14:paraId="3A3FE399" w14:textId="77777777" w:rsidR="001752E6" w:rsidRDefault="00175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51058E5B" w14:paraId="0A65E644" w14:textId="77777777" w:rsidTr="51058E5B">
      <w:trPr>
        <w:trHeight w:val="300"/>
      </w:trPr>
      <w:tc>
        <w:tcPr>
          <w:tcW w:w="3405" w:type="dxa"/>
        </w:tcPr>
        <w:p w14:paraId="261AAA15" w14:textId="2239591D" w:rsidR="51058E5B" w:rsidRDefault="51058E5B" w:rsidP="51058E5B">
          <w:pPr>
            <w:pStyle w:val="Header"/>
            <w:ind w:left="-115"/>
          </w:pPr>
        </w:p>
      </w:tc>
      <w:tc>
        <w:tcPr>
          <w:tcW w:w="3405" w:type="dxa"/>
        </w:tcPr>
        <w:p w14:paraId="59CFCEEB" w14:textId="7A643E5B" w:rsidR="51058E5B" w:rsidRDefault="51058E5B" w:rsidP="51058E5B">
          <w:pPr>
            <w:pStyle w:val="Header"/>
            <w:jc w:val="center"/>
          </w:pPr>
        </w:p>
      </w:tc>
      <w:tc>
        <w:tcPr>
          <w:tcW w:w="3405" w:type="dxa"/>
        </w:tcPr>
        <w:p w14:paraId="2828530E" w14:textId="2B9B4647" w:rsidR="51058E5B" w:rsidRDefault="51058E5B" w:rsidP="51058E5B">
          <w:pPr>
            <w:pStyle w:val="Header"/>
            <w:ind w:right="-115"/>
            <w:jc w:val="right"/>
          </w:pPr>
          <w:r w:rsidRPr="51058E5B">
            <w:rPr>
              <w:sz w:val="16"/>
              <w:szCs w:val="16"/>
            </w:rPr>
            <w:fldChar w:fldCharType="begin"/>
          </w:r>
          <w:r>
            <w:instrText>PAGE</w:instrText>
          </w:r>
          <w:r w:rsidRPr="51058E5B">
            <w:fldChar w:fldCharType="separate"/>
          </w:r>
          <w:r w:rsidR="00CB7788">
            <w:rPr>
              <w:noProof/>
            </w:rPr>
            <w:t>1</w:t>
          </w:r>
          <w:r w:rsidRPr="51058E5B">
            <w:rPr>
              <w:sz w:val="16"/>
              <w:szCs w:val="16"/>
            </w:rPr>
            <w:fldChar w:fldCharType="end"/>
          </w:r>
        </w:p>
      </w:tc>
    </w:tr>
  </w:tbl>
  <w:p w14:paraId="3B4D6707" w14:textId="3F7FD8BB" w:rsidR="51058E5B" w:rsidRDefault="51058E5B" w:rsidP="51058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7737" w14:textId="77777777" w:rsidR="001752E6" w:rsidRDefault="001752E6">
      <w:pPr>
        <w:spacing w:line="240" w:lineRule="auto"/>
      </w:pPr>
      <w:r>
        <w:separator/>
      </w:r>
    </w:p>
  </w:footnote>
  <w:footnote w:type="continuationSeparator" w:id="0">
    <w:p w14:paraId="0ABBBAB5" w14:textId="77777777" w:rsidR="001752E6" w:rsidRDefault="001752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51058E5B" w14:paraId="3A7F5C7D" w14:textId="77777777" w:rsidTr="51058E5B">
      <w:trPr>
        <w:trHeight w:val="300"/>
      </w:trPr>
      <w:tc>
        <w:tcPr>
          <w:tcW w:w="3405" w:type="dxa"/>
        </w:tcPr>
        <w:p w14:paraId="4062479D" w14:textId="2EA4D8AA" w:rsidR="51058E5B" w:rsidRDefault="51058E5B" w:rsidP="51058E5B">
          <w:pPr>
            <w:pStyle w:val="Header"/>
            <w:ind w:left="-115"/>
          </w:pPr>
        </w:p>
      </w:tc>
      <w:tc>
        <w:tcPr>
          <w:tcW w:w="3405" w:type="dxa"/>
        </w:tcPr>
        <w:p w14:paraId="79AA8DD6" w14:textId="34D86C89" w:rsidR="51058E5B" w:rsidRDefault="51058E5B" w:rsidP="51058E5B">
          <w:pPr>
            <w:pStyle w:val="Header"/>
            <w:jc w:val="center"/>
          </w:pPr>
        </w:p>
      </w:tc>
      <w:tc>
        <w:tcPr>
          <w:tcW w:w="3405" w:type="dxa"/>
        </w:tcPr>
        <w:p w14:paraId="1D21ECA2" w14:textId="1848F1F9" w:rsidR="51058E5B" w:rsidRDefault="51058E5B" w:rsidP="51058E5B">
          <w:pPr>
            <w:pStyle w:val="Header"/>
            <w:ind w:right="-115"/>
            <w:jc w:val="right"/>
          </w:pPr>
        </w:p>
      </w:tc>
    </w:tr>
  </w:tbl>
  <w:p w14:paraId="150B83BE" w14:textId="0DE3A796" w:rsidR="51058E5B" w:rsidRDefault="51058E5B" w:rsidP="51058E5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0BxE0fR" int2:invalidationBookmarkName="" int2:hashCode="Ufx/v7iAG/K1CO" int2:id="qWNUE4wD">
      <int2:state int2:value="Rejected" int2:type="gram"/>
    </int2:bookmark>
    <int2:bookmark int2:bookmarkName="_Int_zlGa4JmU" int2:invalidationBookmarkName="" int2:hashCode="SWxZ9qnTK2Q80I" int2:id="1Ojvtorg">
      <int2:state int2:value="Rejected" int2:type="gram"/>
    </int2:bookmark>
    <int2:bookmark int2:bookmarkName="_Int_Sa7z9EGg" int2:invalidationBookmarkName="" int2:hashCode="qcOC3s8V/eBXe0" int2:id="vnVkkDUR">
      <int2:state int2:value="Rejected" int2:type="gram"/>
    </int2:bookmark>
    <int2:bookmark int2:bookmarkName="_Int_byu5ecTB" int2:invalidationBookmarkName="" int2:hashCode="qcOC3s8V/eBXe0" int2:id="xMxSjKZ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45C0"/>
    <w:multiLevelType w:val="multilevel"/>
    <w:tmpl w:val="360C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76E58"/>
    <w:multiLevelType w:val="multilevel"/>
    <w:tmpl w:val="CD5A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A6F23"/>
    <w:multiLevelType w:val="multilevel"/>
    <w:tmpl w:val="9F1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C8"/>
    <w:rsid w:val="001752E6"/>
    <w:rsid w:val="002D6EBD"/>
    <w:rsid w:val="00322732"/>
    <w:rsid w:val="003424D1"/>
    <w:rsid w:val="003A5E0A"/>
    <w:rsid w:val="004C786B"/>
    <w:rsid w:val="00511513"/>
    <w:rsid w:val="005D25E6"/>
    <w:rsid w:val="006920E3"/>
    <w:rsid w:val="007379B4"/>
    <w:rsid w:val="00761D34"/>
    <w:rsid w:val="00770209"/>
    <w:rsid w:val="00866914"/>
    <w:rsid w:val="008A5B6B"/>
    <w:rsid w:val="00943358"/>
    <w:rsid w:val="00A247C8"/>
    <w:rsid w:val="00C91AE3"/>
    <w:rsid w:val="00CB7788"/>
    <w:rsid w:val="010AF610"/>
    <w:rsid w:val="02237E94"/>
    <w:rsid w:val="02324C77"/>
    <w:rsid w:val="03DB4311"/>
    <w:rsid w:val="03F20A3C"/>
    <w:rsid w:val="0407C37F"/>
    <w:rsid w:val="04521B01"/>
    <w:rsid w:val="0494B4DA"/>
    <w:rsid w:val="0524A9B1"/>
    <w:rsid w:val="05F2D7BC"/>
    <w:rsid w:val="06A24E61"/>
    <w:rsid w:val="084433E9"/>
    <w:rsid w:val="08620A1F"/>
    <w:rsid w:val="08E1D868"/>
    <w:rsid w:val="0A227B90"/>
    <w:rsid w:val="0C98E549"/>
    <w:rsid w:val="0CF30A3E"/>
    <w:rsid w:val="0D0FB79D"/>
    <w:rsid w:val="0D3F93DD"/>
    <w:rsid w:val="0D4DE794"/>
    <w:rsid w:val="0D9908C0"/>
    <w:rsid w:val="0DC86360"/>
    <w:rsid w:val="1166E877"/>
    <w:rsid w:val="1273EA1A"/>
    <w:rsid w:val="1431612C"/>
    <w:rsid w:val="14CE080C"/>
    <w:rsid w:val="16D64458"/>
    <w:rsid w:val="16FD0C9D"/>
    <w:rsid w:val="17A4523B"/>
    <w:rsid w:val="195B2702"/>
    <w:rsid w:val="197F67C2"/>
    <w:rsid w:val="19C96BC4"/>
    <w:rsid w:val="1CF949FA"/>
    <w:rsid w:val="1DA4AE00"/>
    <w:rsid w:val="1EA0678F"/>
    <w:rsid w:val="2130A043"/>
    <w:rsid w:val="246EB4B0"/>
    <w:rsid w:val="24EC7E2E"/>
    <w:rsid w:val="2504D9A4"/>
    <w:rsid w:val="26404A59"/>
    <w:rsid w:val="29A7E0D6"/>
    <w:rsid w:val="2A457208"/>
    <w:rsid w:val="2A480C8A"/>
    <w:rsid w:val="2BA40A90"/>
    <w:rsid w:val="2BEAFFD7"/>
    <w:rsid w:val="2DD05407"/>
    <w:rsid w:val="3061BCFE"/>
    <w:rsid w:val="32A5029A"/>
    <w:rsid w:val="32E4B069"/>
    <w:rsid w:val="3524D2B5"/>
    <w:rsid w:val="365AC461"/>
    <w:rsid w:val="36BB994A"/>
    <w:rsid w:val="37BCDF32"/>
    <w:rsid w:val="38D75064"/>
    <w:rsid w:val="3A4A7BD7"/>
    <w:rsid w:val="3ACE6CAC"/>
    <w:rsid w:val="3B8DEF89"/>
    <w:rsid w:val="3B965179"/>
    <w:rsid w:val="3BFF810D"/>
    <w:rsid w:val="3C56653A"/>
    <w:rsid w:val="3D830A6A"/>
    <w:rsid w:val="3E17350B"/>
    <w:rsid w:val="3E680C5C"/>
    <w:rsid w:val="3F616547"/>
    <w:rsid w:val="41138962"/>
    <w:rsid w:val="416ED5ED"/>
    <w:rsid w:val="41E25FFC"/>
    <w:rsid w:val="424475E4"/>
    <w:rsid w:val="4317435C"/>
    <w:rsid w:val="4713B694"/>
    <w:rsid w:val="4832C56A"/>
    <w:rsid w:val="48E3678F"/>
    <w:rsid w:val="4A2B35FA"/>
    <w:rsid w:val="4A510143"/>
    <w:rsid w:val="4C058875"/>
    <w:rsid w:val="4CDE06C1"/>
    <w:rsid w:val="4D95DC50"/>
    <w:rsid w:val="4EBBB6E9"/>
    <w:rsid w:val="50DFF504"/>
    <w:rsid w:val="51058E5B"/>
    <w:rsid w:val="55572ACE"/>
    <w:rsid w:val="563B713E"/>
    <w:rsid w:val="56F13E9D"/>
    <w:rsid w:val="57AD95D3"/>
    <w:rsid w:val="598F5ECE"/>
    <w:rsid w:val="5996EA17"/>
    <w:rsid w:val="59A7A412"/>
    <w:rsid w:val="5B6AEDBF"/>
    <w:rsid w:val="5C391D11"/>
    <w:rsid w:val="5C53E45F"/>
    <w:rsid w:val="5CCC8580"/>
    <w:rsid w:val="5DB20F3D"/>
    <w:rsid w:val="5E2DCCBC"/>
    <w:rsid w:val="60BB3F89"/>
    <w:rsid w:val="6214CF01"/>
    <w:rsid w:val="62BA6B4F"/>
    <w:rsid w:val="62BB277D"/>
    <w:rsid w:val="6402CFEF"/>
    <w:rsid w:val="66A13241"/>
    <w:rsid w:val="680C9916"/>
    <w:rsid w:val="6855FC84"/>
    <w:rsid w:val="68E6E727"/>
    <w:rsid w:val="698A0111"/>
    <w:rsid w:val="6A49C87B"/>
    <w:rsid w:val="6A5C5B39"/>
    <w:rsid w:val="6AE4CAEB"/>
    <w:rsid w:val="6C1659EF"/>
    <w:rsid w:val="6D5DB735"/>
    <w:rsid w:val="6F0AEFEE"/>
    <w:rsid w:val="6FE0A74A"/>
    <w:rsid w:val="70A08D9F"/>
    <w:rsid w:val="72604102"/>
    <w:rsid w:val="72A12A4A"/>
    <w:rsid w:val="72D60ACD"/>
    <w:rsid w:val="73A78BA2"/>
    <w:rsid w:val="73C1C6CC"/>
    <w:rsid w:val="74751DD1"/>
    <w:rsid w:val="7589FE2C"/>
    <w:rsid w:val="7603029A"/>
    <w:rsid w:val="7778AA0C"/>
    <w:rsid w:val="77F1FF89"/>
    <w:rsid w:val="78413A9D"/>
    <w:rsid w:val="78F83A76"/>
    <w:rsid w:val="7A460351"/>
    <w:rsid w:val="7B5ACF79"/>
    <w:rsid w:val="7C1B61A3"/>
    <w:rsid w:val="7C866AF4"/>
    <w:rsid w:val="7F00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C1D6"/>
  <w15:chartTrackingRefBased/>
  <w15:docId w15:val="{A814A9C8-A137-EA41-B088-67C181FE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24D2B5"/>
    <w:pPr>
      <w:spacing w:after="0"/>
    </w:pPr>
    <w:rPr>
      <w:rFonts w:ascii="Calibri" w:eastAsia="Calibri" w:hAnsi="Calibri" w:cs="Calibri"/>
    </w:rPr>
  </w:style>
  <w:style w:type="paragraph" w:styleId="Heading1">
    <w:name w:val="heading 1"/>
    <w:basedOn w:val="Normal"/>
    <w:next w:val="Normal"/>
    <w:link w:val="Heading1Char"/>
    <w:uiPriority w:val="9"/>
    <w:qFormat/>
    <w:rsid w:val="3524D2B5"/>
    <w:pPr>
      <w:keepNext/>
      <w:keepLines/>
      <w:spacing w:line="240" w:lineRule="auto"/>
      <w:outlineLvl w:val="0"/>
    </w:pPr>
    <w:rPr>
      <w:color w:val="2F5597"/>
      <w:sz w:val="32"/>
      <w:szCs w:val="32"/>
    </w:rPr>
  </w:style>
  <w:style w:type="paragraph" w:styleId="Heading2">
    <w:name w:val="heading 2"/>
    <w:basedOn w:val="Normal"/>
    <w:next w:val="Normal"/>
    <w:link w:val="Heading2Char"/>
    <w:uiPriority w:val="9"/>
    <w:unhideWhenUsed/>
    <w:qFormat/>
    <w:rsid w:val="3524D2B5"/>
    <w:pPr>
      <w:keepNext/>
      <w:keepLines/>
      <w:outlineLvl w:val="1"/>
    </w:pPr>
    <w:rPr>
      <w:color w:val="2F5597"/>
      <w:sz w:val="26"/>
      <w:szCs w:val="26"/>
    </w:rPr>
  </w:style>
  <w:style w:type="paragraph" w:styleId="Heading3">
    <w:name w:val="heading 3"/>
    <w:basedOn w:val="Normal"/>
    <w:next w:val="Normal"/>
    <w:link w:val="Heading3Char"/>
    <w:uiPriority w:val="9"/>
    <w:unhideWhenUsed/>
    <w:qFormat/>
    <w:rsid w:val="3524D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524D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524D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524D2B5"/>
    <w:pPr>
      <w:keepNext/>
      <w:keepLines/>
      <w:spacing w:before="4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3524D2B5"/>
    <w:pPr>
      <w:keepNext/>
      <w:keepLines/>
      <w:spacing w:before="40"/>
      <w:outlineLvl w:val="6"/>
    </w:pPr>
    <w:rPr>
      <w:rFonts w:eastAsiaTheme="majorEastAsia" w:cstheme="majorBidi"/>
      <w:color w:val="000000" w:themeColor="text1"/>
    </w:rPr>
  </w:style>
  <w:style w:type="paragraph" w:styleId="Heading8">
    <w:name w:val="heading 8"/>
    <w:basedOn w:val="Normal"/>
    <w:next w:val="Normal"/>
    <w:link w:val="Heading8Char"/>
    <w:uiPriority w:val="9"/>
    <w:semiHidden/>
    <w:unhideWhenUsed/>
    <w:qFormat/>
    <w:rsid w:val="3524D2B5"/>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524D2B5"/>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524D2B5"/>
    <w:rPr>
      <w:rFonts w:ascii="Calibri" w:eastAsia="Calibri" w:hAnsi="Calibri" w:cs="Calibri"/>
      <w:color w:val="2F5597"/>
      <w:sz w:val="32"/>
      <w:szCs w:val="32"/>
    </w:rPr>
  </w:style>
  <w:style w:type="character" w:customStyle="1" w:styleId="Heading2Char">
    <w:name w:val="Heading 2 Char"/>
    <w:basedOn w:val="DefaultParagraphFont"/>
    <w:link w:val="Heading2"/>
    <w:uiPriority w:val="9"/>
    <w:rsid w:val="2BA40A90"/>
    <w:rPr>
      <w:rFonts w:ascii="Calibri" w:eastAsia="Calibri" w:hAnsi="Calibri" w:cs="Calibri"/>
      <w:color w:val="2F5597"/>
      <w:sz w:val="26"/>
      <w:szCs w:val="26"/>
    </w:rPr>
  </w:style>
  <w:style w:type="character" w:customStyle="1" w:styleId="Heading3Char">
    <w:name w:val="Heading 3 Char"/>
    <w:basedOn w:val="DefaultParagraphFont"/>
    <w:link w:val="Heading3"/>
    <w:uiPriority w:val="9"/>
    <w:rsid w:val="00A24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4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7C8"/>
    <w:rPr>
      <w:rFonts w:eastAsiaTheme="majorEastAsia" w:cstheme="majorBidi"/>
      <w:color w:val="272727" w:themeColor="text1" w:themeTint="D8"/>
    </w:rPr>
  </w:style>
  <w:style w:type="paragraph" w:styleId="Title">
    <w:name w:val="Title"/>
    <w:basedOn w:val="Normal"/>
    <w:next w:val="Normal"/>
    <w:link w:val="TitleChar"/>
    <w:uiPriority w:val="10"/>
    <w:qFormat/>
    <w:rsid w:val="3524D2B5"/>
    <w:pPr>
      <w:spacing w:after="80"/>
      <w:contextualSpacing/>
    </w:pPr>
    <w:rPr>
      <w:rFonts w:ascii="Aptos" w:eastAsia="Aptos" w:hAnsi="Aptos"/>
      <w:color w:val="2F5597"/>
      <w:sz w:val="56"/>
      <w:szCs w:val="56"/>
    </w:rPr>
  </w:style>
  <w:style w:type="character" w:customStyle="1" w:styleId="TitleChar">
    <w:name w:val="Title Char"/>
    <w:basedOn w:val="DefaultParagraphFont"/>
    <w:link w:val="Title"/>
    <w:uiPriority w:val="10"/>
    <w:rsid w:val="2BA40A90"/>
    <w:rPr>
      <w:rFonts w:asciiTheme="minorHAnsi" w:eastAsiaTheme="minorEastAsia" w:hAnsiTheme="minorHAnsi" w:cstheme="minorBidi"/>
      <w:color w:val="2F5597"/>
      <w:sz w:val="56"/>
      <w:szCs w:val="56"/>
    </w:rPr>
  </w:style>
  <w:style w:type="paragraph" w:styleId="Subtitle">
    <w:name w:val="Subtitle"/>
    <w:basedOn w:val="Normal"/>
    <w:next w:val="Normal"/>
    <w:link w:val="SubtitleChar"/>
    <w:uiPriority w:val="11"/>
    <w:qFormat/>
    <w:rsid w:val="3524D2B5"/>
    <w:rPr>
      <w:rFonts w:eastAsiaTheme="majorEastAsia" w:cstheme="majorBidi"/>
      <w:color w:val="000000" w:themeColor="text1"/>
      <w:sz w:val="28"/>
      <w:szCs w:val="28"/>
    </w:rPr>
  </w:style>
  <w:style w:type="character" w:customStyle="1" w:styleId="SubtitleChar">
    <w:name w:val="Subtitle Char"/>
    <w:basedOn w:val="DefaultParagraphFont"/>
    <w:link w:val="Subtitle"/>
    <w:uiPriority w:val="11"/>
    <w:rsid w:val="00A24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524D2B5"/>
    <w:pPr>
      <w:spacing w:before="160"/>
      <w:jc w:val="center"/>
    </w:pPr>
    <w:rPr>
      <w:i/>
      <w:iCs/>
      <w:color w:val="000000" w:themeColor="text1"/>
    </w:rPr>
  </w:style>
  <w:style w:type="character" w:customStyle="1" w:styleId="QuoteChar">
    <w:name w:val="Quote Char"/>
    <w:basedOn w:val="DefaultParagraphFont"/>
    <w:link w:val="Quote"/>
    <w:uiPriority w:val="29"/>
    <w:rsid w:val="00A247C8"/>
    <w:rPr>
      <w:i/>
      <w:iCs/>
      <w:color w:val="404040" w:themeColor="text1" w:themeTint="BF"/>
    </w:rPr>
  </w:style>
  <w:style w:type="paragraph" w:styleId="ListParagraph">
    <w:name w:val="List Paragraph"/>
    <w:basedOn w:val="Normal"/>
    <w:uiPriority w:val="34"/>
    <w:qFormat/>
    <w:rsid w:val="3524D2B5"/>
    <w:pPr>
      <w:ind w:left="720"/>
      <w:contextualSpacing/>
    </w:pPr>
  </w:style>
  <w:style w:type="character" w:styleId="IntenseEmphasis">
    <w:name w:val="Intense Emphasis"/>
    <w:basedOn w:val="DefaultParagraphFont"/>
    <w:uiPriority w:val="21"/>
    <w:qFormat/>
    <w:rsid w:val="00A247C8"/>
    <w:rPr>
      <w:i/>
      <w:iCs/>
      <w:color w:val="0F4761" w:themeColor="accent1" w:themeShade="BF"/>
    </w:rPr>
  </w:style>
  <w:style w:type="paragraph" w:styleId="IntenseQuote">
    <w:name w:val="Intense Quote"/>
    <w:basedOn w:val="Normal"/>
    <w:next w:val="Normal"/>
    <w:link w:val="IntenseQuoteChar"/>
    <w:uiPriority w:val="30"/>
    <w:qFormat/>
    <w:rsid w:val="3524D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7C8"/>
    <w:rPr>
      <w:i/>
      <w:iCs/>
      <w:color w:val="0F4761" w:themeColor="accent1" w:themeShade="BF"/>
    </w:rPr>
  </w:style>
  <w:style w:type="character" w:styleId="IntenseReference">
    <w:name w:val="Intense Reference"/>
    <w:basedOn w:val="DefaultParagraphFont"/>
    <w:uiPriority w:val="32"/>
    <w:qFormat/>
    <w:rsid w:val="00A247C8"/>
    <w:rPr>
      <w:b/>
      <w:bCs/>
      <w:smallCaps/>
      <w:color w:val="0F4761" w:themeColor="accent1" w:themeShade="BF"/>
      <w:spacing w:val="5"/>
    </w:rPr>
  </w:style>
  <w:style w:type="character" w:styleId="Strong">
    <w:name w:val="Strong"/>
    <w:basedOn w:val="DefaultParagraphFont"/>
    <w:uiPriority w:val="22"/>
    <w:qFormat/>
    <w:rsid w:val="00A247C8"/>
    <w:rPr>
      <w:b/>
      <w:bCs/>
    </w:rPr>
  </w:style>
  <w:style w:type="paragraph" w:styleId="NormalWeb">
    <w:name w:val="Normal (Web)"/>
    <w:basedOn w:val="Normal"/>
    <w:uiPriority w:val="99"/>
    <w:semiHidden/>
    <w:unhideWhenUsed/>
    <w:rsid w:val="3524D2B5"/>
    <w:pPr>
      <w:spacing w:beforeAutospacing="1" w:afterAutospacing="1"/>
    </w:pPr>
    <w:rPr>
      <w:rFonts w:ascii="Times New Roman" w:eastAsia="Times New Roman" w:hAnsi="Times New Roman" w:cs="Times New Roman"/>
    </w:rPr>
  </w:style>
  <w:style w:type="character" w:styleId="Emphasis">
    <w:name w:val="Emphasis"/>
    <w:basedOn w:val="DefaultParagraphFont"/>
    <w:uiPriority w:val="20"/>
    <w:qFormat/>
    <w:rsid w:val="00A247C8"/>
    <w:rPr>
      <w:i/>
      <w:iCs/>
    </w:rPr>
  </w:style>
  <w:style w:type="character" w:styleId="Hyperlink">
    <w:name w:val="Hyperlink"/>
    <w:basedOn w:val="DefaultParagraphFont"/>
    <w:uiPriority w:val="99"/>
    <w:semiHidden/>
    <w:unhideWhenUsed/>
    <w:rsid w:val="00A247C8"/>
    <w:rPr>
      <w:color w:val="0000FF"/>
      <w:u w:val="single"/>
    </w:rPr>
  </w:style>
  <w:style w:type="paragraph" w:styleId="Header">
    <w:name w:val="header"/>
    <w:basedOn w:val="Normal"/>
    <w:uiPriority w:val="99"/>
    <w:unhideWhenUsed/>
    <w:rsid w:val="51058E5B"/>
    <w:pPr>
      <w:tabs>
        <w:tab w:val="center" w:pos="4680"/>
        <w:tab w:val="right" w:pos="9360"/>
      </w:tabs>
      <w:spacing w:line="240" w:lineRule="auto"/>
    </w:pPr>
  </w:style>
  <w:style w:type="paragraph" w:styleId="Footer">
    <w:name w:val="footer"/>
    <w:basedOn w:val="Normal"/>
    <w:uiPriority w:val="99"/>
    <w:unhideWhenUsed/>
    <w:rsid w:val="51058E5B"/>
    <w:pPr>
      <w:tabs>
        <w:tab w:val="center" w:pos="4680"/>
        <w:tab w:val="right" w:pos="9360"/>
      </w:tabs>
      <w:spacing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CB77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617">
      <w:bodyDiv w:val="1"/>
      <w:marLeft w:val="0"/>
      <w:marRight w:val="0"/>
      <w:marTop w:val="0"/>
      <w:marBottom w:val="0"/>
      <w:divBdr>
        <w:top w:val="none" w:sz="0" w:space="0" w:color="auto"/>
        <w:left w:val="none" w:sz="0" w:space="0" w:color="auto"/>
        <w:bottom w:val="none" w:sz="0" w:space="0" w:color="auto"/>
        <w:right w:val="none" w:sz="0" w:space="0" w:color="auto"/>
      </w:divBdr>
    </w:div>
    <w:div w:id="544950849">
      <w:bodyDiv w:val="1"/>
      <w:marLeft w:val="0"/>
      <w:marRight w:val="0"/>
      <w:marTop w:val="0"/>
      <w:marBottom w:val="0"/>
      <w:divBdr>
        <w:top w:val="none" w:sz="0" w:space="0" w:color="auto"/>
        <w:left w:val="none" w:sz="0" w:space="0" w:color="auto"/>
        <w:bottom w:val="none" w:sz="0" w:space="0" w:color="auto"/>
        <w:right w:val="none" w:sz="0" w:space="0" w:color="auto"/>
      </w:divBdr>
    </w:div>
    <w:div w:id="21244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811A1-892C-4627-B407-3F73AE58C000}">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2CF08E46-E04C-40C5-B681-905BA510315F}">
  <ds:schemaRefs>
    <ds:schemaRef ds:uri="http://schemas.microsoft.com/sharepoint/v3/contenttype/forms"/>
  </ds:schemaRefs>
</ds:datastoreItem>
</file>

<file path=customXml/itemProps3.xml><?xml version="1.0" encoding="utf-8"?>
<ds:datastoreItem xmlns:ds="http://schemas.openxmlformats.org/officeDocument/2006/customXml" ds:itemID="{C4CF6E7F-E5CB-436A-9106-D05E2BE4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18</cp:revision>
  <dcterms:created xsi:type="dcterms:W3CDTF">2025-07-02T14:04:00Z</dcterms:created>
  <dcterms:modified xsi:type="dcterms:W3CDTF">2025-09-09T17:15:00Z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