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Hill Country Nurse Practitioners Association</w:t>
        <w:br w:type="textWrapping"/>
        <w:t xml:space="preserve">http://hcnpa.enpnetwork.com</w:t>
        <w:br w:type="textWrapping"/>
        <w:t xml:space="preserve">GM Agenda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February 8, 2017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MacAdoo’s, New Braunfels, TX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Meet and Greet: 6:00 - 6:30 pm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Business Meeting: 6:30 - 7:00 pm, Dawn Peterson,  President, Presiding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Call to order, silence cell phones: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Introduction of officers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Reports</w:t>
      </w:r>
      <w:r w:rsidDel="00000000" w:rsidR="00000000" w:rsidRPr="00000000">
        <w:rPr>
          <w:rtl w:val="0"/>
        </w:rPr>
        <w:br w:type="textWrapping"/>
        <w:t xml:space="preserve">Monthly Treasurer’s Report – Jini Miller (posted on Hill Country APN ENP web site for review prior to meeting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Approve minutes January 2017 meeting.  Members to review reports attached to meeting announcement prior to business meeting.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New Business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2017 Budget proposal and discussion and possible vote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Solicitation by APEA regarding paying to have link and info on ENP site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Call for Committee Members - review of committee responsibilities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Legislative Update - Laura Greek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APRN Alliance Capitol Day - Friday, February 10th - sold out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Job postings, CME and preceptors needed (please use white index cards on the tables to present to Paula Worley before end of meeting for posting on ENP 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Adjourn</w:t>
        <w:br w:type="textWrapping"/>
        <w:br w:type="textWrapping"/>
        <w:t xml:space="preserve">I, ______________________________, claim _____ hours of CME, according to the guidelines for AMAPRA Category II credit. This may count toward a portion of the required CME hours for PAs, as well as NPs certified through ANCC. (</w:t>
      </w:r>
      <w:r w:rsidDel="00000000" w:rsidR="00000000" w:rsidRPr="00000000">
        <w:rPr>
          <w:i w:val="1"/>
          <w:rtl w:val="0"/>
        </w:rPr>
        <w:t xml:space="preserve">AANP and the Texas Board of Nursing each recognize only Category I CME) 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343537"/>
          <w:sz w:val="23"/>
          <w:szCs w:val="23"/>
          <w:highlight w:val="white"/>
          <w:u w:val="single"/>
          <w:rtl w:val="0"/>
        </w:rPr>
        <w:t xml:space="preserve">Educational Presentation: Pure EPA: Mechanism and Clinical Data</w:t>
      </w:r>
    </w:p>
    <w:p w:rsidR="00000000" w:rsidDel="00000000" w:rsidP="00000000" w:rsidRDefault="00000000" w:rsidRPr="00000000">
      <w:pPr>
        <w:pStyle w:val="Heading5"/>
        <w:keepNext w:val="0"/>
        <w:keepLines w:val="0"/>
        <w:spacing w:after="0" w:before="160" w:line="316.8" w:lineRule="auto"/>
        <w:contextualSpacing w:val="0"/>
      </w:pPr>
      <w:bookmarkStart w:colFirst="0" w:colLast="0" w:name="_i2n8qd9pt55k" w:id="0"/>
      <w:bookmarkEnd w:id="0"/>
      <w:r w:rsidDel="00000000" w:rsidR="00000000" w:rsidRPr="00000000">
        <w:rPr>
          <w:color w:val="343537"/>
          <w:sz w:val="23"/>
          <w:szCs w:val="23"/>
          <w:highlight w:val="white"/>
          <w:rtl w:val="0"/>
        </w:rPr>
        <w:t xml:space="preserve">Speaker: </w:t>
      </w:r>
      <w:r w:rsidDel="00000000" w:rsidR="00000000" w:rsidRPr="00000000">
        <w:rPr>
          <w:b w:val="1"/>
          <w:color w:val="343537"/>
          <w:sz w:val="23"/>
          <w:szCs w:val="23"/>
          <w:highlight w:val="white"/>
          <w:rtl w:val="0"/>
        </w:rPr>
        <w:t xml:space="preserve">Kota Reddy, MD</w:t>
      </w:r>
      <w:r w:rsidDel="00000000" w:rsidR="00000000" w:rsidRPr="00000000">
        <w:rPr>
          <w:color w:val="343537"/>
          <w:sz w:val="23"/>
          <w:szCs w:val="23"/>
          <w:highlight w:val="white"/>
          <w:rtl w:val="0"/>
        </w:rPr>
        <w:t xml:space="preserve"> Sponsored By </w:t>
      </w:r>
      <w:r w:rsidDel="00000000" w:rsidR="00000000" w:rsidRPr="00000000">
        <w:rPr>
          <w:b w:val="1"/>
          <w:i w:val="1"/>
          <w:color w:val="343537"/>
          <w:sz w:val="23"/>
          <w:szCs w:val="23"/>
          <w:highlight w:val="white"/>
          <w:rtl w:val="0"/>
        </w:rPr>
        <w:t xml:space="preserve">Kristen Carden</w:t>
      </w:r>
      <w:r w:rsidDel="00000000" w:rsidR="00000000" w:rsidRPr="00000000">
        <w:rPr>
          <w:color w:val="343537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43537"/>
          <w:sz w:val="23"/>
          <w:szCs w:val="23"/>
          <w:highlight w:val="white"/>
          <w:rtl w:val="0"/>
        </w:rPr>
        <w:t xml:space="preserve">Kowa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