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44E" w:rsidRDefault="0098244E">
      <w:pPr>
        <w:rPr>
          <w:b/>
          <w:sz w:val="32"/>
          <w:szCs w:val="32"/>
          <w:u w:val="single"/>
        </w:rPr>
      </w:pPr>
      <w:r>
        <w:rPr>
          <w:b/>
          <w:noProof/>
          <w:sz w:val="32"/>
          <w:szCs w:val="32"/>
          <w:u w:val="single"/>
        </w:rPr>
        <w:drawing>
          <wp:anchor distT="0" distB="0" distL="114300" distR="114300" simplePos="0" relativeHeight="251658240" behindDoc="1" locked="0" layoutInCell="1" allowOverlap="1" wp14:anchorId="6579A0E7" wp14:editId="061EAACB">
            <wp:simplePos x="0" y="0"/>
            <wp:positionH relativeFrom="margin">
              <wp:posOffset>5429250</wp:posOffset>
            </wp:positionH>
            <wp:positionV relativeFrom="paragraph">
              <wp:posOffset>-308610</wp:posOffset>
            </wp:positionV>
            <wp:extent cx="1304925" cy="1141809"/>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EC logo PC Summi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925" cy="1141809"/>
                    </a:xfrm>
                    <a:prstGeom prst="rect">
                      <a:avLst/>
                    </a:prstGeom>
                  </pic:spPr>
                </pic:pic>
              </a:graphicData>
            </a:graphic>
            <wp14:sizeRelH relativeFrom="margin">
              <wp14:pctWidth>0</wp14:pctWidth>
            </wp14:sizeRelH>
            <wp14:sizeRelV relativeFrom="margin">
              <wp14:pctHeight>0</wp14:pctHeight>
            </wp14:sizeRelV>
          </wp:anchor>
        </w:drawing>
      </w:r>
    </w:p>
    <w:p w:rsidR="000878DD" w:rsidRDefault="000878DD">
      <w:pPr>
        <w:rPr>
          <w:b/>
          <w:u w:val="single"/>
        </w:rPr>
      </w:pPr>
      <w:r w:rsidRPr="00FF7513">
        <w:rPr>
          <w:b/>
          <w:sz w:val="32"/>
          <w:szCs w:val="32"/>
          <w:u w:val="single"/>
        </w:rPr>
        <w:t>201</w:t>
      </w:r>
      <w:r w:rsidR="00822871">
        <w:rPr>
          <w:b/>
          <w:sz w:val="32"/>
          <w:szCs w:val="32"/>
          <w:u w:val="single"/>
        </w:rPr>
        <w:t>6</w:t>
      </w:r>
      <w:r w:rsidRPr="00FF7513">
        <w:rPr>
          <w:b/>
          <w:sz w:val="32"/>
          <w:szCs w:val="32"/>
          <w:u w:val="single"/>
        </w:rPr>
        <w:t xml:space="preserve"> PRIMARY CARE SUMMIT SUMMARY </w:t>
      </w:r>
      <w:r w:rsidRPr="00FF7513">
        <w:rPr>
          <w:b/>
          <w:sz w:val="32"/>
          <w:szCs w:val="32"/>
          <w:u w:val="single"/>
        </w:rPr>
        <w:tab/>
      </w:r>
      <w:r>
        <w:rPr>
          <w:b/>
          <w:u w:val="single"/>
        </w:rPr>
        <w:tab/>
        <w:t xml:space="preserve">     </w:t>
      </w:r>
    </w:p>
    <w:p w:rsidR="001E6D26" w:rsidRPr="00014828" w:rsidRDefault="009B64B4" w:rsidP="001E6D26">
      <w:pPr>
        <w:spacing w:after="0" w:line="240" w:lineRule="auto"/>
        <w:jc w:val="both"/>
        <w:rPr>
          <w:b/>
          <w:sz w:val="24"/>
          <w:szCs w:val="24"/>
        </w:rPr>
      </w:pPr>
      <w:r w:rsidRPr="00200002">
        <w:rPr>
          <w:b/>
          <w:sz w:val="24"/>
          <w:szCs w:val="24"/>
          <w:u w:val="single"/>
        </w:rPr>
        <w:t>RECOMMENDATION:</w:t>
      </w:r>
      <w:r w:rsidRPr="009B64B4">
        <w:rPr>
          <w:b/>
          <w:sz w:val="24"/>
          <w:szCs w:val="24"/>
        </w:rPr>
        <w:t xml:space="preserve"> </w:t>
      </w:r>
      <w:r w:rsidR="001E6D26" w:rsidRPr="001E6D26">
        <w:rPr>
          <w:b/>
          <w:i/>
          <w:sz w:val="24"/>
          <w:szCs w:val="24"/>
        </w:rPr>
        <w:t>Provide tax credits for primary care community based faculty precepting 3</w:t>
      </w:r>
      <w:r w:rsidR="001E6D26" w:rsidRPr="001E6D26">
        <w:rPr>
          <w:b/>
          <w:i/>
          <w:sz w:val="24"/>
          <w:szCs w:val="24"/>
          <w:vertAlign w:val="superscript"/>
        </w:rPr>
        <w:t>rd</w:t>
      </w:r>
      <w:r w:rsidR="001E6D26" w:rsidRPr="001E6D26">
        <w:rPr>
          <w:b/>
          <w:i/>
          <w:sz w:val="24"/>
          <w:szCs w:val="24"/>
        </w:rPr>
        <w:t xml:space="preserve"> and 4</w:t>
      </w:r>
      <w:r w:rsidR="001E6D26" w:rsidRPr="001E6D26">
        <w:rPr>
          <w:b/>
          <w:i/>
          <w:sz w:val="24"/>
          <w:szCs w:val="24"/>
          <w:vertAlign w:val="superscript"/>
        </w:rPr>
        <w:t>th</w:t>
      </w:r>
      <w:r w:rsidR="001E6D26" w:rsidRPr="001E6D26">
        <w:rPr>
          <w:b/>
          <w:i/>
          <w:sz w:val="24"/>
          <w:szCs w:val="24"/>
        </w:rPr>
        <w:t xml:space="preserve"> year Georgia medical</w:t>
      </w:r>
      <w:r w:rsidR="00B0787D">
        <w:rPr>
          <w:b/>
          <w:i/>
          <w:sz w:val="24"/>
          <w:szCs w:val="24"/>
        </w:rPr>
        <w:t xml:space="preserve"> / osteopathic</w:t>
      </w:r>
      <w:r w:rsidR="001E6D26" w:rsidRPr="001E6D26">
        <w:rPr>
          <w:b/>
          <w:i/>
          <w:sz w:val="24"/>
          <w:szCs w:val="24"/>
        </w:rPr>
        <w:t xml:space="preserve"> students</w:t>
      </w:r>
      <w:r w:rsidR="00F17AE0">
        <w:rPr>
          <w:b/>
          <w:i/>
          <w:sz w:val="24"/>
          <w:szCs w:val="24"/>
        </w:rPr>
        <w:t xml:space="preserve">, physician assistant students, and </w:t>
      </w:r>
      <w:r w:rsidR="00E02090">
        <w:rPr>
          <w:b/>
          <w:i/>
          <w:sz w:val="24"/>
          <w:szCs w:val="24"/>
        </w:rPr>
        <w:t>advanced practice registered nurse</w:t>
      </w:r>
      <w:r w:rsidR="00F17AE0">
        <w:rPr>
          <w:b/>
          <w:i/>
          <w:sz w:val="24"/>
          <w:szCs w:val="24"/>
        </w:rPr>
        <w:t xml:space="preserve"> students</w:t>
      </w:r>
      <w:r w:rsidR="001E6D26" w:rsidRPr="001E6D26">
        <w:rPr>
          <w:b/>
          <w:i/>
          <w:sz w:val="24"/>
          <w:szCs w:val="24"/>
        </w:rPr>
        <w:t xml:space="preserve">.  </w:t>
      </w:r>
    </w:p>
    <w:p w:rsidR="00822871" w:rsidRDefault="00822871" w:rsidP="001E6D26">
      <w:pPr>
        <w:spacing w:after="0" w:line="240" w:lineRule="auto"/>
        <w:jc w:val="both"/>
        <w:rPr>
          <w:b/>
          <w:i/>
          <w:sz w:val="24"/>
          <w:szCs w:val="24"/>
        </w:rPr>
      </w:pPr>
    </w:p>
    <w:p w:rsidR="00822871" w:rsidRPr="00822871" w:rsidRDefault="00822871" w:rsidP="001E6D26">
      <w:pPr>
        <w:spacing w:after="0" w:line="240" w:lineRule="auto"/>
        <w:jc w:val="both"/>
        <w:rPr>
          <w:color w:val="FF0000"/>
          <w:sz w:val="24"/>
          <w:szCs w:val="24"/>
        </w:rPr>
      </w:pPr>
      <w:r w:rsidRPr="00822871">
        <w:rPr>
          <w:b/>
          <w:sz w:val="24"/>
          <w:szCs w:val="24"/>
          <w:u w:val="single"/>
        </w:rPr>
        <w:t>PURPOSE:</w:t>
      </w:r>
      <w:r w:rsidRPr="00822871">
        <w:rPr>
          <w:sz w:val="24"/>
          <w:szCs w:val="24"/>
        </w:rPr>
        <w:t xml:space="preserve">  T</w:t>
      </w:r>
      <w:r>
        <w:rPr>
          <w:sz w:val="24"/>
          <w:szCs w:val="24"/>
        </w:rPr>
        <w:t>o provide needed support to Georgia’s educational programs producing the critical primary care workforce needed in the state.</w:t>
      </w:r>
    </w:p>
    <w:p w:rsidR="003076ED" w:rsidRPr="00822871" w:rsidRDefault="003076ED" w:rsidP="00C22247">
      <w:pPr>
        <w:spacing w:after="0" w:line="240" w:lineRule="auto"/>
        <w:jc w:val="both"/>
        <w:rPr>
          <w:sz w:val="24"/>
          <w:szCs w:val="24"/>
          <w:u w:val="single"/>
        </w:rPr>
      </w:pPr>
    </w:p>
    <w:p w:rsidR="001E6D26" w:rsidRDefault="001E6D26" w:rsidP="001E6D26">
      <w:pPr>
        <w:spacing w:after="0" w:line="240" w:lineRule="auto"/>
        <w:jc w:val="both"/>
        <w:rPr>
          <w:rFonts w:ascii="Calibri" w:hAnsi="Calibri" w:cs="Calibri"/>
          <w:b/>
          <w:bCs/>
          <w:color w:val="000000" w:themeColor="text1"/>
          <w:sz w:val="24"/>
          <w:szCs w:val="24"/>
        </w:rPr>
      </w:pPr>
      <w:r w:rsidRPr="001E6D26">
        <w:rPr>
          <w:rFonts w:ascii="Calibri" w:hAnsi="Calibri" w:cs="Calibri"/>
          <w:b/>
          <w:bCs/>
          <w:color w:val="000000" w:themeColor="text1"/>
          <w:sz w:val="24"/>
          <w:szCs w:val="24"/>
        </w:rPr>
        <w:t>Rationale and Background for strategy:</w:t>
      </w:r>
    </w:p>
    <w:p w:rsidR="00F17AE0" w:rsidRDefault="00F17AE0" w:rsidP="00F17AE0">
      <w:pPr>
        <w:pStyle w:val="ListParagraph"/>
        <w:numPr>
          <w:ilvl w:val="0"/>
          <w:numId w:val="34"/>
        </w:numPr>
        <w:spacing w:after="0" w:line="240" w:lineRule="auto"/>
        <w:jc w:val="both"/>
        <w:rPr>
          <w:rFonts w:ascii="Calibri" w:hAnsi="Calibri" w:cs="Calibri"/>
          <w:color w:val="000000" w:themeColor="text1"/>
          <w:sz w:val="24"/>
          <w:szCs w:val="24"/>
        </w:rPr>
      </w:pPr>
      <w:r>
        <w:rPr>
          <w:rFonts w:ascii="Calibri" w:hAnsi="Calibri" w:cs="Calibri"/>
          <w:color w:val="000000" w:themeColor="text1"/>
          <w:sz w:val="24"/>
          <w:szCs w:val="24"/>
        </w:rPr>
        <w:t xml:space="preserve">Georgia’s primary care shortages are well documented; it is imperative that the training of medical students, physician assistant students, and </w:t>
      </w:r>
      <w:r w:rsidR="00E02090">
        <w:rPr>
          <w:rFonts w:ascii="Calibri" w:hAnsi="Calibri" w:cs="Calibri"/>
          <w:color w:val="000000" w:themeColor="text1"/>
          <w:sz w:val="24"/>
          <w:szCs w:val="24"/>
        </w:rPr>
        <w:t>advanced practice registered nurses</w:t>
      </w:r>
      <w:r>
        <w:rPr>
          <w:rFonts w:ascii="Calibri" w:hAnsi="Calibri" w:cs="Calibri"/>
          <w:color w:val="000000" w:themeColor="text1"/>
          <w:sz w:val="24"/>
          <w:szCs w:val="24"/>
        </w:rPr>
        <w:t xml:space="preserve"> students be secured in the state as these three disciplines form the core primary care workforce</w:t>
      </w:r>
      <w:r w:rsidR="00670AA5">
        <w:rPr>
          <w:rFonts w:ascii="Calibri" w:hAnsi="Calibri" w:cs="Calibri"/>
          <w:color w:val="000000" w:themeColor="text1"/>
          <w:sz w:val="24"/>
          <w:szCs w:val="24"/>
        </w:rPr>
        <w:t>.</w:t>
      </w:r>
      <w:r w:rsidR="00822871">
        <w:rPr>
          <w:rFonts w:ascii="Calibri" w:hAnsi="Calibri" w:cs="Calibri"/>
          <w:color w:val="000000" w:themeColor="text1"/>
          <w:sz w:val="24"/>
          <w:szCs w:val="24"/>
        </w:rPr>
        <w:t xml:space="preserve"> Georgia invests heavily in the educational programs required to produce these students, and efforts such as this tax credit alleviate some of the struggles faced by these programs as they seek to secure sufficient community based training sites to educate their students.</w:t>
      </w:r>
    </w:p>
    <w:p w:rsidR="00E02090" w:rsidRDefault="00E02090" w:rsidP="00E02090">
      <w:pPr>
        <w:pStyle w:val="ListParagraph"/>
        <w:spacing w:after="0" w:line="240" w:lineRule="auto"/>
        <w:jc w:val="both"/>
        <w:rPr>
          <w:rFonts w:ascii="Calibri" w:hAnsi="Calibri" w:cs="Calibri"/>
          <w:color w:val="000000" w:themeColor="text1"/>
          <w:sz w:val="24"/>
          <w:szCs w:val="24"/>
        </w:rPr>
      </w:pPr>
    </w:p>
    <w:p w:rsidR="00E02090" w:rsidRPr="00E02090" w:rsidRDefault="00E02090" w:rsidP="00E02090">
      <w:pPr>
        <w:pStyle w:val="ListParagraph"/>
        <w:numPr>
          <w:ilvl w:val="0"/>
          <w:numId w:val="34"/>
        </w:numPr>
        <w:spacing w:after="0" w:line="240" w:lineRule="auto"/>
        <w:jc w:val="both"/>
        <w:rPr>
          <w:rFonts w:ascii="Calibri" w:hAnsi="Calibri" w:cs="Calibri"/>
          <w:b/>
          <w:bCs/>
          <w:i/>
          <w:iCs/>
          <w:color w:val="000000" w:themeColor="text1"/>
          <w:sz w:val="24"/>
          <w:szCs w:val="24"/>
        </w:rPr>
      </w:pPr>
      <w:r w:rsidRPr="00E02090">
        <w:rPr>
          <w:rFonts w:ascii="Calibri" w:hAnsi="Calibri" w:cs="Calibri"/>
          <w:b/>
          <w:bCs/>
          <w:i/>
          <w:iCs/>
          <w:color w:val="000000" w:themeColor="text1"/>
          <w:sz w:val="24"/>
          <w:szCs w:val="24"/>
        </w:rPr>
        <w:t xml:space="preserve">Off-shore and out-of-state medical schools are using Georgia CBF and paying them +/-$1500 per rotation.  Rather than enter into a bidding war with these other players, a tax credit could provide a powerful incentive to Georgia CBF to ONLY take Georgia Medical, Physician Assistant, and </w:t>
      </w:r>
      <w:r>
        <w:rPr>
          <w:rFonts w:ascii="Calibri" w:hAnsi="Calibri" w:cs="Calibri"/>
          <w:b/>
          <w:bCs/>
          <w:i/>
          <w:iCs/>
          <w:color w:val="000000" w:themeColor="text1"/>
          <w:sz w:val="24"/>
          <w:szCs w:val="24"/>
        </w:rPr>
        <w:t>Advanced practice registered nurses</w:t>
      </w:r>
      <w:r w:rsidRPr="00E02090">
        <w:rPr>
          <w:rFonts w:ascii="Calibri" w:hAnsi="Calibri" w:cs="Calibri"/>
          <w:b/>
          <w:bCs/>
          <w:i/>
          <w:iCs/>
          <w:color w:val="000000" w:themeColor="text1"/>
          <w:sz w:val="24"/>
          <w:szCs w:val="24"/>
        </w:rPr>
        <w:t xml:space="preserve"> students.  If Georgia MD/DO, PA and NP programs were forced to pay $1500 / rotation, then the expected cost would be approximately $7,219,500 (4,813 rotations x $1500 each).  Since the majority of these rotations occur at a program based within the University System of Georgia, the state would be asked to help fund approximately 1/3 to 1/2 of these funds; without additional funding, students matriculating in these programs would be asked to pay additional fees.  Additionally, given the deep pockets of the off-shore and out of state programs, the “price” for rotation could and most likely would be pushed higher as the “bidding war” begins for the community- based clinical training sites and faculty.</w:t>
      </w:r>
    </w:p>
    <w:p w:rsidR="00E02090" w:rsidRDefault="00E02090" w:rsidP="00E02090">
      <w:pPr>
        <w:spacing w:after="0" w:line="240" w:lineRule="auto"/>
        <w:ind w:left="360"/>
        <w:jc w:val="both"/>
        <w:rPr>
          <w:rFonts w:ascii="Calibri" w:hAnsi="Calibri" w:cs="Calibri"/>
          <w:color w:val="000000" w:themeColor="text1"/>
          <w:sz w:val="24"/>
          <w:szCs w:val="24"/>
        </w:rPr>
      </w:pPr>
    </w:p>
    <w:p w:rsidR="00E02090" w:rsidRDefault="00014828" w:rsidP="00E02090">
      <w:pPr>
        <w:spacing w:after="0" w:line="240" w:lineRule="auto"/>
        <w:jc w:val="both"/>
        <w:rPr>
          <w:rFonts w:ascii="Calibri" w:hAnsi="Calibri" w:cs="Calibri"/>
          <w:b/>
          <w:color w:val="000000" w:themeColor="text1"/>
          <w:sz w:val="24"/>
          <w:szCs w:val="24"/>
          <w:u w:val="single"/>
        </w:rPr>
      </w:pPr>
      <w:r w:rsidRPr="00E02090">
        <w:rPr>
          <w:rFonts w:ascii="Calibri" w:hAnsi="Calibri" w:cs="Calibri"/>
          <w:b/>
          <w:color w:val="000000" w:themeColor="text1"/>
          <w:sz w:val="24"/>
          <w:szCs w:val="24"/>
          <w:u w:val="single"/>
        </w:rPr>
        <w:t xml:space="preserve">PROGRAM SPECIFICS: </w:t>
      </w:r>
    </w:p>
    <w:p w:rsidR="00014828" w:rsidRPr="00E02090" w:rsidRDefault="00014828" w:rsidP="00E02090">
      <w:pPr>
        <w:spacing w:after="0" w:line="240" w:lineRule="auto"/>
        <w:jc w:val="both"/>
        <w:rPr>
          <w:rFonts w:ascii="Calibri" w:hAnsi="Calibri" w:cs="Calibri"/>
          <w:b/>
          <w:color w:val="000000" w:themeColor="text1"/>
          <w:sz w:val="24"/>
          <w:szCs w:val="24"/>
          <w:u w:val="single"/>
        </w:rPr>
      </w:pPr>
    </w:p>
    <w:p w:rsidR="00E02090" w:rsidRPr="001E6D26" w:rsidRDefault="00E02090" w:rsidP="00E02090">
      <w:pPr>
        <w:spacing w:after="0" w:line="240" w:lineRule="auto"/>
        <w:jc w:val="both"/>
        <w:rPr>
          <w:rFonts w:ascii="Calibri" w:hAnsi="Calibri" w:cs="Calibri"/>
          <w:color w:val="000000" w:themeColor="text1"/>
          <w:sz w:val="24"/>
          <w:szCs w:val="24"/>
        </w:rPr>
      </w:pPr>
      <w:r>
        <w:rPr>
          <w:rFonts w:ascii="Calibri" w:hAnsi="Calibri" w:cs="Calibri"/>
          <w:b/>
          <w:bCs/>
          <w:color w:val="000000" w:themeColor="text1"/>
          <w:sz w:val="24"/>
          <w:szCs w:val="24"/>
          <w:u w:val="single"/>
        </w:rPr>
        <w:t>El</w:t>
      </w:r>
      <w:r w:rsidRPr="001E6D26">
        <w:rPr>
          <w:rFonts w:ascii="Calibri" w:hAnsi="Calibri" w:cs="Calibri"/>
          <w:b/>
          <w:bCs/>
          <w:color w:val="000000" w:themeColor="text1"/>
          <w:sz w:val="24"/>
          <w:szCs w:val="24"/>
          <w:u w:val="single"/>
        </w:rPr>
        <w:t>igibility:</w:t>
      </w:r>
      <w:r w:rsidRPr="001E6D26">
        <w:rPr>
          <w:rFonts w:ascii="Calibri" w:hAnsi="Calibri" w:cs="Calibri"/>
          <w:color w:val="000000" w:themeColor="text1"/>
          <w:sz w:val="24"/>
          <w:szCs w:val="24"/>
        </w:rPr>
        <w:t xml:space="preserve">  Any </w:t>
      </w:r>
      <w:r w:rsidRPr="001E6D26">
        <w:rPr>
          <w:rFonts w:ascii="Calibri" w:hAnsi="Calibri" w:cs="Calibri"/>
          <w:b/>
          <w:bCs/>
          <w:i/>
          <w:iCs/>
          <w:color w:val="000000" w:themeColor="text1"/>
          <w:sz w:val="24"/>
          <w:szCs w:val="24"/>
        </w:rPr>
        <w:t>non-compensated</w:t>
      </w:r>
      <w:r w:rsidRPr="001E6D26">
        <w:rPr>
          <w:rFonts w:ascii="Calibri" w:hAnsi="Calibri" w:cs="Calibri"/>
          <w:color w:val="000000" w:themeColor="text1"/>
          <w:sz w:val="24"/>
          <w:szCs w:val="24"/>
        </w:rPr>
        <w:t xml:space="preserve"> community based </w:t>
      </w:r>
      <w:r w:rsidRPr="00E02090">
        <w:rPr>
          <w:rFonts w:ascii="Calibri" w:hAnsi="Calibri" w:cs="Calibri"/>
          <w:color w:val="000000" w:themeColor="text1"/>
          <w:sz w:val="24"/>
          <w:szCs w:val="24"/>
        </w:rPr>
        <w:t>physician,</w:t>
      </w:r>
      <w:r>
        <w:rPr>
          <w:rFonts w:ascii="Calibri" w:hAnsi="Calibri" w:cs="Calibri"/>
          <w:color w:val="000000" w:themeColor="text1"/>
          <w:sz w:val="24"/>
          <w:szCs w:val="24"/>
        </w:rPr>
        <w:t xml:space="preserve"> advanced practice registered nurse, or physician assistant, licensed in the state of Georgia, </w:t>
      </w:r>
      <w:r w:rsidRPr="001E6D26">
        <w:rPr>
          <w:rFonts w:ascii="Calibri" w:hAnsi="Calibri" w:cs="Calibri"/>
          <w:color w:val="000000" w:themeColor="text1"/>
          <w:sz w:val="24"/>
          <w:szCs w:val="24"/>
        </w:rPr>
        <w:t xml:space="preserve">providing </w:t>
      </w:r>
      <w:r>
        <w:rPr>
          <w:rFonts w:ascii="Calibri" w:hAnsi="Calibri" w:cs="Calibri"/>
          <w:color w:val="000000" w:themeColor="text1"/>
          <w:sz w:val="24"/>
          <w:szCs w:val="24"/>
        </w:rPr>
        <w:t>preceptorship training</w:t>
      </w:r>
      <w:r w:rsidRPr="001E6D26">
        <w:rPr>
          <w:rFonts w:ascii="Calibri" w:hAnsi="Calibri" w:cs="Calibri"/>
          <w:color w:val="000000" w:themeColor="text1"/>
          <w:sz w:val="24"/>
          <w:szCs w:val="24"/>
        </w:rPr>
        <w:t xml:space="preserve"> for a medical</w:t>
      </w:r>
      <w:r>
        <w:rPr>
          <w:rFonts w:ascii="Calibri" w:hAnsi="Calibri" w:cs="Calibri"/>
          <w:color w:val="000000" w:themeColor="text1"/>
          <w:sz w:val="24"/>
          <w:szCs w:val="24"/>
        </w:rPr>
        <w:t xml:space="preserve"> / osteopathic</w:t>
      </w:r>
      <w:r w:rsidRPr="001E6D26">
        <w:rPr>
          <w:rFonts w:ascii="Calibri" w:hAnsi="Calibri" w:cs="Calibri"/>
          <w:color w:val="000000" w:themeColor="text1"/>
          <w:sz w:val="24"/>
          <w:szCs w:val="24"/>
        </w:rPr>
        <w:t xml:space="preserve"> student</w:t>
      </w:r>
      <w:r>
        <w:rPr>
          <w:rFonts w:ascii="Calibri" w:hAnsi="Calibri" w:cs="Calibri"/>
          <w:color w:val="000000" w:themeColor="text1"/>
          <w:sz w:val="24"/>
          <w:szCs w:val="24"/>
        </w:rPr>
        <w:t xml:space="preserve"> (MD/DO)</w:t>
      </w:r>
      <w:r w:rsidRPr="001E6D26">
        <w:rPr>
          <w:rFonts w:ascii="Calibri" w:hAnsi="Calibri" w:cs="Calibri"/>
          <w:color w:val="000000" w:themeColor="text1"/>
          <w:sz w:val="24"/>
          <w:szCs w:val="24"/>
        </w:rPr>
        <w:t xml:space="preserve"> </w:t>
      </w:r>
      <w:r w:rsidRPr="00E02090">
        <w:rPr>
          <w:rFonts w:ascii="Calibri" w:hAnsi="Calibri" w:cs="Calibri"/>
          <w:color w:val="000000" w:themeColor="text1"/>
          <w:sz w:val="24"/>
          <w:szCs w:val="24"/>
          <w:u w:val="single"/>
        </w:rPr>
        <w:t>OR</w:t>
      </w:r>
      <w:r w:rsidRPr="001E6D26">
        <w:rPr>
          <w:rFonts w:ascii="Calibri" w:hAnsi="Calibri" w:cs="Calibri"/>
          <w:color w:val="000000" w:themeColor="text1"/>
          <w:sz w:val="24"/>
          <w:szCs w:val="24"/>
        </w:rPr>
        <w:t xml:space="preserve"> a Georgia Physician Assistant </w:t>
      </w:r>
      <w:r>
        <w:rPr>
          <w:rFonts w:ascii="Calibri" w:hAnsi="Calibri" w:cs="Calibri"/>
          <w:color w:val="000000" w:themeColor="text1"/>
          <w:sz w:val="24"/>
          <w:szCs w:val="24"/>
        </w:rPr>
        <w:t xml:space="preserve">(PA) </w:t>
      </w:r>
      <w:r w:rsidRPr="001E6D26">
        <w:rPr>
          <w:rFonts w:ascii="Calibri" w:hAnsi="Calibri" w:cs="Calibri"/>
          <w:color w:val="000000" w:themeColor="text1"/>
          <w:sz w:val="24"/>
          <w:szCs w:val="24"/>
        </w:rPr>
        <w:t xml:space="preserve">student </w:t>
      </w:r>
      <w:r w:rsidRPr="00E02090">
        <w:rPr>
          <w:rFonts w:ascii="Calibri" w:hAnsi="Calibri" w:cs="Calibri"/>
          <w:color w:val="000000" w:themeColor="text1"/>
          <w:sz w:val="24"/>
          <w:szCs w:val="24"/>
          <w:u w:val="single"/>
        </w:rPr>
        <w:t>OR</w:t>
      </w:r>
      <w:r>
        <w:rPr>
          <w:rFonts w:ascii="Calibri" w:hAnsi="Calibri" w:cs="Calibri"/>
          <w:color w:val="000000" w:themeColor="text1"/>
          <w:sz w:val="24"/>
          <w:szCs w:val="24"/>
        </w:rPr>
        <w:t xml:space="preserve"> an Advanced Practice Registered Nurse (APRN) student matriculating at a public or private Georgia educational institution </w:t>
      </w:r>
      <w:r w:rsidRPr="001E6D26">
        <w:rPr>
          <w:rFonts w:ascii="Calibri" w:hAnsi="Calibri" w:cs="Calibri"/>
          <w:color w:val="000000" w:themeColor="text1"/>
          <w:sz w:val="24"/>
          <w:szCs w:val="24"/>
        </w:rPr>
        <w:t>; CBF must provide a minimum of three rotations to be eligible for the tax credit</w:t>
      </w:r>
      <w:r>
        <w:rPr>
          <w:rFonts w:ascii="Calibri" w:hAnsi="Calibri" w:cs="Calibri"/>
          <w:color w:val="000000" w:themeColor="text1"/>
          <w:sz w:val="24"/>
          <w:szCs w:val="24"/>
        </w:rPr>
        <w:t xml:space="preserve"> (credits are awarded retroactively to include these)</w:t>
      </w:r>
      <w:r w:rsidRPr="001E6D26">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 The educational institution must certify these rotations as complete through reporting to the Georgia Statewide Area Health Education Centers </w:t>
      </w:r>
      <w:r w:rsidR="00EB6F2C">
        <w:rPr>
          <w:rFonts w:ascii="Calibri" w:hAnsi="Calibri" w:cs="Calibri"/>
          <w:color w:val="000000" w:themeColor="text1"/>
          <w:sz w:val="24"/>
          <w:szCs w:val="24"/>
        </w:rPr>
        <w:t xml:space="preserve">(AHEC) </w:t>
      </w:r>
      <w:r>
        <w:rPr>
          <w:rFonts w:ascii="Calibri" w:hAnsi="Calibri" w:cs="Calibri"/>
          <w:color w:val="000000" w:themeColor="text1"/>
          <w:sz w:val="24"/>
          <w:szCs w:val="24"/>
        </w:rPr>
        <w:t>Program Office at Augusta University.</w:t>
      </w:r>
    </w:p>
    <w:p w:rsidR="00E02090" w:rsidRDefault="00E02090" w:rsidP="00E02090">
      <w:pPr>
        <w:spacing w:after="0" w:line="240" w:lineRule="auto"/>
        <w:jc w:val="both"/>
        <w:rPr>
          <w:rFonts w:ascii="Calibri" w:hAnsi="Calibri" w:cs="Calibri"/>
          <w:color w:val="000000" w:themeColor="text1"/>
          <w:sz w:val="24"/>
          <w:szCs w:val="24"/>
        </w:rPr>
      </w:pPr>
      <w:r w:rsidRPr="001E6D26">
        <w:rPr>
          <w:rFonts w:ascii="Calibri" w:hAnsi="Calibri" w:cs="Calibri"/>
          <w:color w:val="000000" w:themeColor="text1"/>
          <w:sz w:val="24"/>
          <w:szCs w:val="24"/>
        </w:rPr>
        <w:t> </w:t>
      </w:r>
    </w:p>
    <w:p w:rsidR="00E02090" w:rsidRDefault="00E02090" w:rsidP="00E02090">
      <w:pPr>
        <w:spacing w:after="0" w:line="240" w:lineRule="auto"/>
        <w:jc w:val="both"/>
        <w:rPr>
          <w:rFonts w:ascii="Calibri" w:hAnsi="Calibri" w:cs="Calibri"/>
          <w:color w:val="000000" w:themeColor="text1"/>
          <w:sz w:val="24"/>
          <w:szCs w:val="24"/>
        </w:rPr>
      </w:pPr>
      <w:r w:rsidRPr="00822871">
        <w:rPr>
          <w:rFonts w:ascii="Calibri" w:hAnsi="Calibri" w:cs="Calibri"/>
          <w:b/>
          <w:color w:val="000000" w:themeColor="text1"/>
          <w:sz w:val="24"/>
          <w:szCs w:val="24"/>
          <w:u w:val="single"/>
        </w:rPr>
        <w:t>Incentive structure:</w:t>
      </w:r>
      <w:r>
        <w:rPr>
          <w:rFonts w:ascii="Calibri" w:hAnsi="Calibri" w:cs="Calibri"/>
          <w:color w:val="000000" w:themeColor="text1"/>
          <w:sz w:val="24"/>
          <w:szCs w:val="24"/>
        </w:rPr>
        <w:t xml:space="preserve"> To encourage community based faculty to participate at the highest level, the amount of tax credits increase with service.  For medical/osteopathic </w:t>
      </w:r>
      <w:r w:rsidR="00C44D0C">
        <w:rPr>
          <w:rFonts w:ascii="Calibri" w:hAnsi="Calibri" w:cs="Calibri"/>
          <w:color w:val="000000" w:themeColor="text1"/>
          <w:sz w:val="24"/>
          <w:szCs w:val="24"/>
        </w:rPr>
        <w:t>preceptors</w:t>
      </w:r>
      <w:r>
        <w:rPr>
          <w:rFonts w:ascii="Calibri" w:hAnsi="Calibri" w:cs="Calibri"/>
          <w:color w:val="000000" w:themeColor="text1"/>
          <w:sz w:val="24"/>
          <w:szCs w:val="24"/>
        </w:rPr>
        <w:t>, the first 3 rotations will be provided credits worth $500 each; subsequent credits will be awarded credits at $1000 each for rotations number 4-10.  For advanced practice nursing and physician assistant preceptors, tax credits of $375 will be provided for rotations 1</w:t>
      </w:r>
      <w:r w:rsidR="00014828">
        <w:rPr>
          <w:rFonts w:ascii="Calibri" w:hAnsi="Calibri" w:cs="Calibri"/>
          <w:color w:val="000000" w:themeColor="text1"/>
          <w:sz w:val="24"/>
          <w:szCs w:val="24"/>
        </w:rPr>
        <w:t>-</w:t>
      </w:r>
      <w:r>
        <w:rPr>
          <w:rFonts w:ascii="Calibri" w:hAnsi="Calibri" w:cs="Calibri"/>
          <w:color w:val="000000" w:themeColor="text1"/>
          <w:sz w:val="24"/>
          <w:szCs w:val="24"/>
        </w:rPr>
        <w:t xml:space="preserve">3; credits will increase to $750 per rotation for rotations 4-10.  These differences reflect income earning differences among the professions.  No preceptor will receive credits for more than 10 certified rotations.  </w:t>
      </w:r>
      <w:r w:rsidR="009E1668">
        <w:rPr>
          <w:rFonts w:ascii="Calibri" w:hAnsi="Calibri" w:cs="Calibri"/>
          <w:color w:val="000000" w:themeColor="text1"/>
          <w:sz w:val="24"/>
          <w:szCs w:val="24"/>
        </w:rPr>
        <w:t>(A rotation is defined as 160 hours of community based teaching.</w:t>
      </w:r>
      <w:bookmarkStart w:id="0" w:name="_GoBack"/>
      <w:bookmarkEnd w:id="0"/>
      <w:r w:rsidR="009E1668">
        <w:rPr>
          <w:rFonts w:ascii="Calibri" w:hAnsi="Calibri" w:cs="Calibri"/>
          <w:color w:val="000000" w:themeColor="text1"/>
          <w:sz w:val="24"/>
          <w:szCs w:val="24"/>
        </w:rPr>
        <w:t>)</w:t>
      </w:r>
    </w:p>
    <w:p w:rsidR="00014828" w:rsidRDefault="00014828" w:rsidP="00014828">
      <w:pPr>
        <w:spacing w:after="0" w:line="240" w:lineRule="auto"/>
        <w:jc w:val="both"/>
        <w:rPr>
          <w:rFonts w:ascii="Calibri" w:hAnsi="Calibri" w:cs="Calibri"/>
          <w:color w:val="000000" w:themeColor="text1"/>
          <w:sz w:val="24"/>
          <w:szCs w:val="24"/>
        </w:rPr>
      </w:pPr>
      <w:r>
        <w:rPr>
          <w:rFonts w:ascii="Calibri" w:hAnsi="Calibri" w:cs="Calibri"/>
          <w:b/>
          <w:bCs/>
          <w:color w:val="000000" w:themeColor="text1"/>
          <w:sz w:val="24"/>
          <w:szCs w:val="24"/>
          <w:u w:val="single"/>
        </w:rPr>
        <w:lastRenderedPageBreak/>
        <w:t xml:space="preserve">Estimated </w:t>
      </w:r>
      <w:r w:rsidRPr="001E6D26">
        <w:rPr>
          <w:rFonts w:ascii="Calibri" w:hAnsi="Calibri" w:cs="Calibri"/>
          <w:b/>
          <w:bCs/>
          <w:color w:val="000000" w:themeColor="text1"/>
          <w:sz w:val="24"/>
          <w:szCs w:val="24"/>
          <w:u w:val="single"/>
        </w:rPr>
        <w:t>Fiscal Impact:</w:t>
      </w:r>
      <w:r w:rsidRPr="001E6D26">
        <w:rPr>
          <w:rFonts w:ascii="Calibri" w:hAnsi="Calibri" w:cs="Calibri"/>
          <w:color w:val="000000" w:themeColor="text1"/>
          <w:sz w:val="24"/>
          <w:szCs w:val="24"/>
        </w:rPr>
        <w:t xml:space="preserve">  </w:t>
      </w:r>
    </w:p>
    <w:p w:rsidR="00014828" w:rsidRPr="001E6D26" w:rsidRDefault="00014828" w:rsidP="00014828">
      <w:pPr>
        <w:spacing w:after="0" w:line="240" w:lineRule="auto"/>
        <w:jc w:val="both"/>
        <w:rPr>
          <w:rFonts w:ascii="Calibri" w:hAnsi="Calibri" w:cs="Calibri"/>
          <w:color w:val="000000" w:themeColor="text1"/>
          <w:sz w:val="24"/>
          <w:szCs w:val="24"/>
        </w:rPr>
      </w:pPr>
      <w:r w:rsidRPr="001E6D26">
        <w:rPr>
          <w:rFonts w:ascii="Calibri" w:hAnsi="Calibri" w:cs="Calibri"/>
          <w:b/>
          <w:i/>
          <w:color w:val="000000" w:themeColor="text1"/>
          <w:sz w:val="24"/>
          <w:szCs w:val="24"/>
        </w:rPr>
        <w:t xml:space="preserve">Medical </w:t>
      </w:r>
      <w:r>
        <w:rPr>
          <w:rFonts w:ascii="Calibri" w:hAnsi="Calibri" w:cs="Calibri"/>
          <w:b/>
          <w:i/>
          <w:color w:val="000000" w:themeColor="text1"/>
          <w:sz w:val="24"/>
          <w:szCs w:val="24"/>
        </w:rPr>
        <w:t xml:space="preserve">/ Osteopathic </w:t>
      </w:r>
      <w:r w:rsidR="00EB6F2C">
        <w:rPr>
          <w:rFonts w:ascii="Calibri" w:hAnsi="Calibri" w:cs="Calibri"/>
          <w:b/>
          <w:i/>
          <w:color w:val="000000" w:themeColor="text1"/>
          <w:sz w:val="24"/>
          <w:szCs w:val="24"/>
        </w:rPr>
        <w:t>Preceptors</w:t>
      </w:r>
    </w:p>
    <w:p w:rsidR="00014828" w:rsidRDefault="00014828" w:rsidP="00014828">
      <w:pPr>
        <w:pStyle w:val="ListParagraph"/>
        <w:numPr>
          <w:ilvl w:val="0"/>
          <w:numId w:val="34"/>
        </w:numPr>
        <w:spacing w:after="0" w:line="240" w:lineRule="auto"/>
        <w:ind w:left="360"/>
        <w:jc w:val="both"/>
        <w:rPr>
          <w:rFonts w:ascii="Calibri" w:hAnsi="Calibri" w:cs="Calibri"/>
          <w:color w:val="000000" w:themeColor="text1"/>
          <w:sz w:val="24"/>
          <w:szCs w:val="24"/>
        </w:rPr>
      </w:pPr>
      <w:r>
        <w:rPr>
          <w:rFonts w:ascii="Calibri" w:hAnsi="Calibri" w:cs="Calibri"/>
          <w:color w:val="000000" w:themeColor="text1"/>
          <w:sz w:val="24"/>
          <w:szCs w:val="24"/>
        </w:rPr>
        <w:t>Tax credit for rotations 1-3 @ $500 each</w:t>
      </w:r>
    </w:p>
    <w:p w:rsidR="00014828" w:rsidRDefault="00014828" w:rsidP="00014828">
      <w:pPr>
        <w:pStyle w:val="ListParagraph"/>
        <w:numPr>
          <w:ilvl w:val="0"/>
          <w:numId w:val="34"/>
        </w:numPr>
        <w:spacing w:after="0" w:line="240" w:lineRule="auto"/>
        <w:ind w:left="360"/>
        <w:jc w:val="both"/>
        <w:rPr>
          <w:rFonts w:ascii="Calibri" w:hAnsi="Calibri" w:cs="Calibri"/>
          <w:color w:val="000000" w:themeColor="text1"/>
          <w:sz w:val="24"/>
          <w:szCs w:val="24"/>
        </w:rPr>
      </w:pPr>
      <w:r>
        <w:rPr>
          <w:rFonts w:ascii="Calibri" w:hAnsi="Calibri" w:cs="Calibri"/>
          <w:color w:val="000000" w:themeColor="text1"/>
          <w:sz w:val="24"/>
          <w:szCs w:val="24"/>
        </w:rPr>
        <w:t>Tax credit for rotations 4-10 @ $1000 each</w:t>
      </w:r>
    </w:p>
    <w:p w:rsidR="00014828" w:rsidRDefault="00014828" w:rsidP="00014828">
      <w:pPr>
        <w:pStyle w:val="ListParagraph"/>
        <w:numPr>
          <w:ilvl w:val="0"/>
          <w:numId w:val="34"/>
        </w:numPr>
        <w:spacing w:after="0" w:line="240" w:lineRule="auto"/>
        <w:ind w:left="360"/>
        <w:jc w:val="both"/>
        <w:rPr>
          <w:rFonts w:ascii="Calibri" w:hAnsi="Calibri" w:cs="Calibri"/>
          <w:color w:val="000000" w:themeColor="text1"/>
          <w:sz w:val="24"/>
          <w:szCs w:val="24"/>
        </w:rPr>
      </w:pPr>
      <w:r>
        <w:rPr>
          <w:rFonts w:ascii="Calibri" w:hAnsi="Calibri" w:cs="Calibri"/>
          <w:color w:val="000000" w:themeColor="text1"/>
          <w:sz w:val="24"/>
          <w:szCs w:val="24"/>
        </w:rPr>
        <w:t xml:space="preserve">Total rotations </w:t>
      </w:r>
      <w:r w:rsidRPr="00014828">
        <w:rPr>
          <w:rFonts w:ascii="Calibri" w:hAnsi="Calibri" w:cs="Calibri"/>
          <w:b/>
          <w:i/>
          <w:color w:val="000000" w:themeColor="text1"/>
          <w:sz w:val="24"/>
          <w:szCs w:val="24"/>
        </w:rPr>
        <w:t>estimated</w:t>
      </w:r>
      <w:r>
        <w:rPr>
          <w:rFonts w:ascii="Calibri" w:hAnsi="Calibri" w:cs="Calibri"/>
          <w:color w:val="000000" w:themeColor="text1"/>
          <w:sz w:val="24"/>
          <w:szCs w:val="24"/>
        </w:rPr>
        <w:t xml:space="preserve"> for Tax Year 2017: 1,633</w:t>
      </w:r>
    </w:p>
    <w:p w:rsidR="00014828" w:rsidRDefault="00014828" w:rsidP="00014828">
      <w:pPr>
        <w:pStyle w:val="ListParagraph"/>
        <w:spacing w:after="0" w:line="240" w:lineRule="auto"/>
        <w:ind w:left="360"/>
        <w:jc w:val="both"/>
        <w:rPr>
          <w:rFonts w:ascii="Calibri" w:hAnsi="Calibri" w:cs="Calibri"/>
          <w:color w:val="000000" w:themeColor="text1"/>
          <w:sz w:val="24"/>
          <w:szCs w:val="24"/>
        </w:rPr>
      </w:pPr>
    </w:p>
    <w:p w:rsidR="00014828" w:rsidRDefault="00014828" w:rsidP="00014828">
      <w:pPr>
        <w:spacing w:after="0" w:line="240" w:lineRule="auto"/>
        <w:jc w:val="both"/>
        <w:rPr>
          <w:rFonts w:ascii="Calibri" w:hAnsi="Calibri" w:cs="Calibri"/>
          <w:b/>
          <w:i/>
          <w:color w:val="000000" w:themeColor="text1"/>
          <w:sz w:val="24"/>
          <w:szCs w:val="24"/>
        </w:rPr>
      </w:pPr>
      <w:r w:rsidRPr="001E6D26">
        <w:rPr>
          <w:rFonts w:ascii="Calibri" w:hAnsi="Calibri" w:cs="Calibri"/>
          <w:b/>
          <w:i/>
          <w:color w:val="000000" w:themeColor="text1"/>
          <w:sz w:val="24"/>
          <w:szCs w:val="24"/>
        </w:rPr>
        <w:t>P</w:t>
      </w:r>
      <w:r w:rsidR="00EB6F2C">
        <w:rPr>
          <w:rFonts w:ascii="Calibri" w:hAnsi="Calibri" w:cs="Calibri"/>
          <w:b/>
          <w:i/>
          <w:color w:val="000000" w:themeColor="text1"/>
          <w:sz w:val="24"/>
          <w:szCs w:val="24"/>
        </w:rPr>
        <w:t>hysician Assistant Preceptors</w:t>
      </w:r>
    </w:p>
    <w:p w:rsidR="00014828" w:rsidRDefault="00014828" w:rsidP="00014828">
      <w:pPr>
        <w:pStyle w:val="ListParagraph"/>
        <w:numPr>
          <w:ilvl w:val="0"/>
          <w:numId w:val="34"/>
        </w:numPr>
        <w:spacing w:after="0" w:line="240" w:lineRule="auto"/>
        <w:ind w:left="360"/>
        <w:jc w:val="both"/>
        <w:rPr>
          <w:rFonts w:ascii="Calibri" w:hAnsi="Calibri" w:cs="Calibri"/>
          <w:color w:val="000000" w:themeColor="text1"/>
          <w:sz w:val="24"/>
          <w:szCs w:val="24"/>
        </w:rPr>
      </w:pPr>
      <w:r>
        <w:rPr>
          <w:rFonts w:ascii="Calibri" w:hAnsi="Calibri" w:cs="Calibri"/>
          <w:color w:val="000000" w:themeColor="text1"/>
          <w:sz w:val="24"/>
          <w:szCs w:val="24"/>
        </w:rPr>
        <w:t>Tax credit for rotations 1-3 @ $</w:t>
      </w:r>
      <w:r w:rsidR="00C6098A">
        <w:rPr>
          <w:rFonts w:ascii="Calibri" w:hAnsi="Calibri" w:cs="Calibri"/>
          <w:color w:val="000000" w:themeColor="text1"/>
          <w:sz w:val="24"/>
          <w:szCs w:val="24"/>
        </w:rPr>
        <w:t>375</w:t>
      </w:r>
      <w:r>
        <w:rPr>
          <w:rFonts w:ascii="Calibri" w:hAnsi="Calibri" w:cs="Calibri"/>
          <w:color w:val="000000" w:themeColor="text1"/>
          <w:sz w:val="24"/>
          <w:szCs w:val="24"/>
        </w:rPr>
        <w:t xml:space="preserve"> each</w:t>
      </w:r>
    </w:p>
    <w:p w:rsidR="00014828" w:rsidRDefault="00014828" w:rsidP="00014828">
      <w:pPr>
        <w:pStyle w:val="ListParagraph"/>
        <w:numPr>
          <w:ilvl w:val="0"/>
          <w:numId w:val="34"/>
        </w:numPr>
        <w:spacing w:after="0" w:line="240" w:lineRule="auto"/>
        <w:ind w:left="360"/>
        <w:jc w:val="both"/>
        <w:rPr>
          <w:rFonts w:ascii="Calibri" w:hAnsi="Calibri" w:cs="Calibri"/>
          <w:color w:val="000000" w:themeColor="text1"/>
          <w:sz w:val="24"/>
          <w:szCs w:val="24"/>
        </w:rPr>
      </w:pPr>
      <w:r>
        <w:rPr>
          <w:rFonts w:ascii="Calibri" w:hAnsi="Calibri" w:cs="Calibri"/>
          <w:color w:val="000000" w:themeColor="text1"/>
          <w:sz w:val="24"/>
          <w:szCs w:val="24"/>
        </w:rPr>
        <w:t>Tax credit for rotations 4-10 @ $</w:t>
      </w:r>
      <w:r w:rsidR="00C6098A">
        <w:rPr>
          <w:rFonts w:ascii="Calibri" w:hAnsi="Calibri" w:cs="Calibri"/>
          <w:color w:val="000000" w:themeColor="text1"/>
          <w:sz w:val="24"/>
          <w:szCs w:val="24"/>
        </w:rPr>
        <w:t>750</w:t>
      </w:r>
      <w:r>
        <w:rPr>
          <w:rFonts w:ascii="Calibri" w:hAnsi="Calibri" w:cs="Calibri"/>
          <w:color w:val="000000" w:themeColor="text1"/>
          <w:sz w:val="24"/>
          <w:szCs w:val="24"/>
        </w:rPr>
        <w:t xml:space="preserve"> each</w:t>
      </w:r>
    </w:p>
    <w:p w:rsidR="00014828" w:rsidRDefault="00014828" w:rsidP="00014828">
      <w:pPr>
        <w:pStyle w:val="ListParagraph"/>
        <w:numPr>
          <w:ilvl w:val="0"/>
          <w:numId w:val="34"/>
        </w:numPr>
        <w:spacing w:after="0" w:line="240" w:lineRule="auto"/>
        <w:ind w:left="360"/>
        <w:jc w:val="both"/>
        <w:rPr>
          <w:rFonts w:ascii="Calibri" w:hAnsi="Calibri" w:cs="Calibri"/>
          <w:color w:val="000000" w:themeColor="text1"/>
          <w:sz w:val="24"/>
          <w:szCs w:val="24"/>
        </w:rPr>
      </w:pPr>
      <w:r>
        <w:rPr>
          <w:rFonts w:ascii="Calibri" w:hAnsi="Calibri" w:cs="Calibri"/>
          <w:color w:val="000000" w:themeColor="text1"/>
          <w:sz w:val="24"/>
          <w:szCs w:val="24"/>
        </w:rPr>
        <w:t xml:space="preserve">Total rotations </w:t>
      </w:r>
      <w:r w:rsidRPr="00014828">
        <w:rPr>
          <w:rFonts w:ascii="Calibri" w:hAnsi="Calibri" w:cs="Calibri"/>
          <w:b/>
          <w:i/>
          <w:color w:val="000000" w:themeColor="text1"/>
          <w:sz w:val="24"/>
          <w:szCs w:val="24"/>
        </w:rPr>
        <w:t>estimated</w:t>
      </w:r>
      <w:r>
        <w:rPr>
          <w:rFonts w:ascii="Calibri" w:hAnsi="Calibri" w:cs="Calibri"/>
          <w:color w:val="000000" w:themeColor="text1"/>
          <w:sz w:val="24"/>
          <w:szCs w:val="24"/>
        </w:rPr>
        <w:t xml:space="preserve"> for Tax Year 2017: 1,050</w:t>
      </w:r>
    </w:p>
    <w:p w:rsidR="00014828" w:rsidRDefault="00014828" w:rsidP="00014828">
      <w:pPr>
        <w:spacing w:after="0" w:line="240" w:lineRule="auto"/>
        <w:jc w:val="both"/>
        <w:rPr>
          <w:rFonts w:ascii="Calibri" w:hAnsi="Calibri" w:cs="Calibri"/>
          <w:b/>
          <w:i/>
          <w:color w:val="000000" w:themeColor="text1"/>
          <w:sz w:val="24"/>
          <w:szCs w:val="24"/>
        </w:rPr>
      </w:pPr>
    </w:p>
    <w:p w:rsidR="00014828" w:rsidRDefault="00014828" w:rsidP="00014828">
      <w:pPr>
        <w:spacing w:after="0" w:line="240" w:lineRule="auto"/>
        <w:jc w:val="both"/>
        <w:rPr>
          <w:rFonts w:ascii="Calibri" w:hAnsi="Calibri" w:cs="Calibri"/>
          <w:b/>
          <w:i/>
          <w:color w:val="000000" w:themeColor="text1"/>
          <w:sz w:val="24"/>
          <w:szCs w:val="24"/>
        </w:rPr>
      </w:pPr>
      <w:r>
        <w:rPr>
          <w:rFonts w:ascii="Calibri" w:hAnsi="Calibri" w:cs="Calibri"/>
          <w:b/>
          <w:i/>
          <w:color w:val="000000" w:themeColor="text1"/>
          <w:sz w:val="24"/>
          <w:szCs w:val="24"/>
        </w:rPr>
        <w:t xml:space="preserve">Advanced Practice Registered Nurse (APRN) </w:t>
      </w:r>
      <w:r w:rsidR="00C6098A">
        <w:rPr>
          <w:rFonts w:ascii="Calibri" w:hAnsi="Calibri" w:cs="Calibri"/>
          <w:b/>
          <w:i/>
          <w:color w:val="000000" w:themeColor="text1"/>
          <w:sz w:val="24"/>
          <w:szCs w:val="24"/>
        </w:rPr>
        <w:t>Preceptors</w:t>
      </w:r>
    </w:p>
    <w:p w:rsidR="00014828" w:rsidRDefault="00014828" w:rsidP="00014828">
      <w:pPr>
        <w:pStyle w:val="ListParagraph"/>
        <w:numPr>
          <w:ilvl w:val="0"/>
          <w:numId w:val="34"/>
        </w:numPr>
        <w:spacing w:after="0" w:line="240" w:lineRule="auto"/>
        <w:ind w:left="360"/>
        <w:jc w:val="both"/>
        <w:rPr>
          <w:rFonts w:ascii="Calibri" w:hAnsi="Calibri" w:cs="Calibri"/>
          <w:color w:val="000000" w:themeColor="text1"/>
          <w:sz w:val="24"/>
          <w:szCs w:val="24"/>
        </w:rPr>
      </w:pPr>
      <w:r>
        <w:rPr>
          <w:rFonts w:ascii="Calibri" w:hAnsi="Calibri" w:cs="Calibri"/>
          <w:color w:val="000000" w:themeColor="text1"/>
          <w:sz w:val="24"/>
          <w:szCs w:val="24"/>
        </w:rPr>
        <w:t>Tax credit for rotations 1-3 @ $</w:t>
      </w:r>
      <w:r w:rsidR="00C6098A">
        <w:rPr>
          <w:rFonts w:ascii="Calibri" w:hAnsi="Calibri" w:cs="Calibri"/>
          <w:color w:val="000000" w:themeColor="text1"/>
          <w:sz w:val="24"/>
          <w:szCs w:val="24"/>
        </w:rPr>
        <w:t>3</w:t>
      </w:r>
      <w:r w:rsidR="00C44D0C">
        <w:rPr>
          <w:rFonts w:ascii="Calibri" w:hAnsi="Calibri" w:cs="Calibri"/>
          <w:color w:val="000000" w:themeColor="text1"/>
          <w:sz w:val="24"/>
          <w:szCs w:val="24"/>
        </w:rPr>
        <w:t>75</w:t>
      </w:r>
      <w:r>
        <w:rPr>
          <w:rFonts w:ascii="Calibri" w:hAnsi="Calibri" w:cs="Calibri"/>
          <w:color w:val="000000" w:themeColor="text1"/>
          <w:sz w:val="24"/>
          <w:szCs w:val="24"/>
        </w:rPr>
        <w:t xml:space="preserve"> each</w:t>
      </w:r>
    </w:p>
    <w:p w:rsidR="00014828" w:rsidRDefault="00014828" w:rsidP="00014828">
      <w:pPr>
        <w:pStyle w:val="ListParagraph"/>
        <w:numPr>
          <w:ilvl w:val="0"/>
          <w:numId w:val="34"/>
        </w:numPr>
        <w:spacing w:after="0" w:line="240" w:lineRule="auto"/>
        <w:ind w:left="360"/>
        <w:jc w:val="both"/>
        <w:rPr>
          <w:rFonts w:ascii="Calibri" w:hAnsi="Calibri" w:cs="Calibri"/>
          <w:color w:val="000000" w:themeColor="text1"/>
          <w:sz w:val="24"/>
          <w:szCs w:val="24"/>
        </w:rPr>
      </w:pPr>
      <w:r>
        <w:rPr>
          <w:rFonts w:ascii="Calibri" w:hAnsi="Calibri" w:cs="Calibri"/>
          <w:color w:val="000000" w:themeColor="text1"/>
          <w:sz w:val="24"/>
          <w:szCs w:val="24"/>
        </w:rPr>
        <w:t>Tax credit for rotations 4-10 @ $</w:t>
      </w:r>
      <w:r w:rsidR="00C6098A">
        <w:rPr>
          <w:rFonts w:ascii="Calibri" w:hAnsi="Calibri" w:cs="Calibri"/>
          <w:color w:val="000000" w:themeColor="text1"/>
          <w:sz w:val="24"/>
          <w:szCs w:val="24"/>
        </w:rPr>
        <w:t>750</w:t>
      </w:r>
      <w:r>
        <w:rPr>
          <w:rFonts w:ascii="Calibri" w:hAnsi="Calibri" w:cs="Calibri"/>
          <w:color w:val="000000" w:themeColor="text1"/>
          <w:sz w:val="24"/>
          <w:szCs w:val="24"/>
        </w:rPr>
        <w:t xml:space="preserve"> each</w:t>
      </w:r>
    </w:p>
    <w:p w:rsidR="00014828" w:rsidRDefault="00014828" w:rsidP="00014828">
      <w:pPr>
        <w:pStyle w:val="ListParagraph"/>
        <w:numPr>
          <w:ilvl w:val="0"/>
          <w:numId w:val="34"/>
        </w:numPr>
        <w:spacing w:after="0" w:line="240" w:lineRule="auto"/>
        <w:ind w:left="360"/>
        <w:jc w:val="both"/>
        <w:rPr>
          <w:rFonts w:ascii="Calibri" w:hAnsi="Calibri" w:cs="Calibri"/>
          <w:color w:val="000000" w:themeColor="text1"/>
          <w:sz w:val="24"/>
          <w:szCs w:val="24"/>
        </w:rPr>
      </w:pPr>
      <w:r>
        <w:rPr>
          <w:rFonts w:ascii="Calibri" w:hAnsi="Calibri" w:cs="Calibri"/>
          <w:color w:val="000000" w:themeColor="text1"/>
          <w:sz w:val="24"/>
          <w:szCs w:val="24"/>
        </w:rPr>
        <w:t xml:space="preserve">Total rotations </w:t>
      </w:r>
      <w:r w:rsidRPr="00014828">
        <w:rPr>
          <w:rFonts w:ascii="Calibri" w:hAnsi="Calibri" w:cs="Calibri"/>
          <w:b/>
          <w:i/>
          <w:color w:val="000000" w:themeColor="text1"/>
          <w:sz w:val="24"/>
          <w:szCs w:val="24"/>
        </w:rPr>
        <w:t xml:space="preserve">estimated </w:t>
      </w:r>
      <w:r>
        <w:rPr>
          <w:rFonts w:ascii="Calibri" w:hAnsi="Calibri" w:cs="Calibri"/>
          <w:color w:val="000000" w:themeColor="text1"/>
          <w:sz w:val="24"/>
          <w:szCs w:val="24"/>
        </w:rPr>
        <w:t>for Tax Year 2017: 2,100</w:t>
      </w:r>
    </w:p>
    <w:p w:rsidR="00E02090" w:rsidRPr="00E02090" w:rsidRDefault="00E02090" w:rsidP="00E02090">
      <w:pPr>
        <w:spacing w:after="0" w:line="240" w:lineRule="auto"/>
        <w:ind w:left="360"/>
        <w:jc w:val="both"/>
        <w:rPr>
          <w:rFonts w:ascii="Calibri" w:hAnsi="Calibri" w:cs="Calibri"/>
          <w:color w:val="000000" w:themeColor="text1"/>
          <w:sz w:val="24"/>
          <w:szCs w:val="24"/>
        </w:rPr>
      </w:pPr>
    </w:p>
    <w:p w:rsidR="00014828" w:rsidRDefault="00014828" w:rsidP="00014828">
      <w:pPr>
        <w:spacing w:after="0" w:line="240" w:lineRule="auto"/>
        <w:jc w:val="both"/>
        <w:rPr>
          <w:rFonts w:ascii="Calibri" w:hAnsi="Calibri" w:cs="Calibri"/>
          <w:b/>
          <w:color w:val="000000" w:themeColor="text1"/>
          <w:sz w:val="24"/>
          <w:szCs w:val="24"/>
          <w:u w:val="single"/>
        </w:rPr>
      </w:pPr>
      <w:r>
        <w:rPr>
          <w:rFonts w:ascii="Calibri" w:hAnsi="Calibri" w:cs="Calibri"/>
          <w:b/>
          <w:color w:val="000000" w:themeColor="text1"/>
          <w:sz w:val="24"/>
          <w:szCs w:val="24"/>
          <w:u w:val="single"/>
        </w:rPr>
        <w:t>Baseline Data:</w:t>
      </w:r>
    </w:p>
    <w:p w:rsidR="001E6D26" w:rsidRPr="00014828" w:rsidRDefault="00457949" w:rsidP="00014828">
      <w:pPr>
        <w:spacing w:after="0" w:line="240" w:lineRule="auto"/>
        <w:jc w:val="both"/>
        <w:rPr>
          <w:rFonts w:ascii="Calibri" w:hAnsi="Calibri" w:cs="Calibri"/>
          <w:color w:val="000000" w:themeColor="text1"/>
          <w:sz w:val="24"/>
          <w:szCs w:val="24"/>
        </w:rPr>
      </w:pPr>
      <w:r w:rsidRPr="00014828">
        <w:rPr>
          <w:rFonts w:ascii="Calibri" w:hAnsi="Calibri" w:cs="Calibri"/>
          <w:b/>
          <w:color w:val="000000" w:themeColor="text1"/>
          <w:sz w:val="24"/>
          <w:szCs w:val="24"/>
        </w:rPr>
        <w:t>MEDICAL/ OSTEOPATHIC S</w:t>
      </w:r>
      <w:r w:rsidR="00F17AE0" w:rsidRPr="00014828">
        <w:rPr>
          <w:rFonts w:ascii="Calibri" w:hAnsi="Calibri" w:cs="Calibri"/>
          <w:b/>
          <w:color w:val="000000" w:themeColor="text1"/>
          <w:sz w:val="24"/>
          <w:szCs w:val="24"/>
        </w:rPr>
        <w:t>TUDENTS:</w:t>
      </w:r>
      <w:r w:rsidR="00F17AE0" w:rsidRPr="00014828">
        <w:rPr>
          <w:rFonts w:ascii="Calibri" w:hAnsi="Calibri" w:cs="Calibri"/>
          <w:color w:val="000000" w:themeColor="text1"/>
          <w:sz w:val="24"/>
          <w:szCs w:val="24"/>
        </w:rPr>
        <w:t xml:space="preserve"> </w:t>
      </w:r>
      <w:r w:rsidR="001E6D26" w:rsidRPr="00014828">
        <w:rPr>
          <w:rFonts w:ascii="Calibri" w:hAnsi="Calibri" w:cs="Calibri"/>
          <w:color w:val="000000" w:themeColor="text1"/>
          <w:sz w:val="24"/>
          <w:szCs w:val="24"/>
        </w:rPr>
        <w:t>Each medical</w:t>
      </w:r>
      <w:r w:rsidRPr="00014828">
        <w:rPr>
          <w:rFonts w:ascii="Calibri" w:hAnsi="Calibri" w:cs="Calibri"/>
          <w:color w:val="000000" w:themeColor="text1"/>
          <w:sz w:val="24"/>
          <w:szCs w:val="24"/>
        </w:rPr>
        <w:tab/>
        <w:t>/ osteopathic</w:t>
      </w:r>
      <w:r w:rsidR="001E6D26" w:rsidRPr="00014828">
        <w:rPr>
          <w:rFonts w:ascii="Calibri" w:hAnsi="Calibri" w:cs="Calibri"/>
          <w:color w:val="000000" w:themeColor="text1"/>
          <w:sz w:val="24"/>
          <w:szCs w:val="24"/>
        </w:rPr>
        <w:t xml:space="preserve"> student has approximately 7 required core clerkship</w:t>
      </w:r>
      <w:r w:rsidR="00F17AE0" w:rsidRPr="00014828">
        <w:rPr>
          <w:rFonts w:ascii="Calibri" w:hAnsi="Calibri" w:cs="Calibri"/>
          <w:color w:val="000000" w:themeColor="text1"/>
          <w:sz w:val="24"/>
          <w:szCs w:val="24"/>
        </w:rPr>
        <w:t xml:space="preserve"> rotations</w:t>
      </w:r>
      <w:r w:rsidR="00822871" w:rsidRPr="00014828">
        <w:rPr>
          <w:rFonts w:ascii="Calibri" w:hAnsi="Calibri" w:cs="Calibri"/>
          <w:color w:val="000000" w:themeColor="text1"/>
          <w:sz w:val="24"/>
          <w:szCs w:val="24"/>
        </w:rPr>
        <w:t xml:space="preserve"> in their third year and approximately the same in the 4</w:t>
      </w:r>
      <w:r w:rsidR="00822871" w:rsidRPr="00014828">
        <w:rPr>
          <w:rFonts w:ascii="Calibri" w:hAnsi="Calibri" w:cs="Calibri"/>
          <w:color w:val="000000" w:themeColor="text1"/>
          <w:sz w:val="24"/>
          <w:szCs w:val="24"/>
          <w:vertAlign w:val="superscript"/>
        </w:rPr>
        <w:t>th</w:t>
      </w:r>
      <w:r w:rsidR="00822871" w:rsidRPr="00014828">
        <w:rPr>
          <w:rFonts w:ascii="Calibri" w:hAnsi="Calibri" w:cs="Calibri"/>
          <w:color w:val="000000" w:themeColor="text1"/>
          <w:sz w:val="24"/>
          <w:szCs w:val="24"/>
        </w:rPr>
        <w:t xml:space="preserve"> year.  </w:t>
      </w:r>
      <w:r w:rsidR="001E6D26" w:rsidRPr="00014828">
        <w:rPr>
          <w:rFonts w:ascii="Calibri" w:hAnsi="Calibri" w:cs="Calibri"/>
          <w:color w:val="000000" w:themeColor="text1"/>
          <w:sz w:val="24"/>
          <w:szCs w:val="24"/>
        </w:rPr>
        <w:t xml:space="preserve"> </w:t>
      </w:r>
    </w:p>
    <w:p w:rsidR="00014828" w:rsidRDefault="00F17AE0" w:rsidP="00E35393">
      <w:pPr>
        <w:pStyle w:val="ListParagraph"/>
        <w:numPr>
          <w:ilvl w:val="1"/>
          <w:numId w:val="34"/>
        </w:numPr>
        <w:spacing w:after="0" w:line="240" w:lineRule="auto"/>
        <w:jc w:val="both"/>
        <w:rPr>
          <w:rFonts w:ascii="Calibri" w:hAnsi="Calibri" w:cs="Calibri"/>
          <w:color w:val="000000" w:themeColor="text1"/>
          <w:sz w:val="24"/>
          <w:szCs w:val="24"/>
        </w:rPr>
      </w:pPr>
      <w:r w:rsidRPr="00014828">
        <w:rPr>
          <w:rFonts w:ascii="Calibri" w:hAnsi="Calibri" w:cs="Calibri"/>
          <w:color w:val="000000" w:themeColor="text1"/>
          <w:sz w:val="24"/>
          <w:szCs w:val="24"/>
        </w:rPr>
        <w:t>Each rotation lasts 4-6 weeks on average.</w:t>
      </w:r>
    </w:p>
    <w:p w:rsidR="001E6D26" w:rsidRPr="00014828" w:rsidRDefault="001E6D26" w:rsidP="00E35393">
      <w:pPr>
        <w:pStyle w:val="ListParagraph"/>
        <w:numPr>
          <w:ilvl w:val="1"/>
          <w:numId w:val="34"/>
        </w:numPr>
        <w:spacing w:after="0" w:line="240" w:lineRule="auto"/>
        <w:jc w:val="both"/>
        <w:rPr>
          <w:rFonts w:ascii="Calibri" w:hAnsi="Calibri" w:cs="Calibri"/>
          <w:color w:val="000000" w:themeColor="text1"/>
          <w:sz w:val="24"/>
          <w:szCs w:val="24"/>
        </w:rPr>
      </w:pPr>
      <w:r w:rsidRPr="00014828">
        <w:rPr>
          <w:rFonts w:ascii="Calibri" w:hAnsi="Calibri" w:cs="Calibri"/>
          <w:color w:val="000000" w:themeColor="text1"/>
          <w:sz w:val="24"/>
          <w:szCs w:val="24"/>
        </w:rPr>
        <w:t xml:space="preserve">Approximately 40% of these required clerkship rotations occur in community based settings with </w:t>
      </w:r>
      <w:r w:rsidRPr="00014828">
        <w:rPr>
          <w:rFonts w:ascii="Calibri" w:hAnsi="Calibri" w:cs="Calibri"/>
          <w:b/>
          <w:i/>
          <w:color w:val="000000" w:themeColor="text1"/>
          <w:sz w:val="24"/>
          <w:szCs w:val="24"/>
        </w:rPr>
        <w:t>non-compensated</w:t>
      </w:r>
      <w:r w:rsidRPr="00014828">
        <w:rPr>
          <w:rFonts w:ascii="Calibri" w:hAnsi="Calibri" w:cs="Calibri"/>
          <w:color w:val="000000" w:themeColor="text1"/>
          <w:sz w:val="24"/>
          <w:szCs w:val="24"/>
        </w:rPr>
        <w:t xml:space="preserve"> volunteer faculty</w:t>
      </w:r>
      <w:r w:rsidR="00324B94" w:rsidRPr="00014828">
        <w:rPr>
          <w:rFonts w:ascii="Calibri" w:hAnsi="Calibri" w:cs="Calibri"/>
          <w:color w:val="000000" w:themeColor="text1"/>
          <w:sz w:val="24"/>
          <w:szCs w:val="24"/>
        </w:rPr>
        <w:t>;</w:t>
      </w:r>
    </w:p>
    <w:p w:rsidR="001E6D26" w:rsidRDefault="001E6D26" w:rsidP="00F17AE0">
      <w:pPr>
        <w:pStyle w:val="ListParagraph"/>
        <w:numPr>
          <w:ilvl w:val="1"/>
          <w:numId w:val="34"/>
        </w:numPr>
        <w:spacing w:after="0" w:line="240" w:lineRule="auto"/>
        <w:jc w:val="both"/>
        <w:rPr>
          <w:rFonts w:ascii="Calibri" w:hAnsi="Calibri" w:cs="Calibri"/>
          <w:color w:val="000000" w:themeColor="text1"/>
          <w:sz w:val="24"/>
          <w:szCs w:val="24"/>
        </w:rPr>
      </w:pPr>
      <w:r w:rsidRPr="001E6D26">
        <w:rPr>
          <w:rFonts w:ascii="Calibri" w:hAnsi="Calibri" w:cs="Calibri"/>
          <w:color w:val="000000" w:themeColor="text1"/>
          <w:sz w:val="24"/>
          <w:szCs w:val="24"/>
        </w:rPr>
        <w:t>In 201</w:t>
      </w:r>
      <w:r w:rsidR="00822871">
        <w:rPr>
          <w:rFonts w:ascii="Calibri" w:hAnsi="Calibri" w:cs="Calibri"/>
          <w:color w:val="000000" w:themeColor="text1"/>
          <w:sz w:val="24"/>
          <w:szCs w:val="24"/>
        </w:rPr>
        <w:t>6</w:t>
      </w:r>
      <w:r w:rsidRPr="001E6D26">
        <w:rPr>
          <w:rFonts w:ascii="Calibri" w:hAnsi="Calibri" w:cs="Calibri"/>
          <w:color w:val="000000" w:themeColor="text1"/>
          <w:sz w:val="24"/>
          <w:szCs w:val="24"/>
        </w:rPr>
        <w:t>, there were approximately 594 3</w:t>
      </w:r>
      <w:r w:rsidRPr="001E6D26">
        <w:rPr>
          <w:rFonts w:ascii="Calibri" w:hAnsi="Calibri" w:cs="Calibri"/>
          <w:color w:val="000000" w:themeColor="text1"/>
          <w:sz w:val="24"/>
          <w:szCs w:val="24"/>
          <w:vertAlign w:val="superscript"/>
        </w:rPr>
        <w:t>rd</w:t>
      </w:r>
      <w:r w:rsidRPr="001E6D26">
        <w:rPr>
          <w:rFonts w:ascii="Calibri" w:hAnsi="Calibri" w:cs="Calibri"/>
          <w:color w:val="000000" w:themeColor="text1"/>
          <w:sz w:val="24"/>
          <w:szCs w:val="24"/>
        </w:rPr>
        <w:t xml:space="preserve"> year Georgia Medical </w:t>
      </w:r>
      <w:r w:rsidR="00457949">
        <w:rPr>
          <w:rFonts w:ascii="Calibri" w:hAnsi="Calibri" w:cs="Calibri"/>
          <w:color w:val="000000" w:themeColor="text1"/>
          <w:sz w:val="24"/>
          <w:szCs w:val="24"/>
        </w:rPr>
        <w:t xml:space="preserve">/ Osteopathic </w:t>
      </w:r>
      <w:r w:rsidRPr="001E6D26">
        <w:rPr>
          <w:rFonts w:ascii="Calibri" w:hAnsi="Calibri" w:cs="Calibri"/>
          <w:color w:val="000000" w:themeColor="text1"/>
          <w:sz w:val="24"/>
          <w:szCs w:val="24"/>
        </w:rPr>
        <w:t>Students</w:t>
      </w:r>
      <w:r w:rsidR="00F17AE0">
        <w:rPr>
          <w:rFonts w:ascii="Calibri" w:hAnsi="Calibri" w:cs="Calibri"/>
          <w:color w:val="000000" w:themeColor="text1"/>
          <w:sz w:val="24"/>
          <w:szCs w:val="24"/>
        </w:rPr>
        <w:t xml:space="preserve"> at our five schools</w:t>
      </w:r>
      <w:r w:rsidR="00822871">
        <w:rPr>
          <w:rFonts w:ascii="Calibri" w:hAnsi="Calibri" w:cs="Calibri"/>
          <w:color w:val="000000" w:themeColor="text1"/>
          <w:sz w:val="24"/>
          <w:szCs w:val="24"/>
        </w:rPr>
        <w:t>;</w:t>
      </w:r>
    </w:p>
    <w:p w:rsidR="00F17AE0" w:rsidRDefault="001E6D26" w:rsidP="00F17AE0">
      <w:pPr>
        <w:pStyle w:val="ListParagraph"/>
        <w:numPr>
          <w:ilvl w:val="1"/>
          <w:numId w:val="34"/>
        </w:numPr>
        <w:spacing w:after="0" w:line="240" w:lineRule="auto"/>
        <w:jc w:val="both"/>
        <w:rPr>
          <w:rFonts w:ascii="Calibri" w:hAnsi="Calibri" w:cs="Calibri"/>
          <w:color w:val="000000" w:themeColor="text1"/>
          <w:sz w:val="24"/>
          <w:szCs w:val="24"/>
        </w:rPr>
      </w:pPr>
      <w:r w:rsidRPr="001E6D26">
        <w:rPr>
          <w:rFonts w:ascii="Calibri" w:hAnsi="Calibri" w:cs="Calibri"/>
          <w:color w:val="000000" w:themeColor="text1"/>
          <w:sz w:val="24"/>
          <w:szCs w:val="24"/>
        </w:rPr>
        <w:t xml:space="preserve">594 x 7 required core clerkships = 4,158 rotations; </w:t>
      </w:r>
    </w:p>
    <w:p w:rsidR="001E6D26" w:rsidRDefault="001E6D26" w:rsidP="00F17AE0">
      <w:pPr>
        <w:pStyle w:val="ListParagraph"/>
        <w:numPr>
          <w:ilvl w:val="1"/>
          <w:numId w:val="34"/>
        </w:numPr>
        <w:spacing w:after="0" w:line="240" w:lineRule="auto"/>
        <w:jc w:val="both"/>
        <w:rPr>
          <w:rFonts w:ascii="Calibri" w:hAnsi="Calibri" w:cs="Calibri"/>
          <w:color w:val="000000" w:themeColor="text1"/>
          <w:sz w:val="24"/>
          <w:szCs w:val="24"/>
        </w:rPr>
      </w:pPr>
      <w:r w:rsidRPr="001E6D26">
        <w:rPr>
          <w:rFonts w:ascii="Calibri" w:hAnsi="Calibri" w:cs="Calibri"/>
          <w:color w:val="000000" w:themeColor="text1"/>
          <w:sz w:val="24"/>
          <w:szCs w:val="24"/>
        </w:rPr>
        <w:t xml:space="preserve">4,158 x 40% in community settings = </w:t>
      </w:r>
      <w:r w:rsidRPr="001E6D26">
        <w:rPr>
          <w:rFonts w:ascii="Calibri" w:hAnsi="Calibri" w:cs="Calibri"/>
          <w:b/>
          <w:i/>
          <w:color w:val="000000" w:themeColor="text1"/>
          <w:sz w:val="24"/>
          <w:szCs w:val="24"/>
        </w:rPr>
        <w:t>1,663 rotations eligible for tax credit</w:t>
      </w:r>
      <w:r w:rsidR="00822871">
        <w:rPr>
          <w:rFonts w:ascii="Calibri" w:hAnsi="Calibri" w:cs="Calibri"/>
          <w:b/>
          <w:i/>
          <w:color w:val="000000" w:themeColor="text1"/>
          <w:sz w:val="24"/>
          <w:szCs w:val="24"/>
        </w:rPr>
        <w:t>.</w:t>
      </w:r>
    </w:p>
    <w:p w:rsidR="00F17AE0" w:rsidRDefault="00F17AE0" w:rsidP="00F17AE0">
      <w:pPr>
        <w:pStyle w:val="ListParagraph"/>
        <w:spacing w:after="0" w:line="240" w:lineRule="auto"/>
        <w:ind w:left="1440"/>
        <w:jc w:val="both"/>
        <w:rPr>
          <w:rFonts w:ascii="Calibri" w:hAnsi="Calibri" w:cs="Calibri"/>
          <w:color w:val="000000" w:themeColor="text1"/>
          <w:sz w:val="24"/>
          <w:szCs w:val="24"/>
        </w:rPr>
      </w:pPr>
    </w:p>
    <w:p w:rsidR="00F17AE0" w:rsidRPr="00014828" w:rsidRDefault="00F17AE0" w:rsidP="00014828">
      <w:pPr>
        <w:spacing w:after="0" w:line="240" w:lineRule="auto"/>
        <w:jc w:val="both"/>
        <w:rPr>
          <w:rFonts w:ascii="Calibri" w:hAnsi="Calibri" w:cs="Calibri"/>
          <w:color w:val="000000" w:themeColor="text1"/>
          <w:sz w:val="24"/>
          <w:szCs w:val="24"/>
        </w:rPr>
      </w:pPr>
      <w:r w:rsidRPr="00014828">
        <w:rPr>
          <w:rFonts w:ascii="Calibri" w:hAnsi="Calibri" w:cs="Calibri"/>
          <w:b/>
          <w:color w:val="000000" w:themeColor="text1"/>
          <w:sz w:val="24"/>
          <w:szCs w:val="24"/>
          <w:u w:val="single"/>
        </w:rPr>
        <w:t>PHYSICIAN ASSISTANT STUDENTS</w:t>
      </w:r>
      <w:r w:rsidRPr="00014828">
        <w:rPr>
          <w:rFonts w:ascii="Calibri" w:hAnsi="Calibri" w:cs="Calibri"/>
          <w:color w:val="000000" w:themeColor="text1"/>
          <w:sz w:val="24"/>
          <w:szCs w:val="24"/>
        </w:rPr>
        <w:t>: Each PA student completes approximately 50% of their required clinical rotations in off-campus community based training sites with practicing physicians</w:t>
      </w:r>
      <w:r w:rsidR="00822871" w:rsidRPr="00014828">
        <w:rPr>
          <w:rFonts w:ascii="Calibri" w:hAnsi="Calibri" w:cs="Calibri"/>
          <w:color w:val="000000" w:themeColor="text1"/>
          <w:sz w:val="24"/>
          <w:szCs w:val="24"/>
        </w:rPr>
        <w:t xml:space="preserve"> and/or licensed PAs</w:t>
      </w:r>
      <w:r w:rsidRPr="00014828">
        <w:rPr>
          <w:rFonts w:ascii="Calibri" w:hAnsi="Calibri" w:cs="Calibri"/>
          <w:color w:val="000000" w:themeColor="text1"/>
          <w:sz w:val="24"/>
          <w:szCs w:val="24"/>
        </w:rPr>
        <w:t xml:space="preserve">.  The same seven clerkships are required as for medical students.  </w:t>
      </w:r>
    </w:p>
    <w:p w:rsidR="00F17AE0" w:rsidRDefault="00F17AE0" w:rsidP="00F17AE0">
      <w:pPr>
        <w:pStyle w:val="ListParagraph"/>
        <w:numPr>
          <w:ilvl w:val="1"/>
          <w:numId w:val="34"/>
        </w:numPr>
        <w:spacing w:after="0" w:line="240" w:lineRule="auto"/>
        <w:jc w:val="both"/>
        <w:rPr>
          <w:rFonts w:ascii="Calibri" w:hAnsi="Calibri" w:cs="Calibri"/>
          <w:color w:val="000000" w:themeColor="text1"/>
          <w:sz w:val="24"/>
          <w:szCs w:val="24"/>
        </w:rPr>
      </w:pPr>
      <w:r w:rsidRPr="001E6D26">
        <w:rPr>
          <w:rFonts w:ascii="Calibri" w:hAnsi="Calibri" w:cs="Calibri"/>
          <w:color w:val="000000" w:themeColor="text1"/>
          <w:sz w:val="24"/>
          <w:szCs w:val="24"/>
        </w:rPr>
        <w:t>There are approximately 300 Georg</w:t>
      </w:r>
      <w:r>
        <w:rPr>
          <w:rFonts w:ascii="Calibri" w:hAnsi="Calibri" w:cs="Calibri"/>
          <w:color w:val="000000" w:themeColor="text1"/>
          <w:sz w:val="24"/>
          <w:szCs w:val="24"/>
        </w:rPr>
        <w:t xml:space="preserve">ia Physician Assistant students at </w:t>
      </w:r>
      <w:r w:rsidR="00182EFC">
        <w:rPr>
          <w:rFonts w:ascii="Calibri" w:hAnsi="Calibri" w:cs="Calibri"/>
          <w:color w:val="000000" w:themeColor="text1"/>
          <w:sz w:val="24"/>
          <w:szCs w:val="24"/>
        </w:rPr>
        <w:t>five</w:t>
      </w:r>
      <w:r>
        <w:rPr>
          <w:rFonts w:ascii="Calibri" w:hAnsi="Calibri" w:cs="Calibri"/>
          <w:color w:val="000000" w:themeColor="text1"/>
          <w:sz w:val="24"/>
          <w:szCs w:val="24"/>
        </w:rPr>
        <w:t xml:space="preserve"> institutions</w:t>
      </w:r>
      <w:r w:rsidR="00822871">
        <w:rPr>
          <w:rFonts w:ascii="Calibri" w:hAnsi="Calibri" w:cs="Calibri"/>
          <w:color w:val="000000" w:themeColor="text1"/>
          <w:sz w:val="24"/>
          <w:szCs w:val="24"/>
        </w:rPr>
        <w:t>;</w:t>
      </w:r>
    </w:p>
    <w:p w:rsidR="00F17AE0" w:rsidRDefault="00F17AE0" w:rsidP="00F17AE0">
      <w:pPr>
        <w:pStyle w:val="ListParagraph"/>
        <w:numPr>
          <w:ilvl w:val="1"/>
          <w:numId w:val="34"/>
        </w:numPr>
        <w:spacing w:after="0" w:line="240" w:lineRule="auto"/>
        <w:jc w:val="both"/>
        <w:rPr>
          <w:rFonts w:ascii="Calibri" w:hAnsi="Calibri" w:cs="Calibri"/>
          <w:color w:val="000000" w:themeColor="text1"/>
          <w:sz w:val="24"/>
          <w:szCs w:val="24"/>
        </w:rPr>
      </w:pPr>
      <w:r w:rsidRPr="001E6D26">
        <w:rPr>
          <w:rFonts w:ascii="Calibri" w:hAnsi="Calibri" w:cs="Calibri"/>
          <w:color w:val="000000" w:themeColor="text1"/>
          <w:sz w:val="24"/>
          <w:szCs w:val="24"/>
        </w:rPr>
        <w:t>Each rotation lasts 4-6 weeks on average</w:t>
      </w:r>
      <w:r w:rsidR="00822871">
        <w:rPr>
          <w:rFonts w:ascii="Calibri" w:hAnsi="Calibri" w:cs="Calibri"/>
          <w:color w:val="000000" w:themeColor="text1"/>
          <w:sz w:val="24"/>
          <w:szCs w:val="24"/>
        </w:rPr>
        <w:t>;</w:t>
      </w:r>
    </w:p>
    <w:p w:rsidR="00F17AE0" w:rsidRDefault="00F17AE0" w:rsidP="00F17AE0">
      <w:pPr>
        <w:pStyle w:val="ListParagraph"/>
        <w:numPr>
          <w:ilvl w:val="1"/>
          <w:numId w:val="34"/>
        </w:numPr>
        <w:spacing w:after="0" w:line="240" w:lineRule="auto"/>
        <w:jc w:val="both"/>
        <w:rPr>
          <w:rFonts w:ascii="Calibri" w:hAnsi="Calibri" w:cs="Calibri"/>
          <w:color w:val="000000" w:themeColor="text1"/>
          <w:sz w:val="24"/>
          <w:szCs w:val="24"/>
        </w:rPr>
      </w:pPr>
      <w:r>
        <w:rPr>
          <w:rFonts w:ascii="Calibri" w:hAnsi="Calibri" w:cs="Calibri"/>
          <w:color w:val="000000" w:themeColor="text1"/>
          <w:sz w:val="24"/>
          <w:szCs w:val="24"/>
        </w:rPr>
        <w:t>300 students x 7 rotations= 2,100 rotations</w:t>
      </w:r>
      <w:r w:rsidR="00822871">
        <w:rPr>
          <w:rFonts w:ascii="Calibri" w:hAnsi="Calibri" w:cs="Calibri"/>
          <w:color w:val="000000" w:themeColor="text1"/>
          <w:sz w:val="24"/>
          <w:szCs w:val="24"/>
        </w:rPr>
        <w:t>;</w:t>
      </w:r>
    </w:p>
    <w:p w:rsidR="00F17AE0" w:rsidRPr="00F17AE0" w:rsidRDefault="00F17AE0" w:rsidP="00F17AE0">
      <w:pPr>
        <w:pStyle w:val="ListParagraph"/>
        <w:numPr>
          <w:ilvl w:val="1"/>
          <w:numId w:val="34"/>
        </w:numPr>
        <w:spacing w:after="0" w:line="240" w:lineRule="auto"/>
        <w:jc w:val="both"/>
        <w:rPr>
          <w:rFonts w:ascii="Calibri" w:hAnsi="Calibri" w:cs="Calibri"/>
          <w:color w:val="000000" w:themeColor="text1"/>
          <w:sz w:val="24"/>
          <w:szCs w:val="24"/>
        </w:rPr>
      </w:pPr>
      <w:r>
        <w:rPr>
          <w:rFonts w:ascii="Calibri" w:hAnsi="Calibri" w:cs="Calibri"/>
          <w:color w:val="000000" w:themeColor="text1"/>
          <w:sz w:val="24"/>
          <w:szCs w:val="24"/>
        </w:rPr>
        <w:t xml:space="preserve">2,100 rotations x 50% in community based training sites= </w:t>
      </w:r>
      <w:r w:rsidRPr="00F17AE0">
        <w:rPr>
          <w:rFonts w:ascii="Calibri" w:hAnsi="Calibri" w:cs="Calibri"/>
          <w:b/>
          <w:i/>
          <w:color w:val="000000" w:themeColor="text1"/>
          <w:sz w:val="24"/>
          <w:szCs w:val="24"/>
        </w:rPr>
        <w:t>1,050 rotations eligible for tax credits</w:t>
      </w:r>
      <w:r w:rsidR="00822871">
        <w:rPr>
          <w:rFonts w:ascii="Calibri" w:hAnsi="Calibri" w:cs="Calibri"/>
          <w:b/>
          <w:i/>
          <w:color w:val="000000" w:themeColor="text1"/>
          <w:sz w:val="24"/>
          <w:szCs w:val="24"/>
        </w:rPr>
        <w:t>.</w:t>
      </w:r>
    </w:p>
    <w:p w:rsidR="00F17AE0" w:rsidRDefault="00F17AE0" w:rsidP="00F17AE0">
      <w:pPr>
        <w:spacing w:after="0" w:line="240" w:lineRule="auto"/>
        <w:jc w:val="both"/>
        <w:rPr>
          <w:rFonts w:ascii="Calibri" w:hAnsi="Calibri" w:cs="Calibri"/>
          <w:color w:val="000000" w:themeColor="text1"/>
          <w:sz w:val="24"/>
          <w:szCs w:val="24"/>
        </w:rPr>
      </w:pPr>
    </w:p>
    <w:p w:rsidR="00EA5EE0" w:rsidRPr="00014828" w:rsidRDefault="00E02090" w:rsidP="00014828">
      <w:pPr>
        <w:spacing w:after="0" w:line="240" w:lineRule="auto"/>
        <w:jc w:val="both"/>
        <w:rPr>
          <w:rFonts w:ascii="Calibri" w:hAnsi="Calibri" w:cs="Calibri"/>
          <w:color w:val="000000" w:themeColor="text1"/>
          <w:sz w:val="24"/>
          <w:szCs w:val="24"/>
        </w:rPr>
      </w:pPr>
      <w:r w:rsidRPr="00014828">
        <w:rPr>
          <w:rFonts w:ascii="Calibri" w:hAnsi="Calibri" w:cs="Calibri"/>
          <w:b/>
          <w:color w:val="000000" w:themeColor="text1"/>
          <w:sz w:val="24"/>
          <w:szCs w:val="24"/>
          <w:u w:val="single"/>
        </w:rPr>
        <w:t>ADVANCED PRACTICE REGISTERED NURSES</w:t>
      </w:r>
      <w:r w:rsidR="00EA5EE0" w:rsidRPr="00014828">
        <w:rPr>
          <w:rFonts w:ascii="Calibri" w:hAnsi="Calibri" w:cs="Calibri"/>
          <w:b/>
          <w:color w:val="000000" w:themeColor="text1"/>
          <w:sz w:val="24"/>
          <w:szCs w:val="24"/>
          <w:u w:val="single"/>
        </w:rPr>
        <w:t xml:space="preserve"> STUDENTS</w:t>
      </w:r>
      <w:r w:rsidR="00EA5EE0" w:rsidRPr="00014828">
        <w:rPr>
          <w:rFonts w:ascii="Calibri" w:hAnsi="Calibri" w:cs="Calibri"/>
          <w:color w:val="000000" w:themeColor="text1"/>
          <w:sz w:val="24"/>
          <w:szCs w:val="24"/>
        </w:rPr>
        <w:t>: There are 1</w:t>
      </w:r>
      <w:r w:rsidR="00C6098A">
        <w:rPr>
          <w:rFonts w:ascii="Calibri" w:hAnsi="Calibri" w:cs="Calibri"/>
          <w:color w:val="000000" w:themeColor="text1"/>
          <w:sz w:val="24"/>
          <w:szCs w:val="24"/>
        </w:rPr>
        <w:t>5</w:t>
      </w:r>
      <w:r w:rsidR="00EA5EE0" w:rsidRPr="00014828">
        <w:rPr>
          <w:rFonts w:ascii="Calibri" w:hAnsi="Calibri" w:cs="Calibri"/>
          <w:color w:val="000000" w:themeColor="text1"/>
          <w:sz w:val="24"/>
          <w:szCs w:val="24"/>
        </w:rPr>
        <w:t xml:space="preserve"> </w:t>
      </w:r>
      <w:r w:rsidRPr="00014828">
        <w:rPr>
          <w:rFonts w:ascii="Calibri" w:hAnsi="Calibri" w:cs="Calibri"/>
          <w:color w:val="000000" w:themeColor="text1"/>
          <w:sz w:val="24"/>
          <w:szCs w:val="24"/>
        </w:rPr>
        <w:t xml:space="preserve">Advanced </w:t>
      </w:r>
      <w:r w:rsidR="00533205">
        <w:rPr>
          <w:rFonts w:ascii="Calibri" w:hAnsi="Calibri" w:cs="Calibri"/>
          <w:color w:val="000000" w:themeColor="text1"/>
          <w:sz w:val="24"/>
          <w:szCs w:val="24"/>
        </w:rPr>
        <w:t>P</w:t>
      </w:r>
      <w:r w:rsidRPr="00014828">
        <w:rPr>
          <w:rFonts w:ascii="Calibri" w:hAnsi="Calibri" w:cs="Calibri"/>
          <w:color w:val="000000" w:themeColor="text1"/>
          <w:sz w:val="24"/>
          <w:szCs w:val="24"/>
        </w:rPr>
        <w:t xml:space="preserve">ractice </w:t>
      </w:r>
      <w:r w:rsidR="00533205">
        <w:rPr>
          <w:rFonts w:ascii="Calibri" w:hAnsi="Calibri" w:cs="Calibri"/>
          <w:color w:val="000000" w:themeColor="text1"/>
          <w:sz w:val="24"/>
          <w:szCs w:val="24"/>
        </w:rPr>
        <w:t>R</w:t>
      </w:r>
      <w:r w:rsidRPr="00014828">
        <w:rPr>
          <w:rFonts w:ascii="Calibri" w:hAnsi="Calibri" w:cs="Calibri"/>
          <w:color w:val="000000" w:themeColor="text1"/>
          <w:sz w:val="24"/>
          <w:szCs w:val="24"/>
        </w:rPr>
        <w:t xml:space="preserve">egistered </w:t>
      </w:r>
      <w:r w:rsidR="00533205">
        <w:rPr>
          <w:rFonts w:ascii="Calibri" w:hAnsi="Calibri" w:cs="Calibri"/>
          <w:color w:val="000000" w:themeColor="text1"/>
          <w:sz w:val="24"/>
          <w:szCs w:val="24"/>
        </w:rPr>
        <w:t>N</w:t>
      </w:r>
      <w:r w:rsidRPr="00014828">
        <w:rPr>
          <w:rFonts w:ascii="Calibri" w:hAnsi="Calibri" w:cs="Calibri"/>
          <w:color w:val="000000" w:themeColor="text1"/>
          <w:sz w:val="24"/>
          <w:szCs w:val="24"/>
        </w:rPr>
        <w:t>urse</w:t>
      </w:r>
      <w:r w:rsidR="00EA5EE0" w:rsidRPr="00014828">
        <w:rPr>
          <w:rFonts w:ascii="Calibri" w:hAnsi="Calibri" w:cs="Calibri"/>
          <w:color w:val="000000" w:themeColor="text1"/>
          <w:sz w:val="24"/>
          <w:szCs w:val="24"/>
        </w:rPr>
        <w:t xml:space="preserve"> Masters Programs in Georgia with a total approximate enrollment of +/- 700.  Nursing curriculum differs from the other two disciplines, but approximately each student would need 2 or 3 supported rotations.</w:t>
      </w:r>
    </w:p>
    <w:p w:rsidR="00EA5EE0" w:rsidRPr="00EA5EE0" w:rsidRDefault="00EA5EE0" w:rsidP="00EA5EE0">
      <w:pPr>
        <w:pStyle w:val="ListParagraph"/>
        <w:numPr>
          <w:ilvl w:val="1"/>
          <w:numId w:val="34"/>
        </w:numPr>
        <w:spacing w:after="0" w:line="240" w:lineRule="auto"/>
        <w:jc w:val="both"/>
        <w:rPr>
          <w:rFonts w:ascii="Calibri" w:hAnsi="Calibri" w:cs="Calibri"/>
          <w:color w:val="000000" w:themeColor="text1"/>
          <w:sz w:val="24"/>
          <w:szCs w:val="24"/>
        </w:rPr>
      </w:pPr>
      <w:r>
        <w:rPr>
          <w:rFonts w:ascii="Calibri" w:hAnsi="Calibri" w:cs="Calibri"/>
          <w:color w:val="000000" w:themeColor="text1"/>
          <w:sz w:val="24"/>
          <w:szCs w:val="24"/>
        </w:rPr>
        <w:t xml:space="preserve">700 X 3 = </w:t>
      </w:r>
      <w:r w:rsidRPr="00EA5EE0">
        <w:rPr>
          <w:rFonts w:ascii="Calibri" w:hAnsi="Calibri" w:cs="Calibri"/>
          <w:b/>
          <w:i/>
          <w:color w:val="000000" w:themeColor="text1"/>
          <w:sz w:val="24"/>
          <w:szCs w:val="24"/>
        </w:rPr>
        <w:t>2,100 rotations eligible for tax credits</w:t>
      </w:r>
    </w:p>
    <w:p w:rsidR="001E6D26" w:rsidRPr="001E6D26" w:rsidRDefault="001E6D26" w:rsidP="001E6D26">
      <w:pPr>
        <w:spacing w:after="0" w:line="240" w:lineRule="auto"/>
        <w:jc w:val="both"/>
        <w:rPr>
          <w:rFonts w:ascii="Calibri" w:hAnsi="Calibri" w:cs="Calibri"/>
          <w:color w:val="000000" w:themeColor="text1"/>
          <w:sz w:val="24"/>
          <w:szCs w:val="24"/>
        </w:rPr>
      </w:pPr>
      <w:r w:rsidRPr="001E6D26">
        <w:rPr>
          <w:rFonts w:ascii="Calibri" w:hAnsi="Calibri" w:cs="Calibri"/>
          <w:color w:val="000000" w:themeColor="text1"/>
          <w:sz w:val="24"/>
          <w:szCs w:val="24"/>
        </w:rPr>
        <w:t> </w:t>
      </w:r>
    </w:p>
    <w:p w:rsidR="000167A7" w:rsidRPr="00014828" w:rsidRDefault="000167A7" w:rsidP="001E6D26">
      <w:pPr>
        <w:spacing w:after="0" w:line="240" w:lineRule="auto"/>
        <w:jc w:val="both"/>
        <w:rPr>
          <w:rFonts w:ascii="Calibri" w:hAnsi="Calibri" w:cs="Calibri"/>
          <w:b/>
          <w:color w:val="000000" w:themeColor="text1"/>
          <w:sz w:val="24"/>
          <w:szCs w:val="24"/>
          <w:u w:val="single"/>
        </w:rPr>
      </w:pPr>
      <w:r w:rsidRPr="00014828">
        <w:rPr>
          <w:rFonts w:ascii="Calibri" w:hAnsi="Calibri" w:cs="Calibri"/>
          <w:b/>
          <w:color w:val="000000" w:themeColor="text1"/>
          <w:sz w:val="24"/>
          <w:szCs w:val="24"/>
          <w:u w:val="single"/>
        </w:rPr>
        <w:t>Other Considerations:</w:t>
      </w:r>
    </w:p>
    <w:p w:rsidR="00014828" w:rsidRDefault="00182EFC" w:rsidP="00097349">
      <w:pPr>
        <w:pStyle w:val="ListParagraph"/>
        <w:numPr>
          <w:ilvl w:val="0"/>
          <w:numId w:val="34"/>
        </w:numPr>
        <w:spacing w:after="0" w:line="240" w:lineRule="auto"/>
        <w:jc w:val="both"/>
        <w:rPr>
          <w:rFonts w:ascii="Calibri" w:hAnsi="Calibri" w:cs="Calibri"/>
          <w:color w:val="000000" w:themeColor="text1"/>
          <w:sz w:val="24"/>
          <w:szCs w:val="24"/>
        </w:rPr>
      </w:pPr>
      <w:r w:rsidRPr="00014828">
        <w:rPr>
          <w:rFonts w:ascii="Calibri" w:hAnsi="Calibri" w:cs="Calibri"/>
          <w:iCs/>
          <w:color w:val="000000" w:themeColor="text1"/>
          <w:sz w:val="24"/>
          <w:szCs w:val="24"/>
        </w:rPr>
        <w:t>Tax Credit Caps will have to be identified so there is no incentive to take more students than quality education standards can sustain (e.</w:t>
      </w:r>
      <w:r w:rsidRPr="00014828">
        <w:rPr>
          <w:rFonts w:ascii="Calibri" w:hAnsi="Calibri" w:cs="Calibri"/>
          <w:color w:val="000000" w:themeColor="text1"/>
          <w:sz w:val="24"/>
          <w:szCs w:val="24"/>
        </w:rPr>
        <w:t>g. maximum of $10,000 credit annually</w:t>
      </w:r>
      <w:r w:rsidR="00B03BA4" w:rsidRPr="00014828">
        <w:rPr>
          <w:rFonts w:ascii="Calibri" w:hAnsi="Calibri" w:cs="Calibri"/>
          <w:color w:val="000000" w:themeColor="text1"/>
          <w:sz w:val="24"/>
          <w:szCs w:val="24"/>
        </w:rPr>
        <w:t>)</w:t>
      </w:r>
      <w:r w:rsidR="00DB0F5E" w:rsidRPr="00014828">
        <w:rPr>
          <w:rFonts w:ascii="Calibri" w:hAnsi="Calibri" w:cs="Calibri"/>
          <w:color w:val="000000" w:themeColor="text1"/>
          <w:sz w:val="24"/>
          <w:szCs w:val="24"/>
        </w:rPr>
        <w:t>.</w:t>
      </w:r>
    </w:p>
    <w:p w:rsidR="00014828" w:rsidRDefault="00DB0F5E" w:rsidP="00182EFC">
      <w:pPr>
        <w:pStyle w:val="ListParagraph"/>
        <w:numPr>
          <w:ilvl w:val="0"/>
          <w:numId w:val="34"/>
        </w:numPr>
        <w:spacing w:after="0" w:line="240" w:lineRule="auto"/>
        <w:jc w:val="both"/>
        <w:rPr>
          <w:rFonts w:ascii="Calibri" w:hAnsi="Calibri" w:cs="Calibri"/>
          <w:color w:val="000000" w:themeColor="text1"/>
          <w:sz w:val="24"/>
          <w:szCs w:val="24"/>
        </w:rPr>
      </w:pPr>
      <w:r w:rsidRPr="00014828">
        <w:rPr>
          <w:rFonts w:ascii="Calibri" w:hAnsi="Calibri" w:cs="Calibri"/>
          <w:color w:val="000000" w:themeColor="text1"/>
          <w:sz w:val="24"/>
          <w:szCs w:val="24"/>
        </w:rPr>
        <w:t>Tax credit would be non-transferable.</w:t>
      </w:r>
    </w:p>
    <w:p w:rsidR="00014828" w:rsidRDefault="00DB0F5E" w:rsidP="0040716A">
      <w:pPr>
        <w:pStyle w:val="ListParagraph"/>
        <w:numPr>
          <w:ilvl w:val="0"/>
          <w:numId w:val="34"/>
        </w:numPr>
        <w:spacing w:after="0" w:line="240" w:lineRule="auto"/>
        <w:jc w:val="both"/>
        <w:rPr>
          <w:rFonts w:ascii="Calibri" w:hAnsi="Calibri" w:cs="Calibri"/>
          <w:color w:val="000000" w:themeColor="text1"/>
          <w:sz w:val="24"/>
          <w:szCs w:val="24"/>
        </w:rPr>
      </w:pPr>
      <w:r w:rsidRPr="00014828">
        <w:rPr>
          <w:rFonts w:ascii="Calibri" w:hAnsi="Calibri" w:cs="Calibri"/>
          <w:color w:val="000000" w:themeColor="text1"/>
          <w:sz w:val="24"/>
          <w:szCs w:val="24"/>
        </w:rPr>
        <w:t>Unused Tax credit would not carry over to another tax year.</w:t>
      </w:r>
    </w:p>
    <w:p w:rsidR="00C22247" w:rsidRDefault="00457949" w:rsidP="001E6D26">
      <w:pPr>
        <w:pStyle w:val="ListParagraph"/>
        <w:numPr>
          <w:ilvl w:val="0"/>
          <w:numId w:val="34"/>
        </w:numPr>
        <w:spacing w:after="0" w:line="240" w:lineRule="auto"/>
        <w:jc w:val="both"/>
        <w:rPr>
          <w:rFonts w:ascii="Calibri" w:hAnsi="Calibri" w:cs="Calibri"/>
          <w:color w:val="000000" w:themeColor="text1"/>
          <w:sz w:val="24"/>
          <w:szCs w:val="24"/>
        </w:rPr>
      </w:pPr>
      <w:r w:rsidRPr="00014828">
        <w:rPr>
          <w:rFonts w:ascii="Calibri" w:hAnsi="Calibri" w:cs="Calibri"/>
          <w:color w:val="000000" w:themeColor="text1"/>
          <w:sz w:val="24"/>
          <w:szCs w:val="24"/>
        </w:rPr>
        <w:t>There should not be a “cash-out” option for unused credit.</w:t>
      </w:r>
    </w:p>
    <w:p w:rsidR="00014828" w:rsidRDefault="00014828" w:rsidP="00014828">
      <w:pPr>
        <w:spacing w:after="0" w:line="240" w:lineRule="auto"/>
        <w:jc w:val="both"/>
        <w:rPr>
          <w:rFonts w:ascii="Calibri" w:hAnsi="Calibri" w:cs="Calibri"/>
          <w:color w:val="000000" w:themeColor="text1"/>
          <w:sz w:val="24"/>
          <w:szCs w:val="24"/>
        </w:rPr>
      </w:pPr>
    </w:p>
    <w:p w:rsidR="00014828" w:rsidRPr="00014828" w:rsidRDefault="00014828" w:rsidP="00014828">
      <w:pPr>
        <w:spacing w:after="0" w:line="240" w:lineRule="auto"/>
        <w:jc w:val="both"/>
        <w:rPr>
          <w:rFonts w:ascii="Calibri" w:hAnsi="Calibri" w:cs="Calibri"/>
          <w:b/>
          <w:color w:val="000000" w:themeColor="text1"/>
          <w:sz w:val="28"/>
          <w:szCs w:val="28"/>
          <w:u w:val="single"/>
        </w:rPr>
      </w:pPr>
      <w:r w:rsidRPr="00014828">
        <w:rPr>
          <w:rFonts w:ascii="Calibri" w:hAnsi="Calibri" w:cs="Calibri"/>
          <w:b/>
          <w:color w:val="000000" w:themeColor="text1"/>
          <w:sz w:val="28"/>
          <w:szCs w:val="28"/>
          <w:u w:val="single"/>
        </w:rPr>
        <w:t>EFFECTIVE DATE: Retroactive to January 1, 2017</w:t>
      </w:r>
    </w:p>
    <w:sectPr w:rsidR="00014828" w:rsidRPr="00014828" w:rsidSect="006456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2202"/>
    <w:multiLevelType w:val="hybridMultilevel"/>
    <w:tmpl w:val="9C9A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0324F"/>
    <w:multiLevelType w:val="hybridMultilevel"/>
    <w:tmpl w:val="9CD4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62E13"/>
    <w:multiLevelType w:val="hybridMultilevel"/>
    <w:tmpl w:val="B178E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10551E"/>
    <w:multiLevelType w:val="hybridMultilevel"/>
    <w:tmpl w:val="4020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83E16"/>
    <w:multiLevelType w:val="hybridMultilevel"/>
    <w:tmpl w:val="0F1E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A6735"/>
    <w:multiLevelType w:val="hybridMultilevel"/>
    <w:tmpl w:val="39EA3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7E0EE7"/>
    <w:multiLevelType w:val="hybridMultilevel"/>
    <w:tmpl w:val="B27A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32ED5"/>
    <w:multiLevelType w:val="hybridMultilevel"/>
    <w:tmpl w:val="D03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D4DD4"/>
    <w:multiLevelType w:val="hybridMultilevel"/>
    <w:tmpl w:val="EE56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9455C"/>
    <w:multiLevelType w:val="hybridMultilevel"/>
    <w:tmpl w:val="32CA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15A24"/>
    <w:multiLevelType w:val="hybridMultilevel"/>
    <w:tmpl w:val="9D24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959E1"/>
    <w:multiLevelType w:val="hybridMultilevel"/>
    <w:tmpl w:val="B19A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128FD"/>
    <w:multiLevelType w:val="hybridMultilevel"/>
    <w:tmpl w:val="47A4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3014C"/>
    <w:multiLevelType w:val="hybridMultilevel"/>
    <w:tmpl w:val="E68E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31B26"/>
    <w:multiLevelType w:val="hybridMultilevel"/>
    <w:tmpl w:val="6B06388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2FDF359F"/>
    <w:multiLevelType w:val="hybridMultilevel"/>
    <w:tmpl w:val="82EE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07627"/>
    <w:multiLevelType w:val="hybridMultilevel"/>
    <w:tmpl w:val="F21A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40A77"/>
    <w:multiLevelType w:val="hybridMultilevel"/>
    <w:tmpl w:val="384E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C5472"/>
    <w:multiLevelType w:val="hybridMultilevel"/>
    <w:tmpl w:val="17C2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93DD6"/>
    <w:multiLevelType w:val="hybridMultilevel"/>
    <w:tmpl w:val="EF1E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524D9"/>
    <w:multiLevelType w:val="hybridMultilevel"/>
    <w:tmpl w:val="C3FA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734C8"/>
    <w:multiLevelType w:val="hybridMultilevel"/>
    <w:tmpl w:val="2764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027C8"/>
    <w:multiLevelType w:val="hybridMultilevel"/>
    <w:tmpl w:val="B43E6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84288E"/>
    <w:multiLevelType w:val="hybridMultilevel"/>
    <w:tmpl w:val="21E84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27A81"/>
    <w:multiLevelType w:val="hybridMultilevel"/>
    <w:tmpl w:val="09C8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45907"/>
    <w:multiLevelType w:val="hybridMultilevel"/>
    <w:tmpl w:val="3FB6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B5953"/>
    <w:multiLevelType w:val="hybridMultilevel"/>
    <w:tmpl w:val="0CF4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41CC8"/>
    <w:multiLevelType w:val="hybridMultilevel"/>
    <w:tmpl w:val="C9147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497F1B"/>
    <w:multiLevelType w:val="hybridMultilevel"/>
    <w:tmpl w:val="0798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A6A05"/>
    <w:multiLevelType w:val="hybridMultilevel"/>
    <w:tmpl w:val="16C00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693E18"/>
    <w:multiLevelType w:val="hybridMultilevel"/>
    <w:tmpl w:val="1976465C"/>
    <w:lvl w:ilvl="0" w:tplc="8B829596">
      <w:start w:val="10"/>
      <w:numFmt w:val="bullet"/>
      <w:lvlText w:val=""/>
      <w:lvlJc w:val="left"/>
      <w:pPr>
        <w:ind w:left="1080" w:hanging="360"/>
      </w:pPr>
      <w:rPr>
        <w:rFonts w:ascii="Symbol" w:eastAsia="Calibri" w:hAnsi="Symbol" w:cs="Calibri" w:hint="default"/>
        <w:color w:val="1F497D"/>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86E7928"/>
    <w:multiLevelType w:val="hybridMultilevel"/>
    <w:tmpl w:val="887E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F3EAE"/>
    <w:multiLevelType w:val="hybridMultilevel"/>
    <w:tmpl w:val="B6A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C1BA4"/>
    <w:multiLevelType w:val="hybridMultilevel"/>
    <w:tmpl w:val="0554E1CC"/>
    <w:lvl w:ilvl="0" w:tplc="E3DACF30">
      <w:start w:val="2013"/>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27"/>
  </w:num>
  <w:num w:numId="4">
    <w:abstractNumId w:val="10"/>
  </w:num>
  <w:num w:numId="5">
    <w:abstractNumId w:val="5"/>
  </w:num>
  <w:num w:numId="6">
    <w:abstractNumId w:val="20"/>
  </w:num>
  <w:num w:numId="7">
    <w:abstractNumId w:val="29"/>
  </w:num>
  <w:num w:numId="8">
    <w:abstractNumId w:val="6"/>
  </w:num>
  <w:num w:numId="9">
    <w:abstractNumId w:val="2"/>
  </w:num>
  <w:num w:numId="10">
    <w:abstractNumId w:val="25"/>
  </w:num>
  <w:num w:numId="11">
    <w:abstractNumId w:val="18"/>
  </w:num>
  <w:num w:numId="12">
    <w:abstractNumId w:val="12"/>
  </w:num>
  <w:num w:numId="13">
    <w:abstractNumId w:val="23"/>
  </w:num>
  <w:num w:numId="14">
    <w:abstractNumId w:val="15"/>
  </w:num>
  <w:num w:numId="15">
    <w:abstractNumId w:val="16"/>
  </w:num>
  <w:num w:numId="16">
    <w:abstractNumId w:val="14"/>
  </w:num>
  <w:num w:numId="17">
    <w:abstractNumId w:val="1"/>
  </w:num>
  <w:num w:numId="18">
    <w:abstractNumId w:val="4"/>
  </w:num>
  <w:num w:numId="19">
    <w:abstractNumId w:val="17"/>
  </w:num>
  <w:num w:numId="20">
    <w:abstractNumId w:val="7"/>
  </w:num>
  <w:num w:numId="21">
    <w:abstractNumId w:val="19"/>
  </w:num>
  <w:num w:numId="22">
    <w:abstractNumId w:val="8"/>
  </w:num>
  <w:num w:numId="23">
    <w:abstractNumId w:val="32"/>
  </w:num>
  <w:num w:numId="24">
    <w:abstractNumId w:val="3"/>
  </w:num>
  <w:num w:numId="25">
    <w:abstractNumId w:val="11"/>
  </w:num>
  <w:num w:numId="26">
    <w:abstractNumId w:val="31"/>
  </w:num>
  <w:num w:numId="27">
    <w:abstractNumId w:val="24"/>
  </w:num>
  <w:num w:numId="28">
    <w:abstractNumId w:val="13"/>
  </w:num>
  <w:num w:numId="29">
    <w:abstractNumId w:val="0"/>
  </w:num>
  <w:num w:numId="30">
    <w:abstractNumId w:val="26"/>
  </w:num>
  <w:num w:numId="31">
    <w:abstractNumId w:val="9"/>
  </w:num>
  <w:num w:numId="32">
    <w:abstractNumId w:val="22"/>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DD"/>
    <w:rsid w:val="00014828"/>
    <w:rsid w:val="00015619"/>
    <w:rsid w:val="000167A7"/>
    <w:rsid w:val="00017C05"/>
    <w:rsid w:val="00034BDA"/>
    <w:rsid w:val="00050B2C"/>
    <w:rsid w:val="00056BEE"/>
    <w:rsid w:val="00060207"/>
    <w:rsid w:val="00063C1B"/>
    <w:rsid w:val="00064860"/>
    <w:rsid w:val="000730E7"/>
    <w:rsid w:val="00076C52"/>
    <w:rsid w:val="00077342"/>
    <w:rsid w:val="000878DD"/>
    <w:rsid w:val="0009032A"/>
    <w:rsid w:val="000918F5"/>
    <w:rsid w:val="000968F3"/>
    <w:rsid w:val="000A7132"/>
    <w:rsid w:val="000B110C"/>
    <w:rsid w:val="000B4DB7"/>
    <w:rsid w:val="000B795B"/>
    <w:rsid w:val="000B79B2"/>
    <w:rsid w:val="000B7FD0"/>
    <w:rsid w:val="000D67E0"/>
    <w:rsid w:val="000D7DF9"/>
    <w:rsid w:val="000D7EAB"/>
    <w:rsid w:val="000D7ED9"/>
    <w:rsid w:val="000E0AAF"/>
    <w:rsid w:val="000E5A89"/>
    <w:rsid w:val="000E6FC4"/>
    <w:rsid w:val="00101769"/>
    <w:rsid w:val="00106AC1"/>
    <w:rsid w:val="00110262"/>
    <w:rsid w:val="00114E48"/>
    <w:rsid w:val="00117A50"/>
    <w:rsid w:val="00121F45"/>
    <w:rsid w:val="00125CDC"/>
    <w:rsid w:val="0014234A"/>
    <w:rsid w:val="001473C9"/>
    <w:rsid w:val="0015672B"/>
    <w:rsid w:val="00176024"/>
    <w:rsid w:val="00181F7B"/>
    <w:rsid w:val="00182EFC"/>
    <w:rsid w:val="001B04F8"/>
    <w:rsid w:val="001B0E55"/>
    <w:rsid w:val="001C2489"/>
    <w:rsid w:val="001D4E36"/>
    <w:rsid w:val="001E6716"/>
    <w:rsid w:val="001E6D26"/>
    <w:rsid w:val="001E75DA"/>
    <w:rsid w:val="00200002"/>
    <w:rsid w:val="002116B6"/>
    <w:rsid w:val="002124D3"/>
    <w:rsid w:val="00215E60"/>
    <w:rsid w:val="0022289B"/>
    <w:rsid w:val="002308B9"/>
    <w:rsid w:val="0023568E"/>
    <w:rsid w:val="00236FB5"/>
    <w:rsid w:val="002578D7"/>
    <w:rsid w:val="00273456"/>
    <w:rsid w:val="00282D85"/>
    <w:rsid w:val="002975C3"/>
    <w:rsid w:val="002A28B6"/>
    <w:rsid w:val="002A5F30"/>
    <w:rsid w:val="002B4DA9"/>
    <w:rsid w:val="002B51A3"/>
    <w:rsid w:val="002C11B5"/>
    <w:rsid w:val="002C5C6C"/>
    <w:rsid w:val="002E362F"/>
    <w:rsid w:val="002F4141"/>
    <w:rsid w:val="00305711"/>
    <w:rsid w:val="00306EFF"/>
    <w:rsid w:val="003076ED"/>
    <w:rsid w:val="00317A5B"/>
    <w:rsid w:val="00320A90"/>
    <w:rsid w:val="00324B94"/>
    <w:rsid w:val="00325D5D"/>
    <w:rsid w:val="00333F1C"/>
    <w:rsid w:val="00344A9D"/>
    <w:rsid w:val="00352B65"/>
    <w:rsid w:val="00355E04"/>
    <w:rsid w:val="003600BF"/>
    <w:rsid w:val="003600E6"/>
    <w:rsid w:val="0036030D"/>
    <w:rsid w:val="00363AD0"/>
    <w:rsid w:val="003667B9"/>
    <w:rsid w:val="0037596A"/>
    <w:rsid w:val="0037759B"/>
    <w:rsid w:val="00380169"/>
    <w:rsid w:val="00381B16"/>
    <w:rsid w:val="0038318D"/>
    <w:rsid w:val="00386725"/>
    <w:rsid w:val="00397B78"/>
    <w:rsid w:val="003A158D"/>
    <w:rsid w:val="003B0ACE"/>
    <w:rsid w:val="003B48E1"/>
    <w:rsid w:val="003C313E"/>
    <w:rsid w:val="003C7126"/>
    <w:rsid w:val="003D1266"/>
    <w:rsid w:val="003D251D"/>
    <w:rsid w:val="003D3576"/>
    <w:rsid w:val="003F2134"/>
    <w:rsid w:val="0042129C"/>
    <w:rsid w:val="004226E3"/>
    <w:rsid w:val="00440599"/>
    <w:rsid w:val="004437EF"/>
    <w:rsid w:val="00457949"/>
    <w:rsid w:val="00461469"/>
    <w:rsid w:val="00464536"/>
    <w:rsid w:val="004734F9"/>
    <w:rsid w:val="00474E63"/>
    <w:rsid w:val="00482F8F"/>
    <w:rsid w:val="004844D8"/>
    <w:rsid w:val="0048694F"/>
    <w:rsid w:val="00490AB3"/>
    <w:rsid w:val="004942E7"/>
    <w:rsid w:val="004A7517"/>
    <w:rsid w:val="004D2120"/>
    <w:rsid w:val="004D227F"/>
    <w:rsid w:val="004D4DBF"/>
    <w:rsid w:val="004E1997"/>
    <w:rsid w:val="004E58D6"/>
    <w:rsid w:val="004F2DB0"/>
    <w:rsid w:val="00501849"/>
    <w:rsid w:val="0050288A"/>
    <w:rsid w:val="00522938"/>
    <w:rsid w:val="0052578F"/>
    <w:rsid w:val="00526A48"/>
    <w:rsid w:val="00526D1A"/>
    <w:rsid w:val="00532481"/>
    <w:rsid w:val="005330C9"/>
    <w:rsid w:val="00533205"/>
    <w:rsid w:val="00535A38"/>
    <w:rsid w:val="00541C4B"/>
    <w:rsid w:val="00566B42"/>
    <w:rsid w:val="00571A19"/>
    <w:rsid w:val="0057648B"/>
    <w:rsid w:val="00584483"/>
    <w:rsid w:val="00592093"/>
    <w:rsid w:val="005B1A50"/>
    <w:rsid w:val="005B7104"/>
    <w:rsid w:val="005D5D12"/>
    <w:rsid w:val="005D69ED"/>
    <w:rsid w:val="006160ED"/>
    <w:rsid w:val="0061785D"/>
    <w:rsid w:val="006435CA"/>
    <w:rsid w:val="006456B2"/>
    <w:rsid w:val="00646D81"/>
    <w:rsid w:val="00654EC8"/>
    <w:rsid w:val="006554F9"/>
    <w:rsid w:val="00655B26"/>
    <w:rsid w:val="00662028"/>
    <w:rsid w:val="00670AA5"/>
    <w:rsid w:val="00675F69"/>
    <w:rsid w:val="00686776"/>
    <w:rsid w:val="006A67D2"/>
    <w:rsid w:val="006A6A69"/>
    <w:rsid w:val="006C2B75"/>
    <w:rsid w:val="006E45AD"/>
    <w:rsid w:val="006F13D2"/>
    <w:rsid w:val="006F38BE"/>
    <w:rsid w:val="007032C5"/>
    <w:rsid w:val="0070760E"/>
    <w:rsid w:val="00713A24"/>
    <w:rsid w:val="00713D93"/>
    <w:rsid w:val="0072049F"/>
    <w:rsid w:val="00741834"/>
    <w:rsid w:val="00751185"/>
    <w:rsid w:val="00752DC3"/>
    <w:rsid w:val="0075579C"/>
    <w:rsid w:val="00767F50"/>
    <w:rsid w:val="00771E27"/>
    <w:rsid w:val="00784FED"/>
    <w:rsid w:val="00793BFC"/>
    <w:rsid w:val="007A2A0F"/>
    <w:rsid w:val="007A2B5C"/>
    <w:rsid w:val="007B1663"/>
    <w:rsid w:val="007B2CD2"/>
    <w:rsid w:val="007B4E2A"/>
    <w:rsid w:val="007C11C4"/>
    <w:rsid w:val="007C42A0"/>
    <w:rsid w:val="007D1DAE"/>
    <w:rsid w:val="007D4DBE"/>
    <w:rsid w:val="007E3507"/>
    <w:rsid w:val="007F287D"/>
    <w:rsid w:val="00805E4A"/>
    <w:rsid w:val="0080670C"/>
    <w:rsid w:val="00807A75"/>
    <w:rsid w:val="008149A1"/>
    <w:rsid w:val="00822871"/>
    <w:rsid w:val="00833D3F"/>
    <w:rsid w:val="00846723"/>
    <w:rsid w:val="008852B3"/>
    <w:rsid w:val="00887B3C"/>
    <w:rsid w:val="00893D0A"/>
    <w:rsid w:val="008B7D6E"/>
    <w:rsid w:val="008C79A8"/>
    <w:rsid w:val="008D1771"/>
    <w:rsid w:val="008D17F0"/>
    <w:rsid w:val="008D4767"/>
    <w:rsid w:val="008D6011"/>
    <w:rsid w:val="008E040B"/>
    <w:rsid w:val="008E737D"/>
    <w:rsid w:val="008F244A"/>
    <w:rsid w:val="00900574"/>
    <w:rsid w:val="00903A13"/>
    <w:rsid w:val="009109F3"/>
    <w:rsid w:val="009176ED"/>
    <w:rsid w:val="00931E46"/>
    <w:rsid w:val="00931F3E"/>
    <w:rsid w:val="0093658F"/>
    <w:rsid w:val="00950735"/>
    <w:rsid w:val="00950A82"/>
    <w:rsid w:val="00965D24"/>
    <w:rsid w:val="00966468"/>
    <w:rsid w:val="00971D01"/>
    <w:rsid w:val="0098244E"/>
    <w:rsid w:val="0098393E"/>
    <w:rsid w:val="00992843"/>
    <w:rsid w:val="00992D86"/>
    <w:rsid w:val="0099557B"/>
    <w:rsid w:val="009A0B87"/>
    <w:rsid w:val="009B64B4"/>
    <w:rsid w:val="009C5B12"/>
    <w:rsid w:val="009D3026"/>
    <w:rsid w:val="009E1668"/>
    <w:rsid w:val="009E29CA"/>
    <w:rsid w:val="009E30BB"/>
    <w:rsid w:val="009F02C6"/>
    <w:rsid w:val="009F0756"/>
    <w:rsid w:val="009F0EDE"/>
    <w:rsid w:val="009F7B61"/>
    <w:rsid w:val="00A16BE0"/>
    <w:rsid w:val="00A23F65"/>
    <w:rsid w:val="00A30F40"/>
    <w:rsid w:val="00A44EAB"/>
    <w:rsid w:val="00A53A45"/>
    <w:rsid w:val="00A55CE3"/>
    <w:rsid w:val="00A57FFE"/>
    <w:rsid w:val="00A70474"/>
    <w:rsid w:val="00A709F6"/>
    <w:rsid w:val="00A722BB"/>
    <w:rsid w:val="00A81D70"/>
    <w:rsid w:val="00AA4627"/>
    <w:rsid w:val="00AA54DD"/>
    <w:rsid w:val="00AA5F58"/>
    <w:rsid w:val="00AB4CD7"/>
    <w:rsid w:val="00AB60F0"/>
    <w:rsid w:val="00AD7B23"/>
    <w:rsid w:val="00AE07B1"/>
    <w:rsid w:val="00AF0173"/>
    <w:rsid w:val="00B02230"/>
    <w:rsid w:val="00B03BA4"/>
    <w:rsid w:val="00B0641E"/>
    <w:rsid w:val="00B06848"/>
    <w:rsid w:val="00B0787D"/>
    <w:rsid w:val="00B16173"/>
    <w:rsid w:val="00B23833"/>
    <w:rsid w:val="00B23A91"/>
    <w:rsid w:val="00B26463"/>
    <w:rsid w:val="00B31A69"/>
    <w:rsid w:val="00B34F77"/>
    <w:rsid w:val="00B37C13"/>
    <w:rsid w:val="00B416AF"/>
    <w:rsid w:val="00B43FDA"/>
    <w:rsid w:val="00B45E89"/>
    <w:rsid w:val="00B5345C"/>
    <w:rsid w:val="00B73F18"/>
    <w:rsid w:val="00B7536B"/>
    <w:rsid w:val="00B901AB"/>
    <w:rsid w:val="00BA41C1"/>
    <w:rsid w:val="00BA4DA8"/>
    <w:rsid w:val="00BC194B"/>
    <w:rsid w:val="00BC7955"/>
    <w:rsid w:val="00BD18A8"/>
    <w:rsid w:val="00BE1D94"/>
    <w:rsid w:val="00BE7DE9"/>
    <w:rsid w:val="00BF54FA"/>
    <w:rsid w:val="00C0287E"/>
    <w:rsid w:val="00C03233"/>
    <w:rsid w:val="00C10F1B"/>
    <w:rsid w:val="00C12039"/>
    <w:rsid w:val="00C124CA"/>
    <w:rsid w:val="00C22247"/>
    <w:rsid w:val="00C2440A"/>
    <w:rsid w:val="00C27F3A"/>
    <w:rsid w:val="00C33002"/>
    <w:rsid w:val="00C4354D"/>
    <w:rsid w:val="00C44D0C"/>
    <w:rsid w:val="00C56B83"/>
    <w:rsid w:val="00C6098A"/>
    <w:rsid w:val="00C70A0F"/>
    <w:rsid w:val="00C7618A"/>
    <w:rsid w:val="00C76DB6"/>
    <w:rsid w:val="00C84E05"/>
    <w:rsid w:val="00C95486"/>
    <w:rsid w:val="00CB0E06"/>
    <w:rsid w:val="00CB5E0A"/>
    <w:rsid w:val="00CC076D"/>
    <w:rsid w:val="00CC2D82"/>
    <w:rsid w:val="00CC4488"/>
    <w:rsid w:val="00CC52E4"/>
    <w:rsid w:val="00CC64FB"/>
    <w:rsid w:val="00CD0A93"/>
    <w:rsid w:val="00CD48E8"/>
    <w:rsid w:val="00D16DD0"/>
    <w:rsid w:val="00D23444"/>
    <w:rsid w:val="00D23812"/>
    <w:rsid w:val="00D42A27"/>
    <w:rsid w:val="00D45ADD"/>
    <w:rsid w:val="00D50548"/>
    <w:rsid w:val="00D60D12"/>
    <w:rsid w:val="00D63E0B"/>
    <w:rsid w:val="00D81020"/>
    <w:rsid w:val="00D834FC"/>
    <w:rsid w:val="00D94E42"/>
    <w:rsid w:val="00DB0F5E"/>
    <w:rsid w:val="00DB6EB7"/>
    <w:rsid w:val="00DC0A7D"/>
    <w:rsid w:val="00DD0CE2"/>
    <w:rsid w:val="00DD2611"/>
    <w:rsid w:val="00DD2929"/>
    <w:rsid w:val="00DD45A8"/>
    <w:rsid w:val="00DD7886"/>
    <w:rsid w:val="00DE144E"/>
    <w:rsid w:val="00DE2680"/>
    <w:rsid w:val="00DE2D42"/>
    <w:rsid w:val="00DE5355"/>
    <w:rsid w:val="00DF4926"/>
    <w:rsid w:val="00E02090"/>
    <w:rsid w:val="00E145E8"/>
    <w:rsid w:val="00E272EE"/>
    <w:rsid w:val="00E273FE"/>
    <w:rsid w:val="00E3533D"/>
    <w:rsid w:val="00E379D5"/>
    <w:rsid w:val="00E41AEC"/>
    <w:rsid w:val="00E47031"/>
    <w:rsid w:val="00E503A2"/>
    <w:rsid w:val="00E60169"/>
    <w:rsid w:val="00E63903"/>
    <w:rsid w:val="00E6407B"/>
    <w:rsid w:val="00E65D9B"/>
    <w:rsid w:val="00E73A72"/>
    <w:rsid w:val="00E758C2"/>
    <w:rsid w:val="00E83208"/>
    <w:rsid w:val="00E92D2A"/>
    <w:rsid w:val="00E95D37"/>
    <w:rsid w:val="00EA3F69"/>
    <w:rsid w:val="00EA5EE0"/>
    <w:rsid w:val="00EA71C1"/>
    <w:rsid w:val="00EB2D9D"/>
    <w:rsid w:val="00EB6F2C"/>
    <w:rsid w:val="00EC179D"/>
    <w:rsid w:val="00EC435B"/>
    <w:rsid w:val="00EC68CA"/>
    <w:rsid w:val="00ED1F43"/>
    <w:rsid w:val="00ED447C"/>
    <w:rsid w:val="00ED593B"/>
    <w:rsid w:val="00ED796D"/>
    <w:rsid w:val="00EE35B8"/>
    <w:rsid w:val="00EE584B"/>
    <w:rsid w:val="00EF1473"/>
    <w:rsid w:val="00F10E98"/>
    <w:rsid w:val="00F17AE0"/>
    <w:rsid w:val="00F272B2"/>
    <w:rsid w:val="00F32CF2"/>
    <w:rsid w:val="00F333F8"/>
    <w:rsid w:val="00F41FA4"/>
    <w:rsid w:val="00F5042A"/>
    <w:rsid w:val="00F62782"/>
    <w:rsid w:val="00F63F8A"/>
    <w:rsid w:val="00F820FB"/>
    <w:rsid w:val="00F82348"/>
    <w:rsid w:val="00F868AF"/>
    <w:rsid w:val="00FA1FB0"/>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A30F2-B827-4269-9574-C3559370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8DD"/>
    <w:rPr>
      <w:rFonts w:ascii="Tahoma" w:hAnsi="Tahoma" w:cs="Tahoma"/>
      <w:sz w:val="16"/>
      <w:szCs w:val="16"/>
    </w:rPr>
  </w:style>
  <w:style w:type="table" w:styleId="TableGrid">
    <w:name w:val="Table Grid"/>
    <w:basedOn w:val="TableNormal"/>
    <w:uiPriority w:val="59"/>
    <w:rsid w:val="00087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Georgia Health Sciences University</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h0td098</dc:creator>
  <cp:lastModifiedBy>Kornegay, Denise D.</cp:lastModifiedBy>
  <cp:revision>8</cp:revision>
  <cp:lastPrinted>2016-12-12T17:30:00Z</cp:lastPrinted>
  <dcterms:created xsi:type="dcterms:W3CDTF">2016-12-12T17:30:00Z</dcterms:created>
  <dcterms:modified xsi:type="dcterms:W3CDTF">2016-12-12T20:40:00Z</dcterms:modified>
</cp:coreProperties>
</file>