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8550"/>
      </w:tblGrid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 Date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4/30/2016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 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Nurse Practitioner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Working Title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 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Nurse Practitioner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Standard Hours per Week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Work Schedule Summary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Full time (approximately 40 hours/week), Monday through Friday, with shared evening and weekend on-call responsibilities.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Mental Health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Pay Rate Range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080864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Salary range is </w:t>
            </w:r>
            <w:r w:rsid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commensurate with experience.  For beginning NPs, training will provided both didactically as well as experientially while under direct supervision.  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Strong benefit package including generous leave accrual</w:t>
            </w:r>
            <w:r w:rsidR="00054302"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ret</w:t>
            </w:r>
            <w:r w:rsidR="00054302">
              <w:rPr>
                <w:rFonts w:ascii="Times New Roman" w:eastAsia="Times New Roman" w:hAnsi="Times New Roman" w:cs="Times New Roman"/>
                <w:sz w:val="24"/>
                <w:szCs w:val="24"/>
              </w:rPr>
              <w:t>irement and health plan options, CME allowance, and licensure renewal reimbursement.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Close Date</w:t>
            </w: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NOTE: May close at </w:t>
            </w:r>
            <w:proofErr w:type="spellStart"/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anytime</w:t>
            </w:r>
            <w:proofErr w:type="spellEnd"/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 Until Filled</w:t>
            </w: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NOTE: May close at </w:t>
            </w:r>
            <w:proofErr w:type="spellStart"/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anytime</w:t>
            </w:r>
            <w:proofErr w:type="spellEnd"/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Job Summary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Explore this exciting opportunity to join the growing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Wasatch Pediatrics Mental Health Program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5B66" w:rsidRPr="00F75B66" w:rsidRDefault="00F75B66" w:rsidP="00F75B66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a valued member of a dynamic team, the Nurse Practitioner (NP) is on the front-line of patient care. The NP chosen for this fulltime, benefited position will work with a high level of autonomy as part of a dynamic team of providers. We currently have a team of </w:t>
            </w:r>
            <w:r w:rsidR="00BD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pediatricians,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 psychologist/psychiatric physician assistant, expert nurse practitioners, and mental health therapists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 focus on a comprehensive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evidence-based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approach to care that addresses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behavioral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emotional,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mental needs of the patient. The NP chosen for this position will </w:t>
            </w:r>
            <w:r w:rsidR="00BD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practice in an 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outpatient setting and address complex needs of this patient population.</w:t>
            </w:r>
          </w:p>
          <w:p w:rsidR="00F75B66" w:rsidRPr="00F75B66" w:rsidRDefault="00F75B66" w:rsidP="00F75B66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are looking for a motivated, patient-focused individual seeking to practice with a high level of autonomy, and who has a strong interest in </w:t>
            </w:r>
            <w:r w:rsidR="00BD2C24">
              <w:rPr>
                <w:rFonts w:ascii="Times New Roman" w:eastAsia="Times New Roman" w:hAnsi="Times New Roman" w:cs="Times New Roman"/>
                <w:sz w:val="24"/>
                <w:szCs w:val="24"/>
              </w:rPr>
              <w:t>child and adolescents with psychiatric conditions.  Experi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ence in caring for </w:t>
            </w:r>
            <w:r w:rsidR="00BD2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pediatric 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patients is a plus.</w:t>
            </w:r>
          </w:p>
          <w:p w:rsidR="00F75B66" w:rsidRPr="00F75B66" w:rsidRDefault="00BD2C24" w:rsidP="00BD2C24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Wasatch Pediatrics Mental Health Program is a fully integrative practice within pediatric clinics spread out across the Wasatch Front Mountains.  Wasatch Pediatrics is dedicated to improving child and adolescent’s access to evidence-based mental health care.  We all share a commitment to the values of compassion, integrity, quality, excellence, and trust as part of our mission.  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Responsibilities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80864" w:rsidRDefault="00080864" w:rsidP="00080864">
            <w:pPr>
              <w:pStyle w:val="ListParagraph"/>
              <w:numPr>
                <w:ilvl w:val="0"/>
                <w:numId w:val="6"/>
              </w:num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Assessing patients by carefully interviewing the patients</w:t>
            </w:r>
            <w:r w:rsidR="008F0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their families. Psychiatric interviews are informal conversations that invite patients to describe what is troubling them, their symptoms, their family history, allergies, medications, etc., so that a diagnosis can be made. </w:t>
            </w:r>
          </w:p>
          <w:p w:rsidR="008F071F" w:rsidRDefault="008F071F" w:rsidP="00080864">
            <w:pPr>
              <w:pStyle w:val="ListParagraph"/>
              <w:numPr>
                <w:ilvl w:val="0"/>
                <w:numId w:val="6"/>
              </w:num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psychological measures to help determine diagnosis.</w:t>
            </w:r>
          </w:p>
          <w:p w:rsidR="00080864" w:rsidRPr="00080864" w:rsidRDefault="00080864" w:rsidP="00080864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Assigning a psychiatric diagnosis from the Diagnostic and Statistical Manual of Mental Disorders (DSM V) and the International Classification of Diseases (ICD 10).</w:t>
            </w:r>
          </w:p>
          <w:p w:rsidR="00080864" w:rsidRDefault="00080864" w:rsidP="00080864">
            <w:pPr>
              <w:pStyle w:val="ListParagraph"/>
              <w:numPr>
                <w:ilvl w:val="0"/>
                <w:numId w:val="6"/>
              </w:num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Ordering labs or consultations with other providers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864" w:rsidRPr="00080864" w:rsidRDefault="00080864" w:rsidP="00080864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Prescribing psychiatric medications and monitoring its effects and side effects of the prescribed drugs.</w:t>
            </w:r>
          </w:p>
          <w:p w:rsidR="00080864" w:rsidRPr="00080864" w:rsidRDefault="00080864" w:rsidP="00080864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Provide brief counseling using evidence-based treatments (e.g., parent training, CBT) and refer for more in-depth psychotherapy when appropriate</w:t>
            </w:r>
          </w:p>
          <w:p w:rsidR="00080864" w:rsidRPr="00080864" w:rsidRDefault="00080864" w:rsidP="00080864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Helping to determine what kind of non-medication help they need (psychotherapy, hospitalization, etc.)</w:t>
            </w:r>
          </w:p>
          <w:p w:rsidR="00080864" w:rsidRPr="00080864" w:rsidRDefault="00080864" w:rsidP="00080864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Following up with patients to see how they respond, and adjusting their medications</w:t>
            </w:r>
          </w:p>
          <w:p w:rsidR="00080864" w:rsidRDefault="00F75B66" w:rsidP="00080864">
            <w:pPr>
              <w:pStyle w:val="ListParagraph"/>
              <w:numPr>
                <w:ilvl w:val="0"/>
                <w:numId w:val="6"/>
              </w:num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Communicating and coordinating with an Interdisciplinary Team</w:t>
            </w:r>
            <w:r w:rsid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including pediatricians, psychologists, and therapists</w:t>
            </w:r>
          </w:p>
          <w:p w:rsidR="00080864" w:rsidRDefault="00F75B66" w:rsidP="00080864">
            <w:pPr>
              <w:pStyle w:val="ListParagraph"/>
              <w:numPr>
                <w:ilvl w:val="0"/>
                <w:numId w:val="6"/>
              </w:num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Managing a wide variety of patient issues including mood </w:t>
            </w:r>
            <w:r w:rsid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anxiety </w:t>
            </w: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disorders, </w:t>
            </w:r>
            <w:r w:rsid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ADHD, oppositional defiance, autism spectrum disorder, and other psychiatric conditions.</w:t>
            </w:r>
          </w:p>
          <w:p w:rsidR="008F071F" w:rsidRDefault="00F75B66" w:rsidP="00080864">
            <w:pPr>
              <w:pStyle w:val="ListParagraph"/>
              <w:numPr>
                <w:ilvl w:val="0"/>
                <w:numId w:val="6"/>
              </w:num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Efficiently navigating electronic charting</w:t>
            </w:r>
            <w:r w:rsid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5B66" w:rsidRPr="00080864" w:rsidRDefault="00F75B66" w:rsidP="00080864">
            <w:pPr>
              <w:pStyle w:val="ListParagraph"/>
              <w:numPr>
                <w:ilvl w:val="0"/>
                <w:numId w:val="6"/>
              </w:num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64">
              <w:rPr>
                <w:rFonts w:ascii="Times New Roman" w:eastAsia="Times New Roman" w:hAnsi="Times New Roman" w:cs="Times New Roman"/>
                <w:sz w:val="24"/>
                <w:szCs w:val="24"/>
              </w:rPr>
              <w:t>Shared evening and weekend on-call responsibilities.</w:t>
            </w:r>
          </w:p>
          <w:p w:rsidR="00F75B66" w:rsidRPr="00F75B66" w:rsidRDefault="00F75B66" w:rsidP="00F75B66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This job description is not designed to contain or be interpreted as a comprehensive inventory of all duties, responsibilities and qualifications required of employees assigned to the job.</w:t>
            </w:r>
          </w:p>
          <w:p w:rsidR="00080864" w:rsidRPr="00F75B66" w:rsidRDefault="00F75B66" w:rsidP="008F071F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Applicants must demonstrate the potential ability to perform the essential functions of the job as outlined in the position description.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Minimum Qualifications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Licensure to practice as a Nurse Practitioner in the State of Utah. Nationally certified as a Nurse Practitioner as required under State Law. Demonstrated clinical competence and in-depth knowledge of specialty area; and demonstrated leadership, teaching, research and communication skills are required.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Licensure is obtained by completing a Master’s degree in Nursing or equivalency (the only equivalency to the Master’s degree is current licensure as a Nurse Practitioner) and a National Certification which requires the successful completion of a nationally accredited examination. Applicants must demonstrate the potential ability to perform the essential functions of the job as outlined in the position description.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Preferences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A225A0">
            <w:pPr>
              <w:spacing w:after="15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ideal candidate is motivated, self-directed, compassionate, enthusiastic and committed to evidence-based practice and lifelong learning. All applicants will be considered. Psychiatric/Mental Health prepared NP’s, and/or NP’s with experience in </w:t>
            </w:r>
            <w:r w:rsidR="00A225A0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desired.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75B66" w:rsidRPr="00F75B66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sz w:val="24"/>
                <w:szCs w:val="24"/>
              </w:rPr>
              <w:t>Benefited Staff</w:t>
            </w:r>
          </w:p>
        </w:tc>
      </w:tr>
      <w:tr w:rsidR="00F75B66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5B66" w:rsidRPr="00F75B66" w:rsidRDefault="00F75B66" w:rsidP="00BD2C2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Special </w:t>
            </w:r>
            <w:r w:rsidR="00BD2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C24" w:rsidRPr="00BD2C24" w:rsidRDefault="00BD2C24" w:rsidP="00BD2C2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Please answer in your cover letter/resume the following:</w:t>
            </w:r>
          </w:p>
          <w:p w:rsidR="00BD2C24" w:rsidRPr="00BD2C24" w:rsidRDefault="00BD2C24" w:rsidP="00BD2C2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D2C24" w:rsidRPr="00BD2C24" w:rsidRDefault="00BD2C24" w:rsidP="00BD2C2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 Do you have current licensure to practice as a Nurse Practitioner in the State of Utah, and national certification as a Nurse Practitioner as required by state law?</w:t>
            </w:r>
          </w:p>
          <w:p w:rsidR="00BD2C24" w:rsidRPr="00BD2C24" w:rsidRDefault="00BD2C24" w:rsidP="00BD2C24">
            <w:pPr>
              <w:numPr>
                <w:ilvl w:val="2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Yes</w:t>
            </w:r>
          </w:p>
          <w:p w:rsidR="00BD2C24" w:rsidRPr="00BD2C24" w:rsidRDefault="00BD2C24" w:rsidP="00BD2C24">
            <w:pPr>
              <w:numPr>
                <w:ilvl w:val="2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</w:t>
            </w:r>
          </w:p>
          <w:p w:rsidR="00BD2C24" w:rsidRPr="00BD2C24" w:rsidRDefault="00BD2C24" w:rsidP="00BD2C24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* How many months/years of full-time NP/APRN work experience do you have?</w:t>
            </w:r>
          </w:p>
          <w:p w:rsidR="00BD2C24" w:rsidRPr="00BD2C24" w:rsidRDefault="00BD2C24" w:rsidP="00BD2C24">
            <w:pPr>
              <w:numPr>
                <w:ilvl w:val="2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Less than 6 months</w:t>
            </w:r>
          </w:p>
          <w:p w:rsidR="00BD2C24" w:rsidRPr="00BD2C24" w:rsidRDefault="00BD2C24" w:rsidP="00BD2C24">
            <w:pPr>
              <w:numPr>
                <w:ilvl w:val="2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 months or more, but less than 2 years</w:t>
            </w:r>
          </w:p>
          <w:p w:rsidR="00BD2C24" w:rsidRPr="00BD2C24" w:rsidRDefault="00BD2C24" w:rsidP="00BD2C24">
            <w:pPr>
              <w:numPr>
                <w:ilvl w:val="2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years or more, but less than 3 years</w:t>
            </w:r>
          </w:p>
          <w:p w:rsidR="00BD2C24" w:rsidRPr="00BD2C24" w:rsidRDefault="00BD2C24" w:rsidP="00BD2C24">
            <w:pPr>
              <w:numPr>
                <w:ilvl w:val="2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 years or more, but less than 5 years</w:t>
            </w:r>
          </w:p>
          <w:p w:rsidR="00BD2C24" w:rsidRPr="00BD2C24" w:rsidRDefault="00BD2C24" w:rsidP="00BD2C24">
            <w:pPr>
              <w:numPr>
                <w:ilvl w:val="2"/>
                <w:numId w:val="2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 years or more</w:t>
            </w:r>
          </w:p>
          <w:p w:rsidR="00F75B66" w:rsidRPr="00BD2C24" w:rsidRDefault="00F75B66" w:rsidP="00F75B66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2C24" w:rsidRPr="00F75B66" w:rsidTr="00BD2C24">
        <w:tc>
          <w:tcPr>
            <w:tcW w:w="2250" w:type="dxa"/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D2C24" w:rsidRPr="00BD2C24" w:rsidRDefault="00BD2C24" w:rsidP="00BD2C24">
            <w:pPr>
              <w:spacing w:before="30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Applicant Documents</w:t>
            </w:r>
          </w:p>
          <w:p w:rsidR="00BD2C24" w:rsidRPr="00BD2C24" w:rsidRDefault="00BD2C24" w:rsidP="00BD2C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D2C2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Required Documents</w:t>
            </w:r>
          </w:p>
          <w:p w:rsidR="00BD2C24" w:rsidRPr="00F75B66" w:rsidRDefault="00BD2C24" w:rsidP="00BD2C24">
            <w:pPr>
              <w:spacing w:after="0" w:line="26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D2C24" w:rsidRPr="00BD2C24" w:rsidRDefault="00BD2C24" w:rsidP="00BD2C2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 Resume</w:t>
            </w:r>
            <w:r w:rsidR="00A76A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 CV</w:t>
            </w:r>
          </w:p>
          <w:p w:rsidR="00BD2C24" w:rsidRDefault="00BD2C24" w:rsidP="00BD2C2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D2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 Cover Letter</w:t>
            </w:r>
          </w:p>
          <w:p w:rsidR="00A76A29" w:rsidRPr="00BD2C24" w:rsidRDefault="00A76A29" w:rsidP="00BD2C2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If interested, please send above to: nater@wasatchpeds.net</w:t>
            </w:r>
          </w:p>
        </w:tc>
      </w:tr>
    </w:tbl>
    <w:p w:rsidR="00F75B66" w:rsidRPr="00F75B66" w:rsidRDefault="00F75B66" w:rsidP="00BD2C24">
      <w:pPr>
        <w:spacing w:before="100" w:beforeAutospacing="1" w:after="100" w:afterAutospacing="1" w:line="300" w:lineRule="atLeast"/>
        <w:rPr>
          <w:rFonts w:ascii="Open Sans" w:eastAsia="Times New Roman" w:hAnsi="Open Sans" w:cs="Open Sans"/>
          <w:color w:val="333333"/>
          <w:sz w:val="21"/>
          <w:szCs w:val="21"/>
        </w:rPr>
      </w:pPr>
    </w:p>
    <w:sectPr w:rsidR="00F75B66" w:rsidRPr="00F75B66" w:rsidSect="00BD2C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2A35"/>
    <w:multiLevelType w:val="multilevel"/>
    <w:tmpl w:val="E988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C2965"/>
    <w:multiLevelType w:val="multilevel"/>
    <w:tmpl w:val="79F2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943D2"/>
    <w:multiLevelType w:val="multilevel"/>
    <w:tmpl w:val="35A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F5A55"/>
    <w:multiLevelType w:val="hybridMultilevel"/>
    <w:tmpl w:val="DA0A6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1876"/>
    <w:multiLevelType w:val="multilevel"/>
    <w:tmpl w:val="4360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66"/>
    <w:rsid w:val="00054302"/>
    <w:rsid w:val="00080864"/>
    <w:rsid w:val="002600E8"/>
    <w:rsid w:val="0072684F"/>
    <w:rsid w:val="008F071F"/>
    <w:rsid w:val="00A225A0"/>
    <w:rsid w:val="00A76A29"/>
    <w:rsid w:val="00A95621"/>
    <w:rsid w:val="00BD2C24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96F69-C23B-48EE-B62E-44618DD2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5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5B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7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5B66"/>
    <w:rPr>
      <w:b/>
      <w:bCs/>
    </w:rPr>
  </w:style>
  <w:style w:type="character" w:customStyle="1" w:styleId="apple-converted-space">
    <w:name w:val="apple-converted-space"/>
    <w:basedOn w:val="DefaultParagraphFont"/>
    <w:rsid w:val="00F75B66"/>
  </w:style>
  <w:style w:type="character" w:customStyle="1" w:styleId="caps">
    <w:name w:val="caps"/>
    <w:basedOn w:val="DefaultParagraphFont"/>
    <w:rsid w:val="00F75B66"/>
  </w:style>
  <w:style w:type="character" w:styleId="Hyperlink">
    <w:name w:val="Hyperlink"/>
    <w:basedOn w:val="DefaultParagraphFont"/>
    <w:uiPriority w:val="99"/>
    <w:semiHidden/>
    <w:unhideWhenUsed/>
    <w:rsid w:val="00F75B66"/>
    <w:rPr>
      <w:color w:val="0000FF"/>
      <w:u w:val="single"/>
    </w:rPr>
  </w:style>
  <w:style w:type="character" w:customStyle="1" w:styleId="reqd">
    <w:name w:val="reqd"/>
    <w:basedOn w:val="DefaultParagraphFont"/>
    <w:rsid w:val="00F75B66"/>
  </w:style>
  <w:style w:type="paragraph" w:styleId="ListParagraph">
    <w:name w:val="List Paragraph"/>
    <w:basedOn w:val="Normal"/>
    <w:uiPriority w:val="34"/>
    <w:qFormat/>
    <w:rsid w:val="00080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1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3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70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Ridge</dc:creator>
  <cp:keywords/>
  <dc:description/>
  <cp:lastModifiedBy>Sarah Zobell</cp:lastModifiedBy>
  <cp:revision>2</cp:revision>
  <cp:lastPrinted>2016-05-03T16:46:00Z</cp:lastPrinted>
  <dcterms:created xsi:type="dcterms:W3CDTF">2016-08-30T22:53:00Z</dcterms:created>
  <dcterms:modified xsi:type="dcterms:W3CDTF">2016-08-30T22:53:00Z</dcterms:modified>
</cp:coreProperties>
</file>