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909" w:rsidRDefault="00413909" w:rsidP="00413909">
      <w:pPr>
        <w:spacing w:after="240"/>
        <w:outlineLvl w:val="0"/>
        <w:rPr>
          <w:rFonts w:eastAsia="Times New Roman"/>
          <w:color w:val="000000"/>
        </w:rPr>
      </w:pPr>
    </w:p>
    <w:tbl>
      <w:tblPr>
        <w:tblW w:w="7500" w:type="dxa"/>
        <w:jc w:val="center"/>
        <w:tblCellSpacing w:w="0" w:type="dxa"/>
        <w:tblCellMar>
          <w:left w:w="0" w:type="dxa"/>
          <w:right w:w="0" w:type="dxa"/>
        </w:tblCellMar>
        <w:tblLook w:val="04A0" w:firstRow="1" w:lastRow="0" w:firstColumn="1" w:lastColumn="0" w:noHBand="0" w:noVBand="1"/>
      </w:tblPr>
      <w:tblGrid>
        <w:gridCol w:w="9270"/>
      </w:tblGrid>
      <w:tr w:rsidR="00413909" w:rsidTr="00413909">
        <w:trPr>
          <w:trHeight w:val="1500"/>
          <w:tblCellSpacing w:w="0" w:type="dxa"/>
          <w:jc w:val="center"/>
        </w:trPr>
        <w:tc>
          <w:tcPr>
            <w:tcW w:w="0" w:type="auto"/>
            <w:shd w:val="clear" w:color="auto" w:fill="FFFFFF"/>
            <w:hideMark/>
          </w:tcPr>
          <w:p w:rsidR="00413909" w:rsidRDefault="00413909">
            <w:pPr>
              <w:jc w:val="center"/>
              <w:rPr>
                <w:rFonts w:eastAsia="Times New Roman"/>
              </w:rPr>
            </w:pPr>
            <w:bookmarkStart w:id="0" w:name="_GoBack" w:colFirst="0" w:colLast="1"/>
            <w:r>
              <w:rPr>
                <w:rFonts w:eastAsia="Times New Roman"/>
                <w:noProof/>
              </w:rPr>
              <w:drawing>
                <wp:inline distT="0" distB="0" distL="0" distR="0">
                  <wp:extent cx="5881688" cy="904875"/>
                  <wp:effectExtent l="0" t="0" r="5080" b="0"/>
                  <wp:docPr id="3" name="Picture 3" descr="https://na28.salesforce.com/servlet/servlet.ImageServer?id=015C0000001g42T&amp;oid=00D80000000b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sp1" descr="https://na28.salesforce.com/servlet/servlet.ImageServer?id=015C0000001g42T&amp;oid=00D80000000bB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638" cy="912713"/>
                          </a:xfrm>
                          <a:prstGeom prst="rect">
                            <a:avLst/>
                          </a:prstGeom>
                          <a:noFill/>
                          <a:ln>
                            <a:noFill/>
                          </a:ln>
                        </pic:spPr>
                      </pic:pic>
                    </a:graphicData>
                  </a:graphic>
                </wp:inline>
              </w:drawing>
            </w:r>
          </w:p>
        </w:tc>
      </w:tr>
      <w:tr w:rsidR="00413909" w:rsidTr="00413909">
        <w:trPr>
          <w:trHeight w:val="75"/>
          <w:tblCellSpacing w:w="0" w:type="dxa"/>
          <w:jc w:val="center"/>
        </w:trPr>
        <w:tc>
          <w:tcPr>
            <w:tcW w:w="0" w:type="auto"/>
            <w:shd w:val="clear" w:color="auto" w:fill="AAAAFF"/>
            <w:hideMark/>
          </w:tcPr>
          <w:p w:rsidR="00413909" w:rsidRDefault="00413909">
            <w:pPr>
              <w:rPr>
                <w:rFonts w:eastAsia="Times New Roman"/>
              </w:rPr>
            </w:pPr>
          </w:p>
        </w:tc>
      </w:tr>
      <w:tr w:rsidR="00413909" w:rsidTr="00413909">
        <w:trPr>
          <w:trHeight w:val="4500"/>
          <w:tblCellSpacing w:w="0" w:type="dxa"/>
          <w:jc w:val="center"/>
        </w:trPr>
        <w:tc>
          <w:tcPr>
            <w:tcW w:w="0" w:type="auto"/>
            <w:shd w:val="clear" w:color="auto" w:fill="FFFFFF"/>
            <w:hideMark/>
          </w:tcPr>
          <w:tbl>
            <w:tblPr>
              <w:tblW w:w="8250" w:type="dxa"/>
              <w:tblCellSpacing w:w="37" w:type="dxa"/>
              <w:tblCellMar>
                <w:top w:w="75" w:type="dxa"/>
                <w:left w:w="75" w:type="dxa"/>
                <w:bottom w:w="75" w:type="dxa"/>
                <w:right w:w="75" w:type="dxa"/>
              </w:tblCellMar>
              <w:tblLook w:val="04A0" w:firstRow="1" w:lastRow="0" w:firstColumn="1" w:lastColumn="0" w:noHBand="0" w:noVBand="1"/>
            </w:tblPr>
            <w:tblGrid>
              <w:gridCol w:w="8250"/>
            </w:tblGrid>
            <w:tr w:rsidR="00413909">
              <w:trPr>
                <w:trHeight w:val="6000"/>
                <w:tblCellSpacing w:w="37" w:type="dxa"/>
              </w:trPr>
              <w:tc>
                <w:tcPr>
                  <w:tcW w:w="0" w:type="auto"/>
                  <w:shd w:val="clear" w:color="auto" w:fill="FFFFFF"/>
                  <w:hideMark/>
                </w:tcPr>
                <w:p w:rsidR="00413909" w:rsidRDefault="00413909">
                  <w:r>
                    <w:rPr>
                      <w:rStyle w:val="Emphasis"/>
                      <w:rFonts w:ascii="Calibri" w:eastAsia="Times New Roman" w:hAnsi="Calibri" w:cs="Arial"/>
                      <w:b/>
                      <w:bCs/>
                      <w:color w:val="1F497D"/>
                      <w:sz w:val="27"/>
                      <w:szCs w:val="27"/>
                    </w:rPr>
                    <w:t xml:space="preserve">Attention advanced practice nurses.....  </w:t>
                  </w:r>
                  <w:proofErr w:type="gramStart"/>
                  <w:r>
                    <w:rPr>
                      <w:rStyle w:val="Emphasis"/>
                      <w:rFonts w:ascii="Calibri" w:eastAsia="Times New Roman" w:hAnsi="Calibri" w:cs="Arial"/>
                      <w:b/>
                      <w:bCs/>
                      <w:color w:val="1F497D"/>
                      <w:sz w:val="27"/>
                      <w:szCs w:val="27"/>
                    </w:rPr>
                    <w:t>workshops</w:t>
                  </w:r>
                  <w:proofErr w:type="gramEnd"/>
                  <w:r>
                    <w:rPr>
                      <w:rStyle w:val="Emphasis"/>
                      <w:rFonts w:ascii="Calibri" w:eastAsia="Times New Roman" w:hAnsi="Calibri" w:cs="Arial"/>
                      <w:b/>
                      <w:bCs/>
                      <w:color w:val="3366FF"/>
                      <w:sz w:val="27"/>
                      <w:szCs w:val="27"/>
                    </w:rPr>
                    <w:t xml:space="preserve"> </w:t>
                  </w:r>
                  <w:r>
                    <w:rPr>
                      <w:rStyle w:val="Emphasis"/>
                      <w:rFonts w:ascii="Calibri" w:eastAsia="Times New Roman" w:hAnsi="Calibri" w:cs="Arial"/>
                      <w:b/>
                      <w:bCs/>
                      <w:color w:val="1F497D"/>
                      <w:sz w:val="27"/>
                      <w:szCs w:val="27"/>
                    </w:rPr>
                    <w:t xml:space="preserve">designed with you in mind  </w:t>
                  </w:r>
                  <w:r>
                    <w:rPr>
                      <w:rFonts w:ascii="Arial" w:eastAsia="Times New Roman" w:hAnsi="Arial" w:cs="Arial"/>
                      <w:color w:val="000000"/>
                    </w:rPr>
                    <w:t xml:space="preserve">   </w:t>
                  </w:r>
                  <w:r>
                    <w:rPr>
                      <w:rFonts w:ascii="Arial" w:eastAsia="Times New Roman" w:hAnsi="Arial" w:cs="Arial"/>
                      <w:color w:val="000000"/>
                    </w:rPr>
                    <w:br/>
                  </w:r>
                  <w:r>
                    <w:rPr>
                      <w:rFonts w:ascii="Calibri" w:eastAsia="Times New Roman" w:hAnsi="Calibri" w:cs="Arial"/>
                      <w:b/>
                      <w:bCs/>
                      <w:i/>
                      <w:iCs/>
                      <w:color w:val="1F497D"/>
                      <w:sz w:val="27"/>
                      <w:szCs w:val="27"/>
                    </w:rPr>
                    <w:br/>
                    <w:t>September 30, 2016 - Suture Workshop</w:t>
                  </w:r>
                  <w:r>
                    <w:rPr>
                      <w:rFonts w:ascii="Arial" w:eastAsia="Times New Roman" w:hAnsi="Arial" w:cs="Arial"/>
                      <w:b/>
                      <w:bCs/>
                      <w:i/>
                      <w:iCs/>
                      <w:color w:val="000000"/>
                    </w:rPr>
                    <w:t> </w:t>
                  </w:r>
                  <w:r>
                    <w:rPr>
                      <w:rStyle w:val="Emphasis"/>
                      <w:rFonts w:ascii="Calibri" w:eastAsia="Times New Roman" w:hAnsi="Calibri" w:cs="Arial"/>
                      <w:b/>
                      <w:bCs/>
                      <w:color w:val="1F497D"/>
                      <w:sz w:val="27"/>
                      <w:szCs w:val="27"/>
                    </w:rPr>
                    <w:t xml:space="preserve">  </w:t>
                  </w:r>
                  <w:r>
                    <w:rPr>
                      <w:rFonts w:ascii="Arial" w:eastAsia="Times New Roman" w:hAnsi="Arial" w:cs="Arial"/>
                      <w:color w:val="000000"/>
                    </w:rPr>
                    <w:br/>
                  </w: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28700" cy="1238250"/>
                        <wp:effectExtent l="0" t="0" r="0" b="0"/>
                        <wp:wrapSquare wrapText="bothSides"/>
                        <wp:docPr id="4" name="Picture 4" descr="https://c.na28.content.force.com/servlet/servlet.ImageServer?id=015C0000001hkaF&amp;oid=00D80000000b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na28.content.force.com/servlet/servlet.ImageServer?id=015C0000001hkaF&amp;oid=00D80000000bB04"/>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23825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 w:val="20"/>
                      <w:szCs w:val="20"/>
                    </w:rPr>
                    <w:t xml:space="preserve">This hands-on workshop is designed for advanced practice nurses.  It provides a unique opportunity to obtain wound assessment and management skills useful in every practice.  You will learn techniques such as wound anesthesia, suture selection and digital blocks.  Working with porcine tissue mannequins, you will practice three different suturing techniques: simple interrupted, running and mattress stitches. </w:t>
                  </w:r>
                  <w:r>
                    <w:rPr>
                      <w:rFonts w:eastAsia="Times New Roman"/>
                      <w:noProof/>
                      <w:sz w:val="20"/>
                      <w:szCs w:val="20"/>
                    </w:rPr>
                    <w:br/>
                  </w:r>
                  <w:r>
                    <w:rPr>
                      <w:rFonts w:eastAsia="Times New Roman"/>
                      <w:noProof/>
                      <w:sz w:val="20"/>
                      <w:szCs w:val="20"/>
                    </w:rPr>
                    <w:br/>
                  </w:r>
                  <w:r>
                    <w:rPr>
                      <w:rFonts w:ascii="Calibri" w:eastAsia="Times New Roman" w:hAnsi="Calibri" w:cs="Helvetica"/>
                      <w:b/>
                      <w:bCs/>
                      <w:i/>
                      <w:iCs/>
                      <w:noProof/>
                      <w:color w:val="1F497D"/>
                      <w:sz w:val="27"/>
                      <w:szCs w:val="27"/>
                      <w:shd w:val="clear" w:color="auto" w:fill="FFFFFF"/>
                    </w:rPr>
                    <w:t xml:space="preserve">Enrollment is limited in order to optimize the learning experience, so don't delay register today! </w:t>
                  </w:r>
                  <w:r>
                    <w:rPr>
                      <w:rFonts w:ascii="Calibri" w:eastAsia="Times New Roman" w:hAnsi="Calibri" w:cs="Helvetica"/>
                      <w:b/>
                      <w:bCs/>
                      <w:i/>
                      <w:iCs/>
                      <w:noProof/>
                      <w:color w:val="1F497D"/>
                      <w:sz w:val="27"/>
                      <w:szCs w:val="27"/>
                      <w:shd w:val="clear" w:color="auto" w:fill="FFFFFF"/>
                    </w:rPr>
                    <w:br/>
                  </w:r>
                  <w:hyperlink r:id="rId7" w:tgtFrame="_blank" w:history="1">
                    <w:r>
                      <w:rPr>
                        <w:rStyle w:val="Hyperlink"/>
                        <w:rFonts w:eastAsia="Times New Roman"/>
                        <w:noProof/>
                        <w:sz w:val="20"/>
                        <w:szCs w:val="20"/>
                      </w:rPr>
                      <w:t>Click here for details and workshop registration</w:t>
                    </w:r>
                  </w:hyperlink>
                  <w:r>
                    <w:rPr>
                      <w:rFonts w:eastAsia="Times New Roman"/>
                      <w:noProof/>
                      <w:sz w:val="20"/>
                      <w:szCs w:val="20"/>
                    </w:rPr>
                    <w:t xml:space="preserve">. </w:t>
                  </w:r>
                  <w:r>
                    <w:rPr>
                      <w:rFonts w:eastAsia="Times New Roman"/>
                      <w:noProof/>
                      <w:sz w:val="20"/>
                      <w:szCs w:val="20"/>
                    </w:rPr>
                    <w:br/>
                  </w:r>
                  <w:r>
                    <w:rPr>
                      <w:rFonts w:eastAsia="Times New Roman"/>
                      <w:noProof/>
                      <w:sz w:val="20"/>
                      <w:szCs w:val="20"/>
                    </w:rPr>
                    <w:br/>
                  </w:r>
                  <w:r>
                    <w:rPr>
                      <w:rFonts w:ascii="Calibri" w:eastAsia="Times New Roman" w:hAnsi="Calibri" w:cs="Arial"/>
                      <w:b/>
                      <w:bCs/>
                      <w:i/>
                      <w:iCs/>
                      <w:color w:val="1F497D"/>
                      <w:sz w:val="27"/>
                      <w:szCs w:val="27"/>
                    </w:rPr>
                    <w:t>November 12, 2016 - The Prescribing advantage for Nurse Practitioners </w:t>
                  </w:r>
                  <w:r>
                    <w:rPr>
                      <w:rStyle w:val="Emphasis"/>
                      <w:rFonts w:ascii="Calibri" w:eastAsia="Times New Roman" w:hAnsi="Calibri" w:cs="Arial"/>
                      <w:b/>
                      <w:bCs/>
                      <w:color w:val="1F497D"/>
                      <w:sz w:val="27"/>
                      <w:szCs w:val="27"/>
                    </w:rPr>
                    <w:t xml:space="preserve">  </w:t>
                  </w:r>
                  <w:r>
                    <w:rPr>
                      <w:rFonts w:ascii="Calibri" w:eastAsia="Times New Roman" w:hAnsi="Calibri" w:cs="Arial"/>
                      <w:b/>
                      <w:bCs/>
                      <w:i/>
                      <w:iCs/>
                      <w:color w:val="1F497D"/>
                      <w:sz w:val="27"/>
                      <w:szCs w:val="27"/>
                    </w:rPr>
                    <w:br/>
                  </w:r>
                  <w:r>
                    <w:t xml:space="preserve">Be ahead of the curve......... enrich your knowledge on the latest evidence in relation to the clinical use of medical marijuana and also best prescribing practices for opioids. Be sure you are up-to-date on vital considerations that need to be addressed when prescribing any drug for geriatric patients......they will thank you. This program includes the use of </w:t>
                  </w:r>
                  <w:proofErr w:type="spellStart"/>
                  <w:r>
                    <w:t>Socrative</w:t>
                  </w:r>
                  <w:proofErr w:type="spellEnd"/>
                  <w:r>
                    <w:t xml:space="preserve">, an online participant program that is a favorite of pharma students. You will review cases from a variety of disciplines. Bring your favorite device, a tablet, smartphone, or computer to access the program and make the day more fulfilling and rewarding. </w:t>
                  </w:r>
                  <w:r>
                    <w:br/>
                  </w:r>
                  <w:r>
                    <w:br/>
                  </w:r>
                  <w:hyperlink r:id="rId8" w:tgtFrame="_blank" w:history="1">
                    <w:r>
                      <w:rPr>
                        <w:rStyle w:val="Hyperlink"/>
                        <w:rFonts w:ascii="Calibri" w:eastAsia="Times New Roman" w:hAnsi="Calibri" w:cs="Helvetica"/>
                        <w:sz w:val="27"/>
                        <w:szCs w:val="27"/>
                        <w:shd w:val="clear" w:color="auto" w:fill="FFFFFF"/>
                      </w:rPr>
                      <w:t>Click here for details and workshop registration</w:t>
                    </w:r>
                  </w:hyperlink>
                  <w:r>
                    <w:rPr>
                      <w:rFonts w:ascii="Calibri" w:eastAsia="Times New Roman" w:hAnsi="Calibri" w:cs="Helvetica"/>
                      <w:color w:val="1F497D"/>
                      <w:sz w:val="27"/>
                      <w:szCs w:val="27"/>
                      <w:shd w:val="clear" w:color="auto" w:fill="FFFFFF"/>
                    </w:rPr>
                    <w:t>.</w:t>
                  </w:r>
                  <w:r>
                    <w:rPr>
                      <w:rFonts w:ascii="Calibri" w:eastAsia="Times New Roman" w:hAnsi="Calibri" w:cs="Helvetica"/>
                      <w:b/>
                      <w:bCs/>
                      <w:i/>
                      <w:iCs/>
                      <w:color w:val="1F497D"/>
                      <w:sz w:val="27"/>
                      <w:szCs w:val="27"/>
                      <w:shd w:val="clear" w:color="auto" w:fill="FFFFFF"/>
                    </w:rPr>
                    <w:br/>
                  </w:r>
                  <w:r>
                    <w:rPr>
                      <w:rFonts w:ascii="Calibri" w:eastAsia="Times New Roman" w:hAnsi="Calibri" w:cs="Helvetica"/>
                      <w:b/>
                      <w:bCs/>
                      <w:i/>
                      <w:iCs/>
                      <w:color w:val="1F497D"/>
                      <w:sz w:val="27"/>
                      <w:szCs w:val="27"/>
                      <w:shd w:val="clear" w:color="auto" w:fill="FFFFFF"/>
                    </w:rPr>
                    <w:br/>
                  </w:r>
                  <w:r>
                    <w:rPr>
                      <w:rFonts w:ascii="Calibri" w:eastAsia="Times New Roman" w:hAnsi="Calibri" w:cs="Arial"/>
                      <w:b/>
                      <w:bCs/>
                      <w:i/>
                      <w:iCs/>
                      <w:color w:val="1F497D"/>
                      <w:sz w:val="27"/>
                      <w:szCs w:val="27"/>
                    </w:rPr>
                    <w:t>November 19, 2016 - Minor Procedures for Nurse Practitioners</w:t>
                  </w:r>
                  <w:r>
                    <w:rPr>
                      <w:rFonts w:ascii="Calibri" w:eastAsia="Times New Roman" w:hAnsi="Calibri" w:cs="Arial"/>
                      <w:b/>
                      <w:bCs/>
                      <w:i/>
                      <w:iCs/>
                      <w:color w:val="000000"/>
                    </w:rPr>
                    <w:t> </w:t>
                  </w:r>
                  <w:r>
                    <w:rPr>
                      <w:rStyle w:val="Emphasis"/>
                      <w:rFonts w:ascii="Calibri" w:eastAsia="Times New Roman" w:hAnsi="Calibri" w:cs="Arial"/>
                      <w:b/>
                      <w:bCs/>
                      <w:color w:val="1F497D"/>
                      <w:sz w:val="27"/>
                      <w:szCs w:val="27"/>
                    </w:rPr>
                    <w:t xml:space="preserve">  </w:t>
                  </w:r>
                </w:p>
                <w:p w:rsidR="00413909" w:rsidRDefault="00413909">
                  <w:pPr>
                    <w:rPr>
                      <w:rFonts w:ascii="Arial" w:eastAsia="Times New Roman" w:hAnsi="Arial" w:cs="Arial"/>
                      <w:color w:val="000000"/>
                    </w:rPr>
                  </w:pPr>
                  <w:r>
                    <w:rPr>
                      <w:rFonts w:ascii="Helvetica" w:eastAsia="Times New Roman" w:hAnsi="Helvetica" w:cs="Helvetica"/>
                      <w:color w:val="333333"/>
                      <w:sz w:val="21"/>
                      <w:szCs w:val="21"/>
                      <w:shd w:val="clear" w:color="auto" w:fill="FFFFFF"/>
                    </w:rPr>
                    <w:t xml:space="preserve">This workshop is specifically designed for you.  It offers an unusual, hands-on opportunity to learn the skills needed to manage frequently encountered primary care (and Urgent Care / Fast Tract) problems such as:  Digital block, abscess I &amp; D, ingrown toenails including nail removal, </w:t>
                  </w:r>
                  <w:proofErr w:type="spellStart"/>
                  <w:r>
                    <w:rPr>
                      <w:rFonts w:ascii="Helvetica" w:eastAsia="Times New Roman" w:hAnsi="Helvetica" w:cs="Helvetica"/>
                      <w:color w:val="333333"/>
                      <w:sz w:val="21"/>
                      <w:szCs w:val="21"/>
                      <w:shd w:val="clear" w:color="auto" w:fill="FFFFFF"/>
                    </w:rPr>
                    <w:t>paronycia</w:t>
                  </w:r>
                  <w:proofErr w:type="spellEnd"/>
                  <w:r>
                    <w:rPr>
                      <w:rFonts w:ascii="Helvetica" w:eastAsia="Times New Roman" w:hAnsi="Helvetica" w:cs="Helvetica"/>
                      <w:color w:val="333333"/>
                      <w:sz w:val="21"/>
                      <w:szCs w:val="21"/>
                      <w:shd w:val="clear" w:color="auto" w:fill="FFFFFF"/>
                    </w:rPr>
                    <w:t xml:space="preserve"> management, subungual </w:t>
                  </w:r>
                  <w:proofErr w:type="spellStart"/>
                  <w:r>
                    <w:rPr>
                      <w:rFonts w:ascii="Helvetica" w:eastAsia="Times New Roman" w:hAnsi="Helvetica" w:cs="Helvetica"/>
                      <w:color w:val="333333"/>
                      <w:sz w:val="21"/>
                      <w:szCs w:val="21"/>
                      <w:shd w:val="clear" w:color="auto" w:fill="FFFFFF"/>
                    </w:rPr>
                    <w:t>hematome</w:t>
                  </w:r>
                  <w:proofErr w:type="spellEnd"/>
                  <w:r>
                    <w:rPr>
                      <w:rFonts w:ascii="Helvetica" w:eastAsia="Times New Roman" w:hAnsi="Helvetica" w:cs="Helvetica"/>
                      <w:color w:val="333333"/>
                      <w:sz w:val="21"/>
                      <w:szCs w:val="21"/>
                      <w:shd w:val="clear" w:color="auto" w:fill="FFFFFF"/>
                    </w:rPr>
                    <w:t xml:space="preserve"> release and arthrocentesis. </w:t>
                  </w:r>
                  <w:r>
                    <w:rPr>
                      <w:rFonts w:ascii="Helvetica" w:eastAsia="Times New Roman" w:hAnsi="Helvetica" w:cs="Helvetica"/>
                      <w:color w:val="333333"/>
                      <w:sz w:val="21"/>
                      <w:szCs w:val="21"/>
                      <w:shd w:val="clear" w:color="auto" w:fill="FFFFFF"/>
                    </w:rPr>
                    <w:br/>
                  </w:r>
                  <w:r>
                    <w:rPr>
                      <w:rFonts w:ascii="Helvetica" w:eastAsia="Times New Roman" w:hAnsi="Helvetica" w:cs="Helvetica"/>
                      <w:color w:val="333333"/>
                      <w:sz w:val="21"/>
                      <w:szCs w:val="21"/>
                      <w:shd w:val="clear" w:color="auto" w:fill="FFFFFF"/>
                    </w:rPr>
                    <w:br/>
                  </w:r>
                  <w:r>
                    <w:rPr>
                      <w:rFonts w:ascii="Calibri" w:eastAsia="Times New Roman" w:hAnsi="Calibri" w:cs="Helvetica"/>
                      <w:b/>
                      <w:bCs/>
                      <w:i/>
                      <w:iCs/>
                      <w:color w:val="1F497D"/>
                      <w:sz w:val="27"/>
                      <w:szCs w:val="27"/>
                      <w:shd w:val="clear" w:color="auto" w:fill="FFFFFF"/>
                    </w:rPr>
                    <w:t xml:space="preserve">Enrollment is limited in order to optimize the learning experience, so don't delay register today! </w:t>
                  </w:r>
                  <w:r>
                    <w:rPr>
                      <w:rFonts w:ascii="Calibri" w:eastAsia="Times New Roman" w:hAnsi="Calibri" w:cs="Arial"/>
                      <w:color w:val="1F497D"/>
                    </w:rPr>
                    <w:br/>
                  </w:r>
                  <w:hyperlink r:id="rId9" w:tgtFrame="_blank" w:history="1">
                    <w:r>
                      <w:rPr>
                        <w:rStyle w:val="Hyperlink"/>
                        <w:rFonts w:ascii="Calibri" w:eastAsia="Times New Roman" w:hAnsi="Calibri" w:cs="Arial"/>
                      </w:rPr>
                      <w:t>Click here for details and workshop registration</w:t>
                    </w:r>
                  </w:hyperlink>
                  <w:r>
                    <w:rPr>
                      <w:rFonts w:ascii="Calibri" w:eastAsia="Times New Roman" w:hAnsi="Calibri" w:cs="Arial"/>
                      <w:color w:val="1F497D"/>
                    </w:rPr>
                    <w:t xml:space="preserve">. </w:t>
                  </w:r>
                </w:p>
                <w:p w:rsidR="00413909" w:rsidRDefault="00413909">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br/>
                    <w:t xml:space="preserve">If you have already benefited from one of our </w:t>
                  </w:r>
                  <w:r>
                    <w:rPr>
                      <w:rFonts w:ascii="Helvetica" w:hAnsi="Helvetica" w:cs="Helvetica"/>
                      <w:i/>
                      <w:iCs/>
                      <w:color w:val="333333"/>
                      <w:sz w:val="21"/>
                      <w:szCs w:val="21"/>
                      <w:shd w:val="clear" w:color="auto" w:fill="FFFFFF"/>
                    </w:rPr>
                    <w:t>workshops</w:t>
                  </w:r>
                  <w:r>
                    <w:rPr>
                      <w:rFonts w:ascii="Helvetica" w:hAnsi="Helvetica" w:cs="Helvetica"/>
                      <w:color w:val="333333"/>
                      <w:sz w:val="21"/>
                      <w:szCs w:val="21"/>
                      <w:shd w:val="clear" w:color="auto" w:fill="FFFFFF"/>
                    </w:rPr>
                    <w:t xml:space="preserve">, please forward this message to your colleague and share you experience.  </w:t>
                  </w:r>
                  <w:r>
                    <w:rPr>
                      <w:rFonts w:ascii="Helvetica" w:hAnsi="Helvetica" w:cs="Helvetica"/>
                      <w:color w:val="333333"/>
                      <w:sz w:val="21"/>
                      <w:szCs w:val="21"/>
                      <w:shd w:val="clear" w:color="auto" w:fill="FFFFFF"/>
                    </w:rPr>
                    <w:br/>
                  </w:r>
                  <w:r>
                    <w:rPr>
                      <w:rFonts w:ascii="Helvetica" w:hAnsi="Helvetica" w:cs="Helvetica"/>
                      <w:color w:val="333333"/>
                      <w:sz w:val="21"/>
                      <w:szCs w:val="21"/>
                      <w:shd w:val="clear" w:color="auto" w:fill="FFFFFF"/>
                    </w:rPr>
                    <w:br/>
                  </w:r>
                </w:p>
                <w:p w:rsidR="00413909" w:rsidRDefault="00413909">
                  <w:pPr>
                    <w:rPr>
                      <w:rFonts w:ascii="Arial" w:eastAsia="Times New Roman" w:hAnsi="Arial" w:cs="Arial"/>
                      <w:color w:val="000000"/>
                    </w:rPr>
                  </w:pPr>
                  <w:r>
                    <w:rPr>
                      <w:rFonts w:ascii="Calibri" w:eastAsia="Times New Roman" w:hAnsi="Calibri" w:cs="Arial"/>
                      <w:color w:val="1F497D"/>
                    </w:rPr>
                    <w:lastRenderedPageBreak/>
                    <w:t>We look forward to seeing you and your fellow NPs.</w:t>
                  </w:r>
                  <w:r>
                    <w:rPr>
                      <w:rFonts w:ascii="Arial" w:eastAsia="Times New Roman" w:hAnsi="Arial" w:cs="Arial"/>
                      <w:color w:val="000000"/>
                    </w:rPr>
                    <w:t xml:space="preserve"> </w:t>
                  </w:r>
                </w:p>
                <w:p w:rsidR="00413909" w:rsidRDefault="006F0E04">
                  <w:pPr>
                    <w:pStyle w:val="NormalWeb"/>
                    <w:rPr>
                      <w:rFonts w:ascii="Arial" w:hAnsi="Arial" w:cs="Arial"/>
                      <w:color w:val="000000"/>
                    </w:rPr>
                  </w:pPr>
                  <w:hyperlink r:id="rId10" w:tgtFrame="_blank" w:history="1">
                    <w:r w:rsidR="00413909">
                      <w:rPr>
                        <w:rStyle w:val="Hyperlink"/>
                        <w:rFonts w:ascii="Arial" w:hAnsi="Arial" w:cs="Arial"/>
                        <w:i/>
                        <w:iCs/>
                      </w:rPr>
                      <w:t xml:space="preserve">Lyn </w:t>
                    </w:r>
                    <w:proofErr w:type="spellStart"/>
                    <w:r w:rsidR="00413909">
                      <w:rPr>
                        <w:rStyle w:val="Hyperlink"/>
                        <w:rFonts w:ascii="Arial" w:hAnsi="Arial" w:cs="Arial"/>
                        <w:i/>
                        <w:iCs/>
                      </w:rPr>
                      <w:t>DeSilets</w:t>
                    </w:r>
                    <w:proofErr w:type="spellEnd"/>
                    <w:r w:rsidR="00413909">
                      <w:rPr>
                        <w:rStyle w:val="Hyperlink"/>
                        <w:rFonts w:ascii="Arial" w:hAnsi="Arial" w:cs="Arial"/>
                        <w:i/>
                        <w:iCs/>
                      </w:rPr>
                      <w:t xml:space="preserve">, </w:t>
                    </w:r>
                    <w:proofErr w:type="spellStart"/>
                    <w:r w:rsidR="00413909">
                      <w:rPr>
                        <w:rStyle w:val="Hyperlink"/>
                        <w:rFonts w:ascii="Arial" w:hAnsi="Arial" w:cs="Arial"/>
                        <w:i/>
                        <w:iCs/>
                      </w:rPr>
                      <w:t>EdD</w:t>
                    </w:r>
                    <w:proofErr w:type="spellEnd"/>
                    <w:r w:rsidR="00413909">
                      <w:rPr>
                        <w:rStyle w:val="Hyperlink"/>
                        <w:rFonts w:ascii="Arial" w:hAnsi="Arial" w:cs="Arial"/>
                        <w:i/>
                        <w:iCs/>
                      </w:rPr>
                      <w:t xml:space="preserve">, RN-BC </w:t>
                    </w:r>
                  </w:hyperlink>
                </w:p>
                <w:p w:rsidR="00413909" w:rsidRDefault="00413909">
                  <w:pPr>
                    <w:rPr>
                      <w:rFonts w:ascii="Arial" w:eastAsia="Times New Roman" w:hAnsi="Arial" w:cs="Arial"/>
                      <w:color w:val="000000"/>
                    </w:rPr>
                  </w:pPr>
                  <w:r>
                    <w:rPr>
                      <w:rFonts w:ascii="Calibri" w:eastAsia="Times New Roman" w:hAnsi="Calibri" w:cs="Arial"/>
                      <w:color w:val="1F497D"/>
                    </w:rPr>
                    <w:br/>
                  </w:r>
                  <w:r>
                    <w:rPr>
                      <w:rStyle w:val="Emphasis"/>
                      <w:rFonts w:ascii="Arial" w:eastAsia="Times New Roman" w:hAnsi="Arial" w:cs="Arial"/>
                      <w:color w:val="000000"/>
                    </w:rPr>
                    <w:t xml:space="preserve">For a complete listing of our offerings visit </w:t>
                  </w:r>
                  <w:hyperlink r:id="rId11" w:tgtFrame="_blank" w:history="1">
                    <w:r>
                      <w:rPr>
                        <w:rStyle w:val="Hyperlink"/>
                        <w:rFonts w:ascii="Arial" w:eastAsia="Times New Roman" w:hAnsi="Arial" w:cs="Arial"/>
                        <w:i/>
                        <w:iCs/>
                      </w:rPr>
                      <w:t>villanova.edu/nursing/ce.html</w:t>
                    </w:r>
                  </w:hyperlink>
                </w:p>
              </w:tc>
            </w:tr>
          </w:tbl>
          <w:p w:rsidR="00413909" w:rsidRDefault="00413909">
            <w:pPr>
              <w:rPr>
                <w:rFonts w:eastAsia="Times New Roman"/>
                <w:sz w:val="20"/>
                <w:szCs w:val="20"/>
              </w:rPr>
            </w:pPr>
          </w:p>
        </w:tc>
      </w:tr>
      <w:tr w:rsidR="00413909" w:rsidTr="00413909">
        <w:trPr>
          <w:tblCellSpacing w:w="0" w:type="dxa"/>
          <w:jc w:val="center"/>
        </w:trPr>
        <w:tc>
          <w:tcPr>
            <w:tcW w:w="0" w:type="auto"/>
            <w:shd w:val="clear" w:color="auto" w:fill="AAAAFF"/>
            <w:hideMark/>
          </w:tcPr>
          <w:p w:rsidR="00413909" w:rsidRDefault="00413909">
            <w:pPr>
              <w:rPr>
                <w:rFonts w:eastAsia="Times New Roman"/>
                <w:sz w:val="20"/>
                <w:szCs w:val="20"/>
              </w:rPr>
            </w:pPr>
          </w:p>
        </w:tc>
      </w:tr>
      <w:tr w:rsidR="00413909" w:rsidTr="00413909">
        <w:trPr>
          <w:trHeight w:val="1500"/>
          <w:tblCellSpacing w:w="0" w:type="dxa"/>
          <w:jc w:val="center"/>
        </w:trPr>
        <w:tc>
          <w:tcPr>
            <w:tcW w:w="0" w:type="auto"/>
            <w:shd w:val="clear" w:color="auto" w:fill="FFFFFF"/>
            <w:hideMark/>
          </w:tcPr>
          <w:p w:rsidR="00413909" w:rsidRDefault="00413909">
            <w:pPr>
              <w:jc w:val="center"/>
              <w:rPr>
                <w:rFonts w:eastAsia="Times New Roman"/>
              </w:rPr>
            </w:pPr>
            <w:r>
              <w:rPr>
                <w:rFonts w:eastAsia="Times New Roman"/>
                <w:noProof/>
              </w:rPr>
              <w:drawing>
                <wp:inline distT="0" distB="0" distL="0" distR="0">
                  <wp:extent cx="5695950" cy="1066800"/>
                  <wp:effectExtent l="0" t="0" r="0" b="0"/>
                  <wp:docPr id="2" name="Picture 2" descr="https://na28.salesforce.com/servlet/servlet.ImageServer?id=0151A000002vWXW&amp;oid=00D80000000b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sp1" descr="https://na28.salesforce.com/servlet/servlet.ImageServer?id=0151A000002vWXW&amp;oid=00D80000000bB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50" cy="1066800"/>
                          </a:xfrm>
                          <a:prstGeom prst="rect">
                            <a:avLst/>
                          </a:prstGeom>
                          <a:noFill/>
                          <a:ln>
                            <a:noFill/>
                          </a:ln>
                        </pic:spPr>
                      </pic:pic>
                    </a:graphicData>
                  </a:graphic>
                </wp:inline>
              </w:drawing>
            </w:r>
          </w:p>
        </w:tc>
      </w:tr>
      <w:tr w:rsidR="00413909" w:rsidTr="00413909">
        <w:trPr>
          <w:tblCellSpacing w:w="0" w:type="dxa"/>
          <w:jc w:val="center"/>
        </w:trPr>
        <w:tc>
          <w:tcPr>
            <w:tcW w:w="0" w:type="auto"/>
            <w:shd w:val="clear" w:color="auto" w:fill="AAAAFF"/>
            <w:hideMark/>
          </w:tcPr>
          <w:p w:rsidR="00413909" w:rsidRDefault="00413909">
            <w:pPr>
              <w:rPr>
                <w:rFonts w:eastAsia="Times New Roman"/>
              </w:rPr>
            </w:pPr>
          </w:p>
        </w:tc>
      </w:tr>
    </w:tbl>
    <w:bookmarkEnd w:id="0"/>
    <w:p w:rsidR="00413909" w:rsidRDefault="00413909" w:rsidP="006F0E04">
      <w:pPr>
        <w:jc w:val="right"/>
        <w:rPr>
          <w:rFonts w:eastAsia="Times New Roman"/>
          <w:color w:val="000000"/>
        </w:rPr>
      </w:pPr>
      <w:r>
        <w:rPr>
          <w:rFonts w:eastAsia="Times New Roman"/>
          <w:color w:val="000000"/>
        </w:rPr>
        <w:br/>
      </w:r>
      <w:r>
        <w:rPr>
          <w:rFonts w:eastAsia="Times New Roman"/>
          <w:color w:val="000000"/>
        </w:rPr>
        <w:br/>
      </w:r>
      <w:r>
        <w:rPr>
          <w:rFonts w:eastAsia="Times New Roman"/>
          <w:noProof/>
          <w:color w:val="000000"/>
        </w:rPr>
        <w:drawing>
          <wp:inline distT="0" distB="0" distL="0" distR="0">
            <wp:extent cx="9525" cy="9525"/>
            <wp:effectExtent l="0" t="0" r="0" b="0"/>
            <wp:docPr id="1" name="Picture 1" descr="http://na28.salesforce.com/servlet/servlet.ImageServer?oid=00D80000000bB04&amp;esid=0181A00000cU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28.salesforce.com/servlet/servlet.ImageServer?oid=00D80000000bB04&amp;esid=0181A00000cUCS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00AF7" w:rsidRDefault="00B00AF7"/>
    <w:sectPr w:rsidR="00B00AF7" w:rsidSect="0041390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14290"/>
    <w:multiLevelType w:val="multilevel"/>
    <w:tmpl w:val="944E219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39A2B39"/>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66211E9"/>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BE5E98"/>
    <w:multiLevelType w:val="multilevel"/>
    <w:tmpl w:val="944E219E"/>
    <w:styleLink w:val="Style5"/>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09"/>
    <w:rsid w:val="00413909"/>
    <w:rsid w:val="006F0E04"/>
    <w:rsid w:val="00B00AF7"/>
    <w:rsid w:val="00C36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2D86F-4C4B-4010-8208-A9C50B66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90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4">
    <w:name w:val="Style4"/>
    <w:uiPriority w:val="99"/>
    <w:rsid w:val="00C36C2F"/>
    <w:pPr>
      <w:numPr>
        <w:numId w:val="1"/>
      </w:numPr>
    </w:pPr>
  </w:style>
  <w:style w:type="numbering" w:customStyle="1" w:styleId="Style5">
    <w:name w:val="Style5"/>
    <w:uiPriority w:val="99"/>
    <w:rsid w:val="00C36C2F"/>
    <w:pPr>
      <w:numPr>
        <w:numId w:val="2"/>
      </w:numPr>
    </w:pPr>
  </w:style>
  <w:style w:type="numbering" w:customStyle="1" w:styleId="Style6">
    <w:name w:val="Style6"/>
    <w:uiPriority w:val="99"/>
    <w:rsid w:val="00C36C2F"/>
    <w:pPr>
      <w:numPr>
        <w:numId w:val="4"/>
      </w:numPr>
    </w:pPr>
  </w:style>
  <w:style w:type="character" w:styleId="Hyperlink">
    <w:name w:val="Hyperlink"/>
    <w:basedOn w:val="DefaultParagraphFont"/>
    <w:uiPriority w:val="99"/>
    <w:semiHidden/>
    <w:unhideWhenUsed/>
    <w:rsid w:val="00413909"/>
    <w:rPr>
      <w:color w:val="0000FF"/>
      <w:u w:val="single"/>
    </w:rPr>
  </w:style>
  <w:style w:type="paragraph" w:styleId="NormalWeb">
    <w:name w:val="Normal (Web)"/>
    <w:basedOn w:val="Normal"/>
    <w:uiPriority w:val="99"/>
    <w:semiHidden/>
    <w:unhideWhenUsed/>
    <w:rsid w:val="00413909"/>
  </w:style>
  <w:style w:type="character" w:styleId="Emphasis">
    <w:name w:val="Emphasis"/>
    <w:basedOn w:val="DefaultParagraphFont"/>
    <w:uiPriority w:val="20"/>
    <w:qFormat/>
    <w:rsid w:val="004139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5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villanova.edu/villanova/nursing/ce/courses/presc_advant_np.html"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http://www1.villanova.edu/villanova/nursing/ce/courses/sw.html"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c.na28.content.force.com/servlet/servlet.ImageServer?id=015C0000001hkaF&amp;oid=00D80000000bB04" TargetMode="External"/><Relationship Id="rId11" Type="http://schemas.openxmlformats.org/officeDocument/2006/relationships/hyperlink" Target="http://www1.villanova.edu/villanova/nursing/ce/courses.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lyn.desilets@villanova.edu" TargetMode="External"/><Relationship Id="rId4" Type="http://schemas.openxmlformats.org/officeDocument/2006/relationships/webSettings" Target="webSettings.xml"/><Relationship Id="rId9" Type="http://schemas.openxmlformats.org/officeDocument/2006/relationships/hyperlink" Target="http://www1.villanova.edu/villanova/nursing/ce/courses/MP.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Zullo</dc:creator>
  <cp:keywords/>
  <dc:description/>
  <cp:lastModifiedBy>Lori Norris</cp:lastModifiedBy>
  <cp:revision>2</cp:revision>
  <dcterms:created xsi:type="dcterms:W3CDTF">2016-08-09T21:58:00Z</dcterms:created>
  <dcterms:modified xsi:type="dcterms:W3CDTF">2016-08-09T21:58:00Z</dcterms:modified>
</cp:coreProperties>
</file>