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2D" w:rsidRDefault="0052372D" w:rsidP="0052372D">
      <w:pPr>
        <w:jc w:val="center"/>
        <w:rPr>
          <w:rFonts w:ascii="Times New Roman" w:hAnsi="Times New Roman" w:cs="Times New Roman"/>
          <w:sz w:val="24"/>
          <w:szCs w:val="24"/>
        </w:rPr>
      </w:pPr>
      <w:r>
        <w:t>Invitation to Participate in Research</w:t>
      </w:r>
    </w:p>
    <w:p w:rsidR="0052372D" w:rsidRDefault="0052372D" w:rsidP="0052372D">
      <w:pPr>
        <w:jc w:val="center"/>
        <w:rPr>
          <w:b/>
        </w:rPr>
      </w:pPr>
      <w:r>
        <w:rPr>
          <w:b/>
        </w:rPr>
        <w:t>Cover Letter/Informed Consent</w:t>
      </w:r>
    </w:p>
    <w:p w:rsidR="0052372D" w:rsidRDefault="0052372D" w:rsidP="0052372D">
      <w:pPr>
        <w:jc w:val="center"/>
        <w:rPr>
          <w:b/>
          <w:sz w:val="24"/>
          <w:szCs w:val="24"/>
        </w:rPr>
      </w:pPr>
      <w:r>
        <w:rPr>
          <w:b/>
        </w:rPr>
        <w:t>Nurse Practitioner Awareness &amp; Knowledge of Celiac Disease</w:t>
      </w:r>
    </w:p>
    <w:p w:rsidR="0052372D" w:rsidRDefault="0052372D" w:rsidP="0052372D">
      <w:pPr>
        <w:tabs>
          <w:tab w:val="left" w:pos="3885"/>
        </w:tabs>
      </w:pPr>
      <w:r>
        <w:t>Dear Participant,</w:t>
      </w:r>
      <w:r>
        <w:tab/>
      </w:r>
    </w:p>
    <w:p w:rsidR="0052372D" w:rsidRDefault="0052372D" w:rsidP="0052372D">
      <w:r>
        <w:t xml:space="preserve">My name is Dionne Walker, and I am a student at Albany State University in the Family Nurse Practitioner Program. One of the requirements for attainment of my Masters of Science in Nursing at Albany State University is performing a research project. The title of my research is </w:t>
      </w:r>
      <w:r>
        <w:rPr>
          <w:i/>
        </w:rPr>
        <w:t>Nurse Practitioner Knowledge about Celiac Disease.</w:t>
      </w:r>
      <w:r>
        <w:t xml:space="preserve"> This study is to identify if there is a lack of knowledge and awareness of celiac disease among nurse practitioners in Georgia.</w:t>
      </w:r>
    </w:p>
    <w:p w:rsidR="0052372D" w:rsidRDefault="0052372D" w:rsidP="0052372D">
      <w:r>
        <w:t>I am asking the Nurse Practitioners who specialized in primary care for children and/ or adults to complete a 10-item celiac facts q</w:t>
      </w:r>
      <w:bookmarkStart w:id="0" w:name="_GoBack"/>
      <w:bookmarkEnd w:id="0"/>
      <w:r>
        <w:t xml:space="preserve">uestionnaire and demographic. The questionnaire and demographic will take no longer than 15 minutes to complete. The data will be collected through Survey Monkey. Your responses will automatically be compiled in a spreadsheet and will not be linked to you. All data will be stored on a password protected electronic format, and the results will be used for thesis defense. </w:t>
      </w:r>
    </w:p>
    <w:p w:rsidR="0052372D" w:rsidRDefault="0052372D" w:rsidP="0052372D">
      <w:r>
        <w:t xml:space="preserve">A benefit to the participants in this specific study is self- awareness of nurse practitioners’ knowledge of celiac disease. However, the result of this study may identify any lack of awareness among nurse practitioners through this project which can lead to increase awareness, earlier screening of population at risk and earlier diagnosis for patients with celiac disease. </w:t>
      </w:r>
    </w:p>
    <w:p w:rsidR="0052372D" w:rsidRDefault="0052372D" w:rsidP="0052372D">
      <w:r>
        <w:t>There is a slight possibility of a breach of confidentiality with the completion of this online survey, as data sent over the internet is not always safe. In order to minimize this risk no IP addresses will be collected and no personal identifiers are being asked on the survey. If you have questions about your participation in this research study or about your rights as a research subject make sure to discuss them with me. You may also call the Office of Research and Sponsored Programs at Albany State University, Albany GA at (229) 430-3690 to discuss your right as a research subject.</w:t>
      </w:r>
    </w:p>
    <w:p w:rsidR="0052372D" w:rsidRDefault="0052372D" w:rsidP="0052372D">
      <w:r>
        <w:t>By clicking on the link and taking the survey you are acknowledging that you have read this information and agree to participate in this research. Your participation in this research study is voluntary, and you are free to withdraw your participation from this research at any time prior to submission without penalty. I sincerely appreciate your willingness to help me with this research.</w:t>
      </w:r>
    </w:p>
    <w:p w:rsidR="0052372D" w:rsidRDefault="0052372D" w:rsidP="0052372D">
      <w:pPr>
        <w:spacing w:line="240" w:lineRule="auto"/>
        <w:rPr>
          <w:rFonts w:ascii="Times New Roman" w:hAnsi="Times New Roman" w:cs="Times New Roman"/>
          <w:b/>
          <w:sz w:val="24"/>
          <w:szCs w:val="24"/>
        </w:rPr>
      </w:pPr>
      <w:r>
        <w:rPr>
          <w:b/>
        </w:rPr>
        <w:t>Survey Monkey® link: (https: //www.survey monkey.com/s/</w:t>
      </w:r>
      <w:r w:rsidR="00CE422A">
        <w:rPr>
          <w:b/>
        </w:rPr>
        <w:t>FRYMQKL</w:t>
      </w:r>
      <w:r>
        <w:rPr>
          <w:b/>
        </w:rPr>
        <w:t>)</w:t>
      </w:r>
    </w:p>
    <w:p w:rsidR="0052372D" w:rsidRDefault="0052372D" w:rsidP="0052372D">
      <w:pPr>
        <w:spacing w:line="240" w:lineRule="auto"/>
      </w:pPr>
      <w:r>
        <w:t>Dionne Walker, BSN, RN.</w:t>
      </w:r>
    </w:p>
    <w:p w:rsidR="0052372D" w:rsidRDefault="0052372D" w:rsidP="0052372D">
      <w:pPr>
        <w:spacing w:line="240" w:lineRule="auto"/>
      </w:pPr>
      <w:r>
        <w:t>Phone: (770)363-9555)</w:t>
      </w:r>
    </w:p>
    <w:p w:rsidR="0052372D" w:rsidRDefault="0052372D" w:rsidP="0052372D">
      <w:r>
        <w:t>Email: dionnewalker@bellsouth.net or dwalke33@students.asurams</w:t>
      </w:r>
    </w:p>
    <w:p w:rsidR="0052372D" w:rsidRDefault="0052372D" w:rsidP="0052372D">
      <w:pPr>
        <w:spacing w:line="480" w:lineRule="auto"/>
        <w:rPr>
          <w:rFonts w:ascii="Times New Roman" w:hAnsi="Times New Roman" w:cs="Times New Roman"/>
          <w:b/>
          <w:sz w:val="24"/>
          <w:szCs w:val="24"/>
        </w:rPr>
      </w:pPr>
    </w:p>
    <w:p w:rsidR="0052372D" w:rsidRDefault="0052372D" w:rsidP="0052372D">
      <w:pPr>
        <w:spacing w:line="480" w:lineRule="auto"/>
        <w:rPr>
          <w:rFonts w:ascii="Times New Roman" w:hAnsi="Times New Roman" w:cs="Times New Roman"/>
          <w:b/>
          <w:sz w:val="24"/>
          <w:szCs w:val="24"/>
        </w:rPr>
      </w:pPr>
    </w:p>
    <w:p w:rsidR="0052372D" w:rsidRDefault="0052372D" w:rsidP="0052372D">
      <w:pPr>
        <w:spacing w:line="480" w:lineRule="auto"/>
        <w:rPr>
          <w:rFonts w:ascii="Times New Roman" w:hAnsi="Times New Roman" w:cs="Times New Roman"/>
          <w:b/>
          <w:sz w:val="24"/>
          <w:szCs w:val="24"/>
        </w:rPr>
      </w:pPr>
    </w:p>
    <w:p w:rsidR="0052372D" w:rsidRDefault="0052372D" w:rsidP="0052372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Celiac Disease Questionnaire</w:t>
      </w:r>
    </w:p>
    <w:p w:rsidR="0052372D" w:rsidRDefault="0052372D" w:rsidP="0052372D">
      <w:pPr>
        <w:jc w:val="center"/>
        <w:rPr>
          <w:rFonts w:ascii="Times New Roman" w:hAnsi="Times New Roman" w:cs="Times New Roman"/>
          <w:sz w:val="24"/>
          <w:szCs w:val="24"/>
        </w:rPr>
      </w:pPr>
      <w:r>
        <w:rPr>
          <w:rFonts w:ascii="Times New Roman" w:hAnsi="Times New Roman" w:cs="Times New Roman"/>
          <w:sz w:val="24"/>
          <w:szCs w:val="24"/>
        </w:rPr>
        <w:t>Questions Adapted from the National Foundation for Celiac Awareness Data (2011)</w:t>
      </w:r>
    </w:p>
    <w:tbl>
      <w:tblPr>
        <w:tblW w:w="903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5143"/>
        <w:gridCol w:w="1495"/>
        <w:gridCol w:w="1448"/>
      </w:tblGrid>
      <w:tr w:rsidR="0052372D" w:rsidTr="0052372D">
        <w:trPr>
          <w:trHeight w:val="557"/>
        </w:trPr>
        <w:tc>
          <w:tcPr>
            <w:tcW w:w="6090" w:type="dxa"/>
            <w:gridSpan w:val="2"/>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943" w:type="dxa"/>
            <w:gridSpan w:val="2"/>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Circle T for True or F for False</w:t>
            </w:r>
          </w:p>
        </w:tc>
      </w:tr>
      <w:tr w:rsidR="0052372D" w:rsidTr="0052372D">
        <w:trPr>
          <w:trHeight w:val="315"/>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1</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rPr>
                <w:rFonts w:ascii="Times New Roman" w:hAnsi="Times New Roman" w:cs="Times New Roman"/>
                <w:b/>
                <w:sz w:val="24"/>
                <w:szCs w:val="24"/>
              </w:rPr>
            </w:pPr>
            <w:r>
              <w:rPr>
                <w:rFonts w:ascii="Times New Roman" w:hAnsi="Times New Roman" w:cs="Times New Roman"/>
                <w:b/>
                <w:sz w:val="24"/>
                <w:szCs w:val="24"/>
              </w:rPr>
              <w:t>1 in 33 American has celiac disease</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450"/>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2</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3 million Americans across all races, ages and genders have celiac disease</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570"/>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3</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Celiac disease is hereditary, so all first and second degree relatives should be screened</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30"/>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4</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rPr>
                <w:rFonts w:ascii="Times New Roman" w:hAnsi="Times New Roman" w:cs="Times New Roman"/>
                <w:b/>
                <w:sz w:val="24"/>
                <w:szCs w:val="24"/>
              </w:rPr>
            </w:pPr>
            <w:r>
              <w:rPr>
                <w:rFonts w:ascii="Times New Roman" w:hAnsi="Times New Roman" w:cs="Times New Roman"/>
                <w:b/>
                <w:sz w:val="24"/>
                <w:szCs w:val="24"/>
              </w:rPr>
              <w:t>95% of people with celiac disease are undiagnosed or misdiagnosed with other conditions</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658"/>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6 to 10 years is the average time a person waits to be correctly diagnosed with Celiac Disease in the United States</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p w:rsidR="0052372D" w:rsidRDefault="0052372D">
            <w:pPr>
              <w:jc w:val="both"/>
              <w:rPr>
                <w:rFonts w:ascii="Times New Roman" w:hAnsi="Times New Roman" w:cs="Times New Roman"/>
                <w:b/>
                <w:sz w:val="24"/>
                <w:szCs w:val="24"/>
              </w:rPr>
            </w:pPr>
          </w:p>
        </w:tc>
      </w:tr>
      <w:tr w:rsidR="0052372D" w:rsidTr="0052372D">
        <w:trPr>
          <w:trHeight w:val="525"/>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6</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The burden of undiagnosed celiac disease over a 4-year period is estimated to be almost $4,000 per person</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690"/>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7</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Celiac Disease can lead to a number of other disorders, including fertility, reduced bone density, neurologic disorders, some cancer and other autoimmune diseases</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705"/>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8</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 xml:space="preserve">There is no pharmaceutical cure for celiac disease </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540"/>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9</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A strict gluten-free diet is the only treatment for celiac disease</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r w:rsidR="0052372D" w:rsidTr="0052372D">
        <w:trPr>
          <w:trHeight w:val="1065"/>
        </w:trPr>
        <w:tc>
          <w:tcPr>
            <w:tcW w:w="9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10</w:t>
            </w:r>
          </w:p>
        </w:tc>
        <w:tc>
          <w:tcPr>
            <w:tcW w:w="5145" w:type="dxa"/>
            <w:tcBorders>
              <w:top w:val="single" w:sz="4" w:space="0" w:color="auto"/>
              <w:left w:val="single" w:sz="4" w:space="0" w:color="auto"/>
              <w:bottom w:val="single" w:sz="4" w:space="0" w:color="auto"/>
              <w:right w:val="single" w:sz="4" w:space="0" w:color="auto"/>
            </w:tcBorders>
            <w:hideMark/>
          </w:tcPr>
          <w:p w:rsidR="0052372D" w:rsidRDefault="0052372D">
            <w:pPr>
              <w:jc w:val="both"/>
              <w:rPr>
                <w:rFonts w:ascii="Times New Roman" w:hAnsi="Times New Roman" w:cs="Times New Roman"/>
                <w:b/>
                <w:sz w:val="24"/>
                <w:szCs w:val="24"/>
              </w:rPr>
            </w:pPr>
            <w:r>
              <w:rPr>
                <w:rFonts w:ascii="Times New Roman" w:hAnsi="Times New Roman" w:cs="Times New Roman"/>
                <w:b/>
                <w:sz w:val="24"/>
                <w:szCs w:val="24"/>
              </w:rPr>
              <w:t>The gluten-free marketplace is growing at a rate of 28% a year</w:t>
            </w:r>
          </w:p>
        </w:tc>
        <w:tc>
          <w:tcPr>
            <w:tcW w:w="1495"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T</w:t>
            </w:r>
          </w:p>
        </w:tc>
        <w:tc>
          <w:tcPr>
            <w:tcW w:w="1448" w:type="dxa"/>
            <w:tcBorders>
              <w:top w:val="single" w:sz="4" w:space="0" w:color="auto"/>
              <w:left w:val="single" w:sz="4" w:space="0" w:color="auto"/>
              <w:bottom w:val="single" w:sz="4" w:space="0" w:color="auto"/>
              <w:right w:val="single" w:sz="4" w:space="0" w:color="auto"/>
            </w:tcBorders>
            <w:hideMark/>
          </w:tcPr>
          <w:p w:rsidR="0052372D" w:rsidRDefault="0052372D">
            <w:pPr>
              <w:jc w:val="center"/>
              <w:rPr>
                <w:rFonts w:ascii="Times New Roman" w:hAnsi="Times New Roman" w:cs="Times New Roman"/>
                <w:b/>
                <w:sz w:val="24"/>
                <w:szCs w:val="24"/>
              </w:rPr>
            </w:pPr>
            <w:r>
              <w:rPr>
                <w:rFonts w:ascii="Times New Roman" w:hAnsi="Times New Roman" w:cs="Times New Roman"/>
                <w:b/>
                <w:sz w:val="24"/>
                <w:szCs w:val="24"/>
              </w:rPr>
              <w:t>F</w:t>
            </w:r>
          </w:p>
        </w:tc>
      </w:tr>
    </w:tbl>
    <w:p w:rsidR="0052372D" w:rsidRDefault="0052372D" w:rsidP="0052372D">
      <w:pPr>
        <w:rPr>
          <w:rFonts w:ascii="Times New Roman" w:hAnsi="Times New Roman" w:cs="Times New Roman"/>
          <w:sz w:val="24"/>
          <w:szCs w:val="24"/>
        </w:rPr>
      </w:pPr>
    </w:p>
    <w:p w:rsidR="0052372D" w:rsidRDefault="0052372D" w:rsidP="0052372D"/>
    <w:p w:rsidR="0052372D" w:rsidRDefault="0052372D" w:rsidP="0052372D"/>
    <w:p w:rsidR="0052372D" w:rsidRDefault="0052372D" w:rsidP="0052372D"/>
    <w:tbl>
      <w:tblPr>
        <w:tblW w:w="881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52372D" w:rsidTr="0052372D">
        <w:trPr>
          <w:trHeight w:val="474"/>
        </w:trPr>
        <w:tc>
          <w:tcPr>
            <w:tcW w:w="8818" w:type="dxa"/>
            <w:tcBorders>
              <w:top w:val="single" w:sz="4" w:space="0" w:color="auto"/>
              <w:left w:val="single" w:sz="4" w:space="0" w:color="auto"/>
              <w:bottom w:val="single" w:sz="4" w:space="0" w:color="auto"/>
              <w:right w:val="single" w:sz="4" w:space="0" w:color="auto"/>
            </w:tcBorders>
          </w:tcPr>
          <w:p w:rsidR="0052372D" w:rsidRDefault="0052372D">
            <w:pPr>
              <w:spacing w:after="0" w:line="240" w:lineRule="auto"/>
              <w:ind w:left="165"/>
              <w:jc w:val="center"/>
              <w:rPr>
                <w:b/>
                <w:u w:val="single"/>
              </w:rPr>
            </w:pPr>
          </w:p>
          <w:p w:rsidR="0052372D" w:rsidRDefault="0052372D">
            <w:pPr>
              <w:spacing w:after="0" w:line="240" w:lineRule="auto"/>
              <w:ind w:left="165"/>
              <w:jc w:val="center"/>
              <w:rPr>
                <w:b/>
                <w:u w:val="single"/>
              </w:rPr>
            </w:pPr>
            <w:r>
              <w:rPr>
                <w:b/>
                <w:u w:val="single"/>
              </w:rPr>
              <w:t>Demographics</w:t>
            </w:r>
          </w:p>
          <w:p w:rsidR="0052372D" w:rsidRDefault="0052372D">
            <w:pPr>
              <w:spacing w:after="0" w:line="240" w:lineRule="auto"/>
              <w:ind w:left="165"/>
              <w:jc w:val="center"/>
              <w:rPr>
                <w:b/>
                <w:u w:val="single"/>
              </w:rPr>
            </w:pPr>
          </w:p>
          <w:p w:rsidR="0052372D" w:rsidRDefault="0052372D">
            <w:pPr>
              <w:spacing w:after="0" w:line="240" w:lineRule="auto"/>
              <w:ind w:left="165"/>
              <w:rPr>
                <w:u w:val="single"/>
              </w:rPr>
            </w:pPr>
            <w:r>
              <w:rPr>
                <w:u w:val="single"/>
              </w:rPr>
              <w:t>How many years employed as an advanced practice nurse or nurse practitioner?</w:t>
            </w:r>
          </w:p>
          <w:p w:rsidR="0052372D" w:rsidRDefault="0052372D">
            <w:pPr>
              <w:spacing w:after="0" w:line="240" w:lineRule="auto"/>
              <w:ind w:left="165"/>
              <w:rPr>
                <w:b/>
              </w:rPr>
            </w:pPr>
            <w:r>
              <w:rPr>
                <w:b/>
              </w:rPr>
              <w:t>Answer Options</w:t>
            </w:r>
            <w:r>
              <w:rPr>
                <w:b/>
              </w:rPr>
              <w:tab/>
            </w:r>
            <w:r>
              <w:rPr>
                <w:b/>
              </w:rPr>
              <w:tab/>
            </w:r>
            <w:r>
              <w:rPr>
                <w:b/>
              </w:rPr>
              <w:tab/>
            </w:r>
            <w:r>
              <w:rPr>
                <w:b/>
              </w:rPr>
              <w:tab/>
            </w:r>
            <w:r>
              <w:rPr>
                <w:b/>
              </w:rPr>
              <w:tab/>
            </w:r>
            <w:r>
              <w:rPr>
                <w:b/>
              </w:rPr>
              <w:tab/>
            </w:r>
            <w:r>
              <w:rPr>
                <w:b/>
              </w:rPr>
              <w:tab/>
            </w:r>
            <w:r>
              <w:rPr>
                <w:b/>
              </w:rPr>
              <w:tab/>
              <w:t>Response</w:t>
            </w:r>
          </w:p>
          <w:p w:rsidR="0052372D" w:rsidRDefault="0052372D">
            <w:pPr>
              <w:spacing w:after="0" w:line="240" w:lineRule="auto"/>
              <w:ind w:left="165"/>
            </w:pPr>
            <w:r>
              <w:t>0-5 years</w:t>
            </w:r>
          </w:p>
        </w:tc>
      </w:tr>
      <w:tr w:rsidR="0052372D" w:rsidTr="0052372D">
        <w:trPr>
          <w:trHeight w:val="91"/>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line="240" w:lineRule="auto"/>
              <w:ind w:left="165"/>
            </w:pPr>
            <w:r>
              <w:t>6-10 years</w:t>
            </w:r>
          </w:p>
        </w:tc>
      </w:tr>
      <w:tr w:rsidR="0052372D" w:rsidTr="0052372D">
        <w:trPr>
          <w:trHeight w:val="109"/>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line="240" w:lineRule="auto"/>
              <w:ind w:left="165"/>
            </w:pPr>
            <w:r>
              <w:t>11-15 years</w:t>
            </w:r>
          </w:p>
        </w:tc>
      </w:tr>
      <w:tr w:rsidR="0052372D" w:rsidTr="0052372D">
        <w:trPr>
          <w:trHeight w:val="96"/>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line="240" w:lineRule="auto"/>
              <w:ind w:left="165"/>
            </w:pPr>
            <w:r>
              <w:t>&gt;15 years</w:t>
            </w:r>
          </w:p>
        </w:tc>
      </w:tr>
      <w:tr w:rsidR="0052372D" w:rsidTr="0052372D">
        <w:trPr>
          <w:trHeight w:val="453"/>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b/>
              </w:rPr>
            </w:pPr>
            <w:r>
              <w:rPr>
                <w:u w:val="single"/>
              </w:rPr>
              <w:t>What is your area of nursing practice?</w:t>
            </w:r>
            <w:r>
              <w:br/>
            </w:r>
            <w:r>
              <w:rPr>
                <w:b/>
              </w:rPr>
              <w:t xml:space="preserve">Answer Options </w:t>
            </w:r>
            <w:r>
              <w:rPr>
                <w:b/>
              </w:rPr>
              <w:tab/>
            </w:r>
            <w:r>
              <w:rPr>
                <w:b/>
              </w:rPr>
              <w:tab/>
            </w:r>
            <w:r>
              <w:rPr>
                <w:b/>
              </w:rPr>
              <w:tab/>
            </w:r>
            <w:r>
              <w:rPr>
                <w:b/>
              </w:rPr>
              <w:tab/>
            </w:r>
            <w:r>
              <w:rPr>
                <w:b/>
              </w:rPr>
              <w:tab/>
            </w:r>
            <w:r>
              <w:rPr>
                <w:b/>
              </w:rPr>
              <w:tab/>
            </w:r>
            <w:r>
              <w:rPr>
                <w:b/>
              </w:rPr>
              <w:tab/>
            </w:r>
            <w:r>
              <w:rPr>
                <w:b/>
              </w:rPr>
              <w:tab/>
              <w:t>Response</w:t>
            </w:r>
          </w:p>
          <w:p w:rsidR="0052372D" w:rsidRDefault="0052372D">
            <w:pPr>
              <w:spacing w:after="0"/>
              <w:ind w:left="165"/>
            </w:pPr>
            <w:r>
              <w:t>Primary Care</w:t>
            </w:r>
          </w:p>
        </w:tc>
      </w:tr>
      <w:tr w:rsidR="0052372D" w:rsidTr="0052372D">
        <w:trPr>
          <w:trHeight w:val="102"/>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pPr>
            <w:r>
              <w:t>Pediatric</w:t>
            </w:r>
          </w:p>
        </w:tc>
      </w:tr>
      <w:tr w:rsidR="0052372D" w:rsidTr="0052372D">
        <w:trPr>
          <w:trHeight w:val="168"/>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pPr>
            <w:r>
              <w:t>Other</w:t>
            </w:r>
          </w:p>
        </w:tc>
      </w:tr>
      <w:tr w:rsidR="0052372D" w:rsidTr="0052372D">
        <w:trPr>
          <w:trHeight w:val="448"/>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u w:val="single"/>
              </w:rPr>
            </w:pPr>
            <w:r>
              <w:rPr>
                <w:u w:val="single"/>
              </w:rPr>
              <w:t>What is your level of education?</w:t>
            </w:r>
          </w:p>
          <w:p w:rsidR="0052372D" w:rsidRDefault="0052372D">
            <w:pPr>
              <w:spacing w:after="0"/>
              <w:ind w:left="165"/>
              <w:rPr>
                <w:b/>
              </w:rPr>
            </w:pPr>
            <w:r>
              <w:rPr>
                <w:b/>
              </w:rPr>
              <w:t>Answer Options</w:t>
            </w:r>
            <w:r>
              <w:t xml:space="preserve">                                                                                                                </w:t>
            </w:r>
            <w:r>
              <w:rPr>
                <w:b/>
              </w:rPr>
              <w:t>Response</w:t>
            </w:r>
          </w:p>
          <w:p w:rsidR="0052372D" w:rsidRDefault="0052372D">
            <w:pPr>
              <w:spacing w:after="0"/>
              <w:ind w:left="165"/>
            </w:pPr>
            <w:r>
              <w:t>Masters in Nursing</w:t>
            </w:r>
            <w:r w:rsidR="0017505E">
              <w:t xml:space="preserve"> </w:t>
            </w:r>
          </w:p>
        </w:tc>
      </w:tr>
      <w:tr w:rsidR="0052372D" w:rsidTr="0017505E">
        <w:trPr>
          <w:trHeight w:val="210"/>
        </w:trPr>
        <w:tc>
          <w:tcPr>
            <w:tcW w:w="8818" w:type="dxa"/>
            <w:tcBorders>
              <w:top w:val="single" w:sz="4" w:space="0" w:color="auto"/>
              <w:left w:val="single" w:sz="4" w:space="0" w:color="auto"/>
              <w:bottom w:val="single" w:sz="4" w:space="0" w:color="auto"/>
              <w:right w:val="single" w:sz="4" w:space="0" w:color="auto"/>
            </w:tcBorders>
            <w:hideMark/>
          </w:tcPr>
          <w:p w:rsidR="0017505E" w:rsidRDefault="0017505E" w:rsidP="0017505E">
            <w:pPr>
              <w:spacing w:after="0"/>
              <w:ind w:left="165"/>
              <w:rPr>
                <w:b/>
              </w:rPr>
            </w:pPr>
            <w:r>
              <w:t>PhD</w:t>
            </w:r>
          </w:p>
        </w:tc>
      </w:tr>
      <w:tr w:rsidR="0017505E" w:rsidTr="0017505E">
        <w:trPr>
          <w:trHeight w:val="345"/>
        </w:trPr>
        <w:tc>
          <w:tcPr>
            <w:tcW w:w="8818" w:type="dxa"/>
            <w:tcBorders>
              <w:top w:val="single" w:sz="4" w:space="0" w:color="auto"/>
              <w:left w:val="single" w:sz="4" w:space="0" w:color="auto"/>
              <w:bottom w:val="single" w:sz="4" w:space="0" w:color="auto"/>
              <w:right w:val="single" w:sz="4" w:space="0" w:color="auto"/>
            </w:tcBorders>
          </w:tcPr>
          <w:p w:rsidR="0017505E" w:rsidRDefault="0017505E" w:rsidP="0017505E">
            <w:pPr>
              <w:spacing w:after="0"/>
              <w:ind w:left="165"/>
            </w:pPr>
            <w:r>
              <w:t>DNP</w:t>
            </w:r>
          </w:p>
        </w:tc>
      </w:tr>
      <w:tr w:rsidR="0017505E" w:rsidTr="000A15B1">
        <w:trPr>
          <w:trHeight w:val="795"/>
        </w:trPr>
        <w:tc>
          <w:tcPr>
            <w:tcW w:w="8818" w:type="dxa"/>
            <w:tcBorders>
              <w:top w:val="single" w:sz="4" w:space="0" w:color="auto"/>
              <w:left w:val="single" w:sz="4" w:space="0" w:color="auto"/>
              <w:bottom w:val="single" w:sz="4" w:space="0" w:color="auto"/>
              <w:right w:val="single" w:sz="4" w:space="0" w:color="auto"/>
            </w:tcBorders>
          </w:tcPr>
          <w:p w:rsidR="0017505E" w:rsidRDefault="0017505E">
            <w:pPr>
              <w:spacing w:after="0"/>
              <w:ind w:left="165"/>
              <w:rPr>
                <w:u w:val="single"/>
              </w:rPr>
            </w:pPr>
            <w:r>
              <w:rPr>
                <w:u w:val="single"/>
              </w:rPr>
              <w:t>Have you received any prior training on assessing patients with celiac disease?</w:t>
            </w:r>
          </w:p>
          <w:p w:rsidR="0017505E" w:rsidRDefault="0017505E">
            <w:pPr>
              <w:spacing w:after="0"/>
              <w:ind w:left="165"/>
              <w:rPr>
                <w:b/>
              </w:rPr>
            </w:pPr>
            <w:r>
              <w:rPr>
                <w:b/>
              </w:rPr>
              <w:t>Answer Options</w:t>
            </w:r>
            <w:r>
              <w:rPr>
                <w:b/>
              </w:rPr>
              <w:tab/>
            </w:r>
            <w:r>
              <w:rPr>
                <w:b/>
              </w:rPr>
              <w:tab/>
            </w:r>
            <w:r>
              <w:rPr>
                <w:b/>
              </w:rPr>
              <w:tab/>
            </w:r>
            <w:r>
              <w:rPr>
                <w:b/>
              </w:rPr>
              <w:tab/>
            </w:r>
            <w:r>
              <w:rPr>
                <w:b/>
              </w:rPr>
              <w:tab/>
            </w:r>
            <w:r>
              <w:rPr>
                <w:b/>
              </w:rPr>
              <w:tab/>
            </w:r>
            <w:r>
              <w:rPr>
                <w:b/>
              </w:rPr>
              <w:tab/>
            </w:r>
            <w:r>
              <w:rPr>
                <w:b/>
              </w:rPr>
              <w:tab/>
              <w:t>Response</w:t>
            </w:r>
          </w:p>
          <w:p w:rsidR="0017505E" w:rsidRDefault="0017505E" w:rsidP="0017505E">
            <w:pPr>
              <w:spacing w:after="0"/>
              <w:ind w:left="165"/>
            </w:pPr>
            <w:r>
              <w:t>Yes</w:t>
            </w:r>
          </w:p>
        </w:tc>
      </w:tr>
      <w:tr w:rsidR="0052372D" w:rsidTr="000A15B1">
        <w:trPr>
          <w:trHeight w:val="89"/>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pPr>
            <w:r>
              <w:t>No</w:t>
            </w:r>
          </w:p>
        </w:tc>
      </w:tr>
      <w:tr w:rsidR="0052372D" w:rsidTr="0052372D">
        <w:trPr>
          <w:trHeight w:val="493"/>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u w:val="single"/>
              </w:rPr>
            </w:pPr>
            <w:r>
              <w:rPr>
                <w:u w:val="single"/>
              </w:rPr>
              <w:t>Have you received any prior training on diagnosing patients with celiac disease?</w:t>
            </w:r>
          </w:p>
          <w:p w:rsidR="0052372D" w:rsidRDefault="0052372D">
            <w:pPr>
              <w:spacing w:after="0"/>
              <w:ind w:left="165"/>
              <w:rPr>
                <w:b/>
              </w:rPr>
            </w:pPr>
            <w:r>
              <w:rPr>
                <w:b/>
              </w:rPr>
              <w:t>Answer Options</w:t>
            </w:r>
            <w:r>
              <w:rPr>
                <w:b/>
              </w:rPr>
              <w:tab/>
            </w:r>
            <w:r>
              <w:rPr>
                <w:b/>
              </w:rPr>
              <w:tab/>
            </w:r>
            <w:r>
              <w:rPr>
                <w:b/>
              </w:rPr>
              <w:tab/>
            </w:r>
            <w:r>
              <w:rPr>
                <w:b/>
              </w:rPr>
              <w:tab/>
            </w:r>
            <w:r>
              <w:rPr>
                <w:b/>
              </w:rPr>
              <w:tab/>
            </w:r>
            <w:r>
              <w:rPr>
                <w:b/>
              </w:rPr>
              <w:tab/>
            </w:r>
            <w:r>
              <w:rPr>
                <w:b/>
              </w:rPr>
              <w:tab/>
            </w:r>
            <w:r>
              <w:rPr>
                <w:b/>
              </w:rPr>
              <w:tab/>
              <w:t>Response</w:t>
            </w:r>
          </w:p>
          <w:p w:rsidR="0052372D" w:rsidRDefault="0052372D">
            <w:pPr>
              <w:spacing w:after="0"/>
              <w:ind w:left="165"/>
            </w:pPr>
            <w:r>
              <w:t>Yes</w:t>
            </w:r>
          </w:p>
        </w:tc>
      </w:tr>
      <w:tr w:rsidR="0052372D" w:rsidTr="0052372D">
        <w:trPr>
          <w:trHeight w:val="96"/>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pPr>
            <w:r>
              <w:t>No</w:t>
            </w:r>
          </w:p>
        </w:tc>
      </w:tr>
      <w:tr w:rsidR="0052372D" w:rsidTr="0052372D">
        <w:trPr>
          <w:trHeight w:val="487"/>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b/>
              </w:rPr>
            </w:pPr>
            <w:r>
              <w:rPr>
                <w:u w:val="single"/>
              </w:rPr>
              <w:t>Have you received any prior training on treating patients with celiac disease?</w:t>
            </w:r>
            <w:r>
              <w:rPr>
                <w:u w:val="single"/>
              </w:rPr>
              <w:br/>
            </w:r>
            <w:r>
              <w:rPr>
                <w:b/>
              </w:rPr>
              <w:t>Answer Options</w:t>
            </w:r>
            <w:r>
              <w:rPr>
                <w:b/>
              </w:rPr>
              <w:tab/>
            </w:r>
            <w:r>
              <w:rPr>
                <w:b/>
              </w:rPr>
              <w:tab/>
            </w:r>
            <w:r>
              <w:rPr>
                <w:b/>
              </w:rPr>
              <w:tab/>
            </w:r>
            <w:r>
              <w:rPr>
                <w:b/>
              </w:rPr>
              <w:tab/>
            </w:r>
            <w:r>
              <w:rPr>
                <w:b/>
              </w:rPr>
              <w:tab/>
            </w:r>
            <w:r>
              <w:rPr>
                <w:b/>
              </w:rPr>
              <w:tab/>
            </w:r>
            <w:r>
              <w:rPr>
                <w:b/>
              </w:rPr>
              <w:tab/>
            </w:r>
            <w:r>
              <w:rPr>
                <w:b/>
              </w:rPr>
              <w:tab/>
              <w:t>Response</w:t>
            </w:r>
          </w:p>
          <w:p w:rsidR="0052372D" w:rsidRDefault="0052372D">
            <w:pPr>
              <w:spacing w:after="0"/>
              <w:ind w:left="165"/>
            </w:pPr>
            <w:r>
              <w:t>Yes</w:t>
            </w:r>
          </w:p>
        </w:tc>
      </w:tr>
      <w:tr w:rsidR="0052372D" w:rsidTr="0052372D">
        <w:trPr>
          <w:trHeight w:val="130"/>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pPr>
            <w:r>
              <w:t>No</w:t>
            </w:r>
          </w:p>
        </w:tc>
      </w:tr>
      <w:tr w:rsidR="0052372D" w:rsidTr="0052372D">
        <w:trPr>
          <w:trHeight w:val="436"/>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b/>
              </w:rPr>
            </w:pPr>
            <w:r>
              <w:rPr>
                <w:u w:val="single"/>
              </w:rPr>
              <w:t>Have you completed any continuing education on gluten-free diets?</w:t>
            </w:r>
            <w:r>
              <w:rPr>
                <w:u w:val="single"/>
              </w:rPr>
              <w:br/>
            </w:r>
            <w:r>
              <w:rPr>
                <w:b/>
              </w:rPr>
              <w:t>Answer Options</w:t>
            </w:r>
            <w:r>
              <w:rPr>
                <w:b/>
              </w:rPr>
              <w:tab/>
            </w:r>
            <w:r>
              <w:rPr>
                <w:b/>
              </w:rPr>
              <w:tab/>
            </w:r>
            <w:r>
              <w:rPr>
                <w:b/>
              </w:rPr>
              <w:tab/>
            </w:r>
            <w:r>
              <w:rPr>
                <w:b/>
              </w:rPr>
              <w:tab/>
            </w:r>
            <w:r>
              <w:rPr>
                <w:b/>
              </w:rPr>
              <w:tab/>
            </w:r>
            <w:r>
              <w:rPr>
                <w:b/>
              </w:rPr>
              <w:tab/>
            </w:r>
            <w:r>
              <w:rPr>
                <w:b/>
              </w:rPr>
              <w:tab/>
            </w:r>
            <w:r>
              <w:rPr>
                <w:b/>
              </w:rPr>
              <w:tab/>
              <w:t>Response</w:t>
            </w:r>
          </w:p>
          <w:p w:rsidR="0052372D" w:rsidRDefault="0052372D">
            <w:pPr>
              <w:spacing w:after="0"/>
              <w:ind w:left="165"/>
            </w:pPr>
            <w:r>
              <w:t>Yes</w:t>
            </w:r>
          </w:p>
        </w:tc>
      </w:tr>
      <w:tr w:rsidR="0052372D" w:rsidTr="0052372D">
        <w:trPr>
          <w:trHeight w:val="89"/>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u w:val="single"/>
              </w:rPr>
            </w:pPr>
            <w:r>
              <w:t>No</w:t>
            </w:r>
          </w:p>
        </w:tc>
      </w:tr>
      <w:tr w:rsidR="0052372D" w:rsidTr="0052372D">
        <w:trPr>
          <w:trHeight w:val="493"/>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rPr>
                <w:u w:val="single"/>
              </w:rPr>
            </w:pPr>
            <w:r>
              <w:rPr>
                <w:u w:val="single"/>
              </w:rPr>
              <w:t>Do you have a family member or friend with celiac disease?</w:t>
            </w:r>
          </w:p>
          <w:p w:rsidR="0052372D" w:rsidRDefault="0052372D">
            <w:pPr>
              <w:spacing w:after="0"/>
              <w:ind w:left="165"/>
              <w:rPr>
                <w:b/>
              </w:rPr>
            </w:pPr>
            <w:r>
              <w:rPr>
                <w:b/>
              </w:rPr>
              <w:t>Answer Options</w:t>
            </w:r>
            <w:r>
              <w:rPr>
                <w:b/>
              </w:rPr>
              <w:tab/>
            </w:r>
            <w:r>
              <w:rPr>
                <w:b/>
              </w:rPr>
              <w:tab/>
            </w:r>
            <w:r>
              <w:rPr>
                <w:b/>
              </w:rPr>
              <w:tab/>
            </w:r>
            <w:r>
              <w:rPr>
                <w:b/>
              </w:rPr>
              <w:tab/>
            </w:r>
            <w:r>
              <w:rPr>
                <w:b/>
              </w:rPr>
              <w:tab/>
            </w:r>
            <w:r>
              <w:rPr>
                <w:b/>
              </w:rPr>
              <w:tab/>
            </w:r>
            <w:r>
              <w:rPr>
                <w:b/>
              </w:rPr>
              <w:tab/>
            </w:r>
            <w:r>
              <w:rPr>
                <w:b/>
              </w:rPr>
              <w:tab/>
              <w:t>Response</w:t>
            </w:r>
          </w:p>
          <w:p w:rsidR="0052372D" w:rsidRDefault="0052372D">
            <w:pPr>
              <w:spacing w:after="0"/>
              <w:ind w:left="165"/>
            </w:pPr>
            <w:r>
              <w:t>Yes</w:t>
            </w:r>
          </w:p>
        </w:tc>
      </w:tr>
      <w:tr w:rsidR="0052372D" w:rsidTr="0052372D">
        <w:trPr>
          <w:trHeight w:val="130"/>
        </w:trPr>
        <w:tc>
          <w:tcPr>
            <w:tcW w:w="8818" w:type="dxa"/>
            <w:tcBorders>
              <w:top w:val="single" w:sz="4" w:space="0" w:color="auto"/>
              <w:left w:val="single" w:sz="4" w:space="0" w:color="auto"/>
              <w:bottom w:val="single" w:sz="4" w:space="0" w:color="auto"/>
              <w:right w:val="single" w:sz="4" w:space="0" w:color="auto"/>
            </w:tcBorders>
            <w:hideMark/>
          </w:tcPr>
          <w:p w:rsidR="0052372D" w:rsidRDefault="0052372D">
            <w:pPr>
              <w:spacing w:after="0"/>
              <w:ind w:left="165"/>
            </w:pPr>
            <w:r>
              <w:t>No</w:t>
            </w:r>
          </w:p>
        </w:tc>
      </w:tr>
      <w:tr w:rsidR="0052372D" w:rsidTr="0052372D">
        <w:trPr>
          <w:trHeight w:val="542"/>
        </w:trPr>
        <w:tc>
          <w:tcPr>
            <w:tcW w:w="8818" w:type="dxa"/>
            <w:tcBorders>
              <w:top w:val="single" w:sz="4" w:space="0" w:color="auto"/>
              <w:left w:val="single" w:sz="4" w:space="0" w:color="auto"/>
              <w:bottom w:val="single" w:sz="4" w:space="0" w:color="auto"/>
              <w:right w:val="single" w:sz="4" w:space="0" w:color="auto"/>
            </w:tcBorders>
          </w:tcPr>
          <w:p w:rsidR="0052372D" w:rsidRDefault="0052372D">
            <w:pPr>
              <w:spacing w:after="0" w:line="240" w:lineRule="auto"/>
              <w:ind w:left="165"/>
            </w:pPr>
          </w:p>
        </w:tc>
      </w:tr>
    </w:tbl>
    <w:p w:rsidR="0052372D" w:rsidRDefault="0052372D" w:rsidP="0052372D">
      <w:pPr>
        <w:spacing w:after="0"/>
        <w:rPr>
          <w:rFonts w:ascii="Times New Roman" w:hAnsi="Times New Roman" w:cs="Times New Roman"/>
          <w:b/>
        </w:rPr>
      </w:pPr>
    </w:p>
    <w:p w:rsidR="0052372D" w:rsidRDefault="0052372D" w:rsidP="0052372D">
      <w:pPr>
        <w:spacing w:line="480" w:lineRule="auto"/>
        <w:rPr>
          <w:rFonts w:ascii="Times New Roman" w:hAnsi="Times New Roman" w:cs="Times New Roman"/>
          <w:b/>
          <w:sz w:val="24"/>
          <w:szCs w:val="24"/>
        </w:rPr>
      </w:pPr>
    </w:p>
    <w:p w:rsidR="00A43077" w:rsidRDefault="00AF05F5"/>
    <w:sectPr w:rsidR="00A43077" w:rsidSect="00AA1D3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2D"/>
    <w:rsid w:val="000A15B1"/>
    <w:rsid w:val="0017505E"/>
    <w:rsid w:val="00293BC3"/>
    <w:rsid w:val="00360F5C"/>
    <w:rsid w:val="004E106E"/>
    <w:rsid w:val="0052372D"/>
    <w:rsid w:val="006E59C4"/>
    <w:rsid w:val="0075769C"/>
    <w:rsid w:val="009A2A91"/>
    <w:rsid w:val="00A10D55"/>
    <w:rsid w:val="00A16B10"/>
    <w:rsid w:val="00AA1D3F"/>
    <w:rsid w:val="00AF05F5"/>
    <w:rsid w:val="00C52113"/>
    <w:rsid w:val="00CE422A"/>
    <w:rsid w:val="00D00653"/>
    <w:rsid w:val="00D64896"/>
    <w:rsid w:val="00FB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89B0-81BE-4FBD-AB9E-6F15E007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2D"/>
    <w:pPr>
      <w:spacing w:line="254"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6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F940-4F04-412D-9C4D-15F3E743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James Lawrence</cp:lastModifiedBy>
  <cp:revision>2</cp:revision>
  <dcterms:created xsi:type="dcterms:W3CDTF">2015-08-07T04:52:00Z</dcterms:created>
  <dcterms:modified xsi:type="dcterms:W3CDTF">2015-08-07T04:52:00Z</dcterms:modified>
</cp:coreProperties>
</file>