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9DEBC3" w14:textId="77777777" w:rsidR="009C30AF" w:rsidRDefault="00000000">
      <w:pPr>
        <w:spacing w:after="40"/>
        <w:jc w:val="center"/>
      </w:pP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Minnesota Nurse Practitioners (MNNP)</w:t>
      </w:r>
    </w:p>
    <w:p w14:paraId="3F6A659E" w14:textId="77777777" w:rsidR="009C30AF" w:rsidRDefault="00000000">
      <w:pPr>
        <w:pBdr>
          <w:bottom w:val="single" w:sz="8" w:space="6" w:color="1F3864"/>
        </w:pBdr>
        <w:spacing w:after="120"/>
        <w:jc w:val="center"/>
      </w:pPr>
      <w:r>
        <w:rPr>
          <w:rFonts w:ascii="Calibri" w:eastAsia="Calibri" w:hAnsi="Calibri" w:cs="Calibri"/>
          <w:sz w:val="26"/>
          <w:szCs w:val="26"/>
        </w:rPr>
        <w:t>Transition to Practice for Nurse Practitioners: Selected References</w:t>
      </w:r>
    </w:p>
    <w:p w14:paraId="6FC926B4" w14:textId="77777777" w:rsidR="009C30AF" w:rsidRDefault="00000000">
      <w:pPr>
        <w:spacing w:after="120"/>
        <w:jc w:val="center"/>
      </w:pPr>
      <w:r>
        <w:rPr>
          <w:rFonts w:ascii="Calibri" w:eastAsia="Calibri" w:hAnsi="Calibri" w:cs="Calibri"/>
          <w:i/>
          <w:iCs/>
        </w:rPr>
        <w:t>Keys to a Successful Transition into Advanced Practice Nursing  |  February 18, 2027</w:t>
      </w:r>
    </w:p>
    <w:p w14:paraId="12DEAC19" w14:textId="77777777" w:rsidR="009C30AF" w:rsidRDefault="00000000">
      <w:pPr>
        <w:spacing w:before="260" w:after="120"/>
        <w:rPr>
          <w:rFonts w:ascii="Calibri" w:eastAsia="Calibri" w:hAnsi="Calibri" w:cs="Calibri"/>
          <w:b/>
          <w:bCs/>
          <w:color w:val="1F3864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NP and APP Transition-to-Practice Articles</w:t>
      </w:r>
    </w:p>
    <w:p w14:paraId="05201CBE" w14:textId="77777777" w:rsidR="00E03624" w:rsidRDefault="00E03624">
      <w:pPr>
        <w:spacing w:before="260" w:after="120"/>
      </w:pPr>
    </w:p>
    <w:p w14:paraId="037CF35B" w14:textId="77777777" w:rsidR="009C30AF" w:rsidRDefault="00000000">
      <w:pPr>
        <w:spacing w:after="160"/>
        <w:ind w:left="720" w:hanging="720"/>
      </w:pPr>
      <w:r>
        <w:rPr>
          <w:rFonts w:ascii="Calibri" w:eastAsia="Calibri" w:hAnsi="Calibri" w:cs="Calibri"/>
          <w:sz w:val="22"/>
          <w:szCs w:val="22"/>
        </w:rPr>
        <w:t xml:space="preserve">Morgan, P., Barnes, H., Batchelder, H. R., Tuttle, B., Covelli, A. F., Everett, C., Jackson, G. L., Anglin, L., Ortiz Pate, N., Dieter, P., &amp; Bludorn, J. (2023). Nurse practitioner and physician assistant transition to practice: A scoping review of fellowships and onboarding programs. </w:t>
      </w:r>
      <w:r>
        <w:rPr>
          <w:rFonts w:ascii="Calibri" w:eastAsia="Calibri" w:hAnsi="Calibri" w:cs="Calibri"/>
          <w:i/>
          <w:iCs/>
          <w:sz w:val="22"/>
          <w:szCs w:val="22"/>
        </w:rPr>
        <w:t>Journal of the American Association of Nurse Practitioners, 35</w:t>
      </w:r>
      <w:r>
        <w:rPr>
          <w:rFonts w:ascii="Calibri" w:eastAsia="Calibri" w:hAnsi="Calibri" w:cs="Calibri"/>
          <w:sz w:val="22"/>
          <w:szCs w:val="22"/>
        </w:rPr>
        <w:t xml:space="preserve">(12), 776–783. </w:t>
      </w:r>
      <w:hyperlink r:id="rId5" w:history="1">
        <w:r>
          <w:rPr>
            <w:rStyle w:val="Hyperlink"/>
            <w:rFonts w:ascii="Calibri" w:eastAsia="Calibri" w:hAnsi="Calibri" w:cs="Calibri"/>
            <w:sz w:val="22"/>
            <w:szCs w:val="22"/>
          </w:rPr>
          <w:t>https://doi.org/10.1097/JXX.0000000000000932</w:t>
        </w:r>
      </w:hyperlink>
    </w:p>
    <w:p w14:paraId="2856E728" w14:textId="77777777" w:rsidR="009C30AF" w:rsidRDefault="00000000">
      <w:pPr>
        <w:spacing w:after="160"/>
        <w:ind w:left="720" w:hanging="720"/>
      </w:pPr>
      <w:r>
        <w:rPr>
          <w:rFonts w:ascii="Calibri" w:eastAsia="Calibri" w:hAnsi="Calibri" w:cs="Calibri"/>
          <w:sz w:val="22"/>
          <w:szCs w:val="22"/>
        </w:rPr>
        <w:t xml:space="preserve">Ortiz Pate, N., Barnes, H., Batchelder, H., Anglin, L., Sanchez, M., Everett, C., &amp; Morgan, P. (2023). Physician assistant and nurse practitioner onboarding in primary care: The participant perspective. </w:t>
      </w:r>
      <w:r>
        <w:rPr>
          <w:rFonts w:ascii="Calibri" w:eastAsia="Calibri" w:hAnsi="Calibri" w:cs="Calibri"/>
          <w:i/>
          <w:iCs/>
          <w:sz w:val="22"/>
          <w:szCs w:val="22"/>
        </w:rPr>
        <w:t>Journal of the American Association of Nurse Practitioners, 35</w:t>
      </w:r>
      <w:r>
        <w:rPr>
          <w:rFonts w:ascii="Calibri" w:eastAsia="Calibri" w:hAnsi="Calibri" w:cs="Calibri"/>
          <w:sz w:val="22"/>
          <w:szCs w:val="22"/>
        </w:rPr>
        <w:t xml:space="preserve">(2), 122–129. </w:t>
      </w:r>
      <w:hyperlink r:id="rId6" w:history="1">
        <w:r>
          <w:rPr>
            <w:rStyle w:val="Hyperlink"/>
            <w:rFonts w:ascii="Calibri" w:eastAsia="Calibri" w:hAnsi="Calibri" w:cs="Calibri"/>
            <w:sz w:val="22"/>
            <w:szCs w:val="22"/>
          </w:rPr>
          <w:t>https://doi.org/10.1097/JXX.0000000000000823</w:t>
        </w:r>
      </w:hyperlink>
      <w:r>
        <w:rPr>
          <w:rFonts w:ascii="Calibri" w:eastAsia="Calibri" w:hAnsi="Calibri" w:cs="Calibri"/>
          <w:sz w:val="22"/>
          <w:szCs w:val="22"/>
        </w:rPr>
        <w:t xml:space="preserve"> PMID: </w:t>
      </w:r>
      <w:hyperlink r:id="rId7" w:history="1">
        <w:r>
          <w:rPr>
            <w:rStyle w:val="Hyperlink"/>
            <w:rFonts w:ascii="Calibri" w:eastAsia="Calibri" w:hAnsi="Calibri" w:cs="Calibri"/>
            <w:sz w:val="22"/>
            <w:szCs w:val="22"/>
          </w:rPr>
          <w:t>36763465</w:t>
        </w:r>
      </w:hyperlink>
    </w:p>
    <w:p w14:paraId="28EEA972" w14:textId="77777777" w:rsidR="009C30AF" w:rsidRDefault="00000000">
      <w:pPr>
        <w:spacing w:after="160"/>
        <w:ind w:left="720" w:hanging="720"/>
      </w:pPr>
      <w:r>
        <w:rPr>
          <w:rFonts w:ascii="Calibri" w:eastAsia="Calibri" w:hAnsi="Calibri" w:cs="Calibri"/>
          <w:sz w:val="22"/>
          <w:szCs w:val="22"/>
        </w:rPr>
        <w:t xml:space="preserve">Faraz, A. (2016). Novice nurse practitioner workforce transition into primary care: A literature review. </w:t>
      </w:r>
      <w:r>
        <w:rPr>
          <w:rFonts w:ascii="Calibri" w:eastAsia="Calibri" w:hAnsi="Calibri" w:cs="Calibri"/>
          <w:i/>
          <w:iCs/>
          <w:sz w:val="22"/>
          <w:szCs w:val="22"/>
        </w:rPr>
        <w:t>Western Journal of Nursing Research, 38</w:t>
      </w:r>
      <w:r>
        <w:rPr>
          <w:rFonts w:ascii="Calibri" w:eastAsia="Calibri" w:hAnsi="Calibri" w:cs="Calibri"/>
          <w:sz w:val="22"/>
          <w:szCs w:val="22"/>
        </w:rPr>
        <w:t xml:space="preserve">(11), 1531–1545. </w:t>
      </w:r>
      <w:hyperlink r:id="rId8" w:history="1">
        <w:r>
          <w:rPr>
            <w:rStyle w:val="Hyperlink"/>
            <w:rFonts w:ascii="Calibri" w:eastAsia="Calibri" w:hAnsi="Calibri" w:cs="Calibri"/>
            <w:sz w:val="22"/>
            <w:szCs w:val="22"/>
          </w:rPr>
          <w:t>https://doi.org/10.1177/0193945916649587</w:t>
        </w:r>
      </w:hyperlink>
    </w:p>
    <w:p w14:paraId="66E751EE" w14:textId="3EE3C0D4" w:rsidR="009C30AF" w:rsidRDefault="00000000">
      <w:pPr>
        <w:spacing w:after="160"/>
        <w:ind w:left="720" w:hanging="720"/>
      </w:pPr>
      <w:r>
        <w:rPr>
          <w:rFonts w:ascii="Calibri" w:eastAsia="Calibri" w:hAnsi="Calibri" w:cs="Calibri"/>
          <w:sz w:val="22"/>
          <w:szCs w:val="22"/>
        </w:rPr>
        <w:t xml:space="preserve">Twine, N. (2017). The first year as a nurse practitioner: An integrative literature review of the transition experience. </w:t>
      </w:r>
      <w:r>
        <w:rPr>
          <w:rFonts w:ascii="Calibri" w:eastAsia="Calibri" w:hAnsi="Calibri" w:cs="Calibri"/>
          <w:i/>
          <w:iCs/>
          <w:sz w:val="22"/>
          <w:szCs w:val="22"/>
        </w:rPr>
        <w:t>Journal of Nursing Education and Practice, 8</w:t>
      </w:r>
      <w:r>
        <w:rPr>
          <w:rFonts w:ascii="Calibri" w:eastAsia="Calibri" w:hAnsi="Calibri" w:cs="Calibri"/>
          <w:sz w:val="22"/>
          <w:szCs w:val="22"/>
        </w:rPr>
        <w:t>(5), 54</w:t>
      </w:r>
      <w:r w:rsidR="00E03624">
        <w:rPr>
          <w:rFonts w:ascii="Calibri" w:eastAsia="Calibri" w:hAnsi="Calibri" w:cs="Calibri"/>
          <w:sz w:val="22"/>
          <w:szCs w:val="22"/>
        </w:rPr>
        <w:t>-62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hyperlink r:id="rId9" w:history="1">
        <w:r>
          <w:rPr>
            <w:rStyle w:val="Hyperlink"/>
            <w:rFonts w:ascii="Calibri" w:eastAsia="Calibri" w:hAnsi="Calibri" w:cs="Calibri"/>
            <w:sz w:val="22"/>
            <w:szCs w:val="22"/>
          </w:rPr>
          <w:t>https://doi.org/10.5430/jnep.v8n5p54</w:t>
        </w:r>
      </w:hyperlink>
    </w:p>
    <w:p w14:paraId="533EF74B" w14:textId="77777777" w:rsidR="009C30AF" w:rsidRDefault="00000000">
      <w:pPr>
        <w:spacing w:before="260" w:after="12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Related Reading: Nursing Transition-to-Practice Programs</w:t>
      </w:r>
    </w:p>
    <w:p w14:paraId="31A1DE4D" w14:textId="58DF1E03" w:rsidR="009C30AF" w:rsidRDefault="00000000">
      <w:pPr>
        <w:spacing w:after="160"/>
        <w:ind w:left="720" w:hanging="720"/>
      </w:pPr>
      <w:r>
        <w:rPr>
          <w:rFonts w:ascii="Calibri" w:eastAsia="Calibri" w:hAnsi="Calibri" w:cs="Calibri"/>
          <w:sz w:val="22"/>
          <w:szCs w:val="22"/>
        </w:rPr>
        <w:t xml:space="preserve">Kenny, A., Dickson-Swift, V., McKenna, L., Charette, M., Rush, K. L., Stacey, G., Darvill, A., Leigh, J., Burton, R., &amp; Phillips, C. (2021). Interventions to support graduate nurse transition to practice and associated outcomes: A systematic review. </w:t>
      </w:r>
      <w:r>
        <w:rPr>
          <w:rFonts w:ascii="Calibri" w:eastAsia="Calibri" w:hAnsi="Calibri" w:cs="Calibri"/>
          <w:i/>
          <w:iCs/>
          <w:sz w:val="22"/>
          <w:szCs w:val="22"/>
        </w:rPr>
        <w:t>Nurse Education Today, 100</w:t>
      </w:r>
      <w:r>
        <w:rPr>
          <w:rFonts w:ascii="Calibri" w:eastAsia="Calibri" w:hAnsi="Calibri" w:cs="Calibri"/>
          <w:sz w:val="22"/>
          <w:szCs w:val="22"/>
        </w:rPr>
        <w:t>, 104860.</w:t>
      </w:r>
      <w:r w:rsidR="00E03624">
        <w:rPr>
          <w:rFonts w:ascii="Calibri" w:eastAsia="Calibri" w:hAnsi="Calibri" w:cs="Calibri"/>
          <w:sz w:val="22"/>
          <w:szCs w:val="22"/>
        </w:rPr>
        <w:t xml:space="preserve"> </w:t>
      </w:r>
      <w:hyperlink r:id="rId10" w:history="1">
        <w:r w:rsidR="00E03624" w:rsidRPr="00E03624">
          <w:rPr>
            <w:rStyle w:val="Hyperlink"/>
            <w:rFonts w:ascii="Segoe UI" w:hAnsi="Segoe UI" w:cs="Segoe UI"/>
            <w:shd w:val="clear" w:color="auto" w:fill="FFFFFF"/>
          </w:rPr>
          <w:t>https://doi.org/10.1016/j.nedt.2021.104860</w:t>
        </w:r>
      </w:hyperlink>
    </w:p>
    <w:p w14:paraId="3782F7DB" w14:textId="77777777" w:rsidR="00E03624" w:rsidRDefault="00E03624" w:rsidP="00E03624">
      <w:pPr>
        <w:spacing w:after="160"/>
        <w:ind w:left="720" w:hanging="720"/>
      </w:pPr>
      <w:r>
        <w:rPr>
          <w:rFonts w:ascii="Calibri" w:eastAsia="Calibri" w:hAnsi="Calibri" w:cs="Calibri"/>
          <w:sz w:val="22"/>
          <w:szCs w:val="22"/>
        </w:rPr>
        <w:t xml:space="preserve">Melissant, H. C., Hendriks, R. R. A., Bakker, E. J. M., Kox, J. H. A. M., Rietveld, N., Miedema, H. S., Roelofs, P. D. D. M., &amp; Verhaegh, K. J. (2024). Interventions that support novice nurses’ transition into practice: A realist review. </w:t>
      </w:r>
      <w:r>
        <w:rPr>
          <w:rFonts w:ascii="Calibri" w:eastAsia="Calibri" w:hAnsi="Calibri" w:cs="Calibri"/>
          <w:i/>
          <w:iCs/>
          <w:sz w:val="22"/>
          <w:szCs w:val="22"/>
        </w:rPr>
        <w:t>International Journal of Nursing Studies, 157</w:t>
      </w:r>
      <w:r>
        <w:rPr>
          <w:rFonts w:ascii="Calibri" w:eastAsia="Calibri" w:hAnsi="Calibri" w:cs="Calibri"/>
          <w:sz w:val="22"/>
          <w:szCs w:val="22"/>
        </w:rPr>
        <w:t xml:space="preserve">, 104785. </w:t>
      </w:r>
      <w:hyperlink r:id="rId11" w:history="1">
        <w:r>
          <w:rPr>
            <w:rStyle w:val="Hyperlink"/>
            <w:rFonts w:ascii="Calibri" w:eastAsia="Calibri" w:hAnsi="Calibri" w:cs="Calibri"/>
            <w:sz w:val="22"/>
            <w:szCs w:val="22"/>
          </w:rPr>
          <w:t>https://doi.org/10.1016/j.ijnurstu.2024.104785</w:t>
        </w:r>
      </w:hyperlink>
    </w:p>
    <w:p w14:paraId="29D9F296" w14:textId="201DEFBD" w:rsidR="009C30AF" w:rsidRDefault="009C30AF" w:rsidP="00E03624">
      <w:pPr>
        <w:spacing w:after="160"/>
        <w:ind w:left="720" w:hanging="720"/>
      </w:pPr>
    </w:p>
    <w:sectPr w:rsidR="009C30AF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EEF287E"/>
    <w:multiLevelType w:val="hybridMultilevel"/>
    <w:tmpl w:val="4FA83C1A"/>
    <w:lvl w:ilvl="0" w:tplc="16B4478E">
      <w:start w:val="1"/>
      <w:numFmt w:val="bullet"/>
      <w:lvlText w:val="●"/>
      <w:lvlJc w:val="left"/>
      <w:pPr>
        <w:ind w:left="720" w:hanging="360"/>
      </w:pPr>
    </w:lvl>
    <w:lvl w:ilvl="1" w:tplc="A258B704">
      <w:start w:val="1"/>
      <w:numFmt w:val="bullet"/>
      <w:lvlText w:val="○"/>
      <w:lvlJc w:val="left"/>
      <w:pPr>
        <w:ind w:left="1440" w:hanging="360"/>
      </w:pPr>
    </w:lvl>
    <w:lvl w:ilvl="2" w:tplc="B7167184">
      <w:start w:val="1"/>
      <w:numFmt w:val="bullet"/>
      <w:lvlText w:val="■"/>
      <w:lvlJc w:val="left"/>
      <w:pPr>
        <w:ind w:left="2160" w:hanging="360"/>
      </w:pPr>
    </w:lvl>
    <w:lvl w:ilvl="3" w:tplc="6868E8B2">
      <w:start w:val="1"/>
      <w:numFmt w:val="bullet"/>
      <w:lvlText w:val="●"/>
      <w:lvlJc w:val="left"/>
      <w:pPr>
        <w:ind w:left="2880" w:hanging="360"/>
      </w:pPr>
    </w:lvl>
    <w:lvl w:ilvl="4" w:tplc="8D7C5972">
      <w:start w:val="1"/>
      <w:numFmt w:val="bullet"/>
      <w:lvlText w:val="○"/>
      <w:lvlJc w:val="left"/>
      <w:pPr>
        <w:ind w:left="3600" w:hanging="360"/>
      </w:pPr>
    </w:lvl>
    <w:lvl w:ilvl="5" w:tplc="01C0930C">
      <w:start w:val="1"/>
      <w:numFmt w:val="bullet"/>
      <w:lvlText w:val="■"/>
      <w:lvlJc w:val="left"/>
      <w:pPr>
        <w:ind w:left="4320" w:hanging="360"/>
      </w:pPr>
    </w:lvl>
    <w:lvl w:ilvl="6" w:tplc="B1A48D96">
      <w:start w:val="1"/>
      <w:numFmt w:val="bullet"/>
      <w:lvlText w:val="●"/>
      <w:lvlJc w:val="left"/>
      <w:pPr>
        <w:ind w:left="5040" w:hanging="360"/>
      </w:pPr>
    </w:lvl>
    <w:lvl w:ilvl="7" w:tplc="1A76A2E6">
      <w:start w:val="1"/>
      <w:numFmt w:val="bullet"/>
      <w:lvlText w:val="●"/>
      <w:lvlJc w:val="left"/>
      <w:pPr>
        <w:ind w:left="5760" w:hanging="360"/>
      </w:pPr>
    </w:lvl>
    <w:lvl w:ilvl="8" w:tplc="D882AD50">
      <w:start w:val="1"/>
      <w:numFmt w:val="bullet"/>
      <w:lvlText w:val="●"/>
      <w:lvlJc w:val="left"/>
      <w:pPr>
        <w:ind w:left="6480" w:hanging="360"/>
      </w:pPr>
    </w:lvl>
  </w:abstractNum>
  <w:num w:numId="1" w16cid:durableId="19382958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0AF"/>
    <w:rsid w:val="009C30AF"/>
    <w:rsid w:val="00D53B64"/>
    <w:rsid w:val="00E010DB"/>
    <w:rsid w:val="00E0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064DAD"/>
  <w15:docId w15:val="{FB5B5420-2966-6E48-A1FE-28D175142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03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/019394591664958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36763465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97/JXX.0000000000000823" TargetMode="External"/><Relationship Id="rId11" Type="http://schemas.openxmlformats.org/officeDocument/2006/relationships/hyperlink" Target="https://doi.org/10.1016/j.ijnurstu.2024.104785" TargetMode="External"/><Relationship Id="rId5" Type="http://schemas.openxmlformats.org/officeDocument/2006/relationships/hyperlink" Target="https://doi.org/10.1097/JXX.0000000000000932" TargetMode="External"/><Relationship Id="rId10" Type="http://schemas.openxmlformats.org/officeDocument/2006/relationships/hyperlink" Target="https://doi.org/10.1016/j.nedt.2021.10486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5430/jnep.v8n5p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340</Words>
  <Characters>2189</Characters>
  <Application>Microsoft Office Word</Application>
  <DocSecurity>0</DocSecurity>
  <Lines>32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Tracy Utech</cp:lastModifiedBy>
  <cp:revision>2</cp:revision>
  <dcterms:created xsi:type="dcterms:W3CDTF">2026-10-05T22:20:00Z</dcterms:created>
  <dcterms:modified xsi:type="dcterms:W3CDTF">2026-10-05T22:34:00Z</dcterms:modified>
</cp:coreProperties>
</file>