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18E2" w14:textId="77777777" w:rsidR="007A35AC" w:rsidRPr="007A35AC" w:rsidRDefault="007A35AC" w:rsidP="007A35AC">
      <w:pPr>
        <w:shd w:val="clear" w:color="auto" w:fill="FFFFFF"/>
        <w:spacing w:after="0" w:line="240" w:lineRule="auto"/>
        <w:rPr>
          <w:rFonts w:ascii="Arial" w:eastAsia="Times New Roman" w:hAnsi="Arial" w:cs="Arial"/>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3491E95D"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6B221EE6"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71E236AB" w14:textId="77777777">
                    <w:trPr>
                      <w:tblCellSpacing w:w="0" w:type="dxa"/>
                    </w:trPr>
                    <w:tc>
                      <w:tcPr>
                        <w:tcW w:w="0" w:type="auto"/>
                        <w:tcMar>
                          <w:top w:w="120" w:type="dxa"/>
                          <w:left w:w="225" w:type="dxa"/>
                          <w:bottom w:w="120" w:type="dxa"/>
                          <w:right w:w="225" w:type="dxa"/>
                        </w:tcMar>
                        <w:vAlign w:val="center"/>
                        <w:hideMark/>
                      </w:tcPr>
                      <w:p w14:paraId="64B43F03" w14:textId="77777777" w:rsidR="007A35AC" w:rsidRPr="007A35AC" w:rsidRDefault="007A35AC" w:rsidP="007A35AC">
                        <w:pPr>
                          <w:spacing w:after="0" w:line="240" w:lineRule="auto"/>
                          <w:jc w:val="center"/>
                          <w:rPr>
                            <w:rFonts w:ascii="Arial" w:eastAsia="Times New Roman" w:hAnsi="Arial" w:cs="Arial"/>
                            <w:color w:val="000000"/>
                            <w:kern w:val="0"/>
                            <w:sz w:val="18"/>
                            <w:szCs w:val="18"/>
                            <w14:ligatures w14:val="none"/>
                          </w:rPr>
                        </w:pPr>
                        <w:r w:rsidRPr="007A35AC">
                          <w:rPr>
                            <w:rFonts w:ascii="Arial" w:eastAsia="Times New Roman" w:hAnsi="Arial" w:cs="Arial"/>
                            <w:color w:val="000000"/>
                            <w:kern w:val="0"/>
                            <w:sz w:val="18"/>
                            <w:szCs w:val="18"/>
                            <w14:ligatures w14:val="none"/>
                          </w:rPr>
                          <w:t>This information is intended for US healthcare professionals only.</w:t>
                        </w:r>
                      </w:p>
                    </w:tc>
                  </w:tr>
                </w:tbl>
                <w:p w14:paraId="0E58437F" w14:textId="77777777" w:rsidR="007A35AC" w:rsidRPr="007A35AC" w:rsidRDefault="007A35AC" w:rsidP="007A35AC">
                  <w:pPr>
                    <w:spacing w:after="0" w:line="240" w:lineRule="auto"/>
                    <w:textAlignment w:val="top"/>
                    <w:rPr>
                      <w:rFonts w:ascii="Arial" w:eastAsia="Times New Roman" w:hAnsi="Arial" w:cs="Arial"/>
                      <w:kern w:val="0"/>
                      <w:sz w:val="2"/>
                      <w:szCs w:val="2"/>
                      <w14:ligatures w14:val="none"/>
                    </w:rPr>
                  </w:pPr>
                </w:p>
              </w:tc>
            </w:tr>
          </w:tbl>
          <w:p w14:paraId="17084D80"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5CB261A9"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6D8544E9"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41D17490"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7D63F969" w14:textId="77777777">
                    <w:trPr>
                      <w:tblCellSpacing w:w="0" w:type="dxa"/>
                    </w:trPr>
                    <w:tc>
                      <w:tcPr>
                        <w:tcW w:w="0" w:type="auto"/>
                        <w:vAlign w:val="center"/>
                        <w:hideMark/>
                      </w:tcPr>
                      <w:p w14:paraId="4259782C"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r w:rsidRPr="007A35AC">
                          <w:rPr>
                            <w:rFonts w:ascii="Arial" w:eastAsia="Times New Roman" w:hAnsi="Arial" w:cs="Arial"/>
                            <w:noProof/>
                            <w:kern w:val="0"/>
                            <w:sz w:val="2"/>
                            <w:szCs w:val="2"/>
                            <w14:ligatures w14:val="none"/>
                          </w:rPr>
                          <w:drawing>
                            <wp:inline distT="0" distB="0" distL="0" distR="0" wp14:anchorId="39149E62" wp14:editId="670CEE9D">
                              <wp:extent cx="5715000" cy="333375"/>
                              <wp:effectExtent l="0" t="0" r="0" b="9525"/>
                              <wp:docPr id="17" name="Picture 12" descr="gradient-top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dient-top_ban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33375"/>
                                      </a:xfrm>
                                      <a:prstGeom prst="rect">
                                        <a:avLst/>
                                      </a:prstGeom>
                                      <a:noFill/>
                                      <a:ln>
                                        <a:noFill/>
                                      </a:ln>
                                    </pic:spPr>
                                  </pic:pic>
                                </a:graphicData>
                              </a:graphic>
                            </wp:inline>
                          </w:drawing>
                        </w:r>
                      </w:p>
                    </w:tc>
                  </w:tr>
                </w:tbl>
                <w:p w14:paraId="7F6431A5" w14:textId="77777777" w:rsidR="007A35AC" w:rsidRPr="007A35AC" w:rsidRDefault="007A35AC" w:rsidP="007A35AC">
                  <w:pPr>
                    <w:spacing w:after="0" w:line="240" w:lineRule="auto"/>
                    <w:textAlignment w:val="top"/>
                    <w:rPr>
                      <w:rFonts w:ascii="Arial" w:eastAsia="Times New Roman" w:hAnsi="Arial" w:cs="Arial"/>
                      <w:kern w:val="0"/>
                      <w:sz w:val="2"/>
                      <w:szCs w:val="2"/>
                      <w14:ligatures w14:val="none"/>
                    </w:rPr>
                  </w:pPr>
                </w:p>
              </w:tc>
            </w:tr>
          </w:tbl>
          <w:p w14:paraId="1B718843"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2CB17EEE"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1164DB91"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2AD75FE8" w14:textId="77777777">
              <w:trPr>
                <w:tblCellSpacing w:w="0" w:type="dxa"/>
                <w:jc w:val="center"/>
              </w:trPr>
              <w:tc>
                <w:tcPr>
                  <w:tcW w:w="0" w:type="auto"/>
                  <w:tcMar>
                    <w:top w:w="15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7A35AC" w:rsidRPr="007A35AC" w14:paraId="4F4E24B3" w14:textId="77777777">
                    <w:trPr>
                      <w:tblCellSpacing w:w="0" w:type="dxa"/>
                    </w:trPr>
                    <w:tc>
                      <w:tcPr>
                        <w:tcW w:w="0" w:type="auto"/>
                        <w:tcMar>
                          <w:top w:w="150" w:type="dxa"/>
                          <w:left w:w="375" w:type="dxa"/>
                          <w:bottom w:w="150" w:type="dxa"/>
                          <w:right w:w="0" w:type="dxa"/>
                        </w:tcMar>
                        <w:vAlign w:val="center"/>
                        <w:hideMark/>
                      </w:tcPr>
                      <w:p w14:paraId="305F33AC" w14:textId="77777777" w:rsidR="007A35AC" w:rsidRPr="007A35AC" w:rsidRDefault="007A35AC" w:rsidP="007A35AC">
                        <w:pPr>
                          <w:spacing w:after="0" w:line="240" w:lineRule="auto"/>
                          <w:rPr>
                            <w:rFonts w:ascii="Arial" w:eastAsia="Times New Roman" w:hAnsi="Arial" w:cs="Arial"/>
                            <w:kern w:val="0"/>
                            <w:sz w:val="2"/>
                            <w:szCs w:val="2"/>
                            <w14:ligatures w14:val="none"/>
                          </w:rPr>
                        </w:pPr>
                        <w:r w:rsidRPr="007A35AC">
                          <w:rPr>
                            <w:rFonts w:ascii="Arial" w:eastAsia="Times New Roman" w:hAnsi="Arial" w:cs="Arial"/>
                            <w:noProof/>
                            <w:color w:val="0068A5"/>
                            <w:kern w:val="0"/>
                            <w:sz w:val="2"/>
                            <w:szCs w:val="2"/>
                            <w14:ligatures w14:val="none"/>
                          </w:rPr>
                          <w:drawing>
                            <wp:inline distT="0" distB="0" distL="0" distR="0" wp14:anchorId="762AF524" wp14:editId="690B6CCC">
                              <wp:extent cx="1571625" cy="600075"/>
                              <wp:effectExtent l="0" t="0" r="9525" b="9525"/>
                              <wp:docPr id="18" name="Picture 11" descr="Vraylar Log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raylar Logo">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p>
                    </w:tc>
                  </w:tr>
                </w:tbl>
                <w:p w14:paraId="03E2D15B"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700"/>
                  </w:tblGrid>
                  <w:tr w:rsidR="007A35AC" w:rsidRPr="007A35AC" w14:paraId="4B66E120" w14:textId="77777777">
                    <w:trPr>
                      <w:tblCellSpacing w:w="0" w:type="dxa"/>
                    </w:trPr>
                    <w:tc>
                      <w:tcPr>
                        <w:tcW w:w="0" w:type="auto"/>
                        <w:tcMar>
                          <w:top w:w="150" w:type="dxa"/>
                          <w:left w:w="300" w:type="dxa"/>
                          <w:bottom w:w="75" w:type="dxa"/>
                          <w:right w:w="375" w:type="dxa"/>
                        </w:tcMar>
                        <w:vAlign w:val="center"/>
                        <w:hideMark/>
                      </w:tcPr>
                      <w:p w14:paraId="2F8639DF" w14:textId="77777777" w:rsidR="007A35AC" w:rsidRPr="007A35AC" w:rsidRDefault="007A35AC" w:rsidP="007A35AC">
                        <w:pPr>
                          <w:spacing w:after="0" w:line="240" w:lineRule="auto"/>
                          <w:rPr>
                            <w:rFonts w:ascii="Arial" w:eastAsia="Times New Roman" w:hAnsi="Arial" w:cs="Arial"/>
                            <w:color w:val="000000"/>
                            <w:kern w:val="0"/>
                            <w14:ligatures w14:val="none"/>
                          </w:rPr>
                        </w:pPr>
                        <w:hyperlink r:id="rId7" w:tgtFrame="_blank" w:history="1">
                          <w:r w:rsidRPr="007A35AC">
                            <w:rPr>
                              <w:rFonts w:ascii="Arial" w:eastAsia="Times New Roman" w:hAnsi="Arial" w:cs="Arial"/>
                              <w:b/>
                              <w:bCs/>
                              <w:color w:val="414042"/>
                              <w:kern w:val="0"/>
                              <w:u w:val="single"/>
                              <w14:ligatures w14:val="none"/>
                            </w:rPr>
                            <w:t>Important Safety Information </w:t>
                          </w:r>
                        </w:hyperlink>
                      </w:p>
                    </w:tc>
                  </w:tr>
                  <w:tr w:rsidR="007A35AC" w:rsidRPr="007A35AC" w14:paraId="15062B1F" w14:textId="77777777">
                    <w:trPr>
                      <w:tblCellSpacing w:w="0" w:type="dxa"/>
                    </w:trPr>
                    <w:tc>
                      <w:tcPr>
                        <w:tcW w:w="0" w:type="auto"/>
                        <w:tcMar>
                          <w:top w:w="75" w:type="dxa"/>
                          <w:left w:w="300" w:type="dxa"/>
                          <w:bottom w:w="150" w:type="dxa"/>
                          <w:right w:w="375" w:type="dxa"/>
                        </w:tcMar>
                        <w:vAlign w:val="center"/>
                        <w:hideMark/>
                      </w:tcPr>
                      <w:p w14:paraId="44D75C8B" w14:textId="77777777" w:rsidR="007A35AC" w:rsidRPr="007A35AC" w:rsidRDefault="007A35AC" w:rsidP="007A35AC">
                        <w:pPr>
                          <w:spacing w:after="0" w:line="240" w:lineRule="auto"/>
                          <w:rPr>
                            <w:rFonts w:ascii="Arial" w:eastAsia="Times New Roman" w:hAnsi="Arial" w:cs="Arial"/>
                            <w:color w:val="000000"/>
                            <w:kern w:val="0"/>
                            <w14:ligatures w14:val="none"/>
                          </w:rPr>
                        </w:pPr>
                        <w:hyperlink r:id="rId8" w:tgtFrame="_blank" w:history="1">
                          <w:r w:rsidRPr="007A35AC">
                            <w:rPr>
                              <w:rFonts w:ascii="Arial" w:eastAsia="Times New Roman" w:hAnsi="Arial" w:cs="Arial"/>
                              <w:b/>
                              <w:bCs/>
                              <w:color w:val="414042"/>
                              <w:kern w:val="0"/>
                              <w:u w:val="single"/>
                              <w14:ligatures w14:val="none"/>
                            </w:rPr>
                            <w:t>Please see full Prescribing Information, including Boxed Warnings</w:t>
                          </w:r>
                        </w:hyperlink>
                      </w:p>
                    </w:tc>
                  </w:tr>
                </w:tbl>
                <w:p w14:paraId="28B109F2" w14:textId="77777777" w:rsidR="007A35AC" w:rsidRPr="007A35AC" w:rsidRDefault="007A35AC" w:rsidP="007A35AC">
                  <w:pPr>
                    <w:spacing w:after="0" w:line="240" w:lineRule="auto"/>
                    <w:textAlignment w:val="top"/>
                    <w:rPr>
                      <w:rFonts w:ascii="Arial" w:eastAsia="Times New Roman" w:hAnsi="Arial" w:cs="Arial"/>
                      <w:kern w:val="0"/>
                      <w:sz w:val="2"/>
                      <w:szCs w:val="2"/>
                      <w14:ligatures w14:val="none"/>
                    </w:rPr>
                  </w:pPr>
                </w:p>
              </w:tc>
            </w:tr>
          </w:tbl>
          <w:p w14:paraId="23871CB4"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654809AA"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05BE0C62"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6C593414" w14:textId="77777777">
              <w:trPr>
                <w:tblCellSpacing w:w="0" w:type="dxa"/>
                <w:jc w:val="center"/>
              </w:trPr>
              <w:tc>
                <w:tcPr>
                  <w:tcW w:w="0" w:type="auto"/>
                  <w:tcMar>
                    <w:top w:w="0" w:type="dxa"/>
                    <w:left w:w="0" w:type="dxa"/>
                    <w:bottom w:w="15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14482F3D" w14:textId="77777777">
                    <w:trPr>
                      <w:tblCellSpacing w:w="0" w:type="dxa"/>
                    </w:trPr>
                    <w:tc>
                      <w:tcPr>
                        <w:tcW w:w="0" w:type="auto"/>
                        <w:tcMar>
                          <w:top w:w="300" w:type="dxa"/>
                          <w:left w:w="375" w:type="dxa"/>
                          <w:bottom w:w="0" w:type="dxa"/>
                          <w:right w:w="375" w:type="dxa"/>
                        </w:tcMar>
                        <w:vAlign w:val="center"/>
                        <w:hideMark/>
                      </w:tcPr>
                      <w:p w14:paraId="17A79D3F"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Dear Dr. Marks,</w:t>
                        </w:r>
                      </w:p>
                    </w:tc>
                  </w:tr>
                  <w:tr w:rsidR="007A35AC" w:rsidRPr="007A35AC" w14:paraId="7A412B28" w14:textId="77777777">
                    <w:trPr>
                      <w:tblCellSpacing w:w="0" w:type="dxa"/>
                    </w:trPr>
                    <w:tc>
                      <w:tcPr>
                        <w:tcW w:w="0" w:type="auto"/>
                        <w:tcMar>
                          <w:top w:w="150" w:type="dxa"/>
                          <w:left w:w="375" w:type="dxa"/>
                          <w:bottom w:w="0" w:type="dxa"/>
                          <w:right w:w="375" w:type="dxa"/>
                        </w:tcMar>
                        <w:vAlign w:val="center"/>
                        <w:hideMark/>
                      </w:tcPr>
                      <w:p w14:paraId="3048F73A"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I'm excited to invite you to an upcoming educational program focused on adjunctive therapy for major depressive disorder.</w:t>
                        </w:r>
                      </w:p>
                    </w:tc>
                  </w:tr>
                  <w:tr w:rsidR="007A35AC" w:rsidRPr="007A35AC" w14:paraId="7156CAEC" w14:textId="77777777">
                    <w:trPr>
                      <w:tblCellSpacing w:w="0" w:type="dxa"/>
                    </w:trPr>
                    <w:tc>
                      <w:tcPr>
                        <w:tcW w:w="0" w:type="auto"/>
                        <w:tcMar>
                          <w:top w:w="150" w:type="dxa"/>
                          <w:left w:w="375" w:type="dxa"/>
                          <w:bottom w:w="75" w:type="dxa"/>
                          <w:right w:w="375" w:type="dxa"/>
                        </w:tcMar>
                        <w:vAlign w:val="center"/>
                        <w:hideMark/>
                      </w:tcPr>
                      <w:p w14:paraId="31219B7D"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Our speaker events are an engaging and interactive way to learn more about VRAYLAR from your peers and key opinion leaders.</w:t>
                        </w:r>
                      </w:p>
                    </w:tc>
                  </w:tr>
                </w:tbl>
                <w:p w14:paraId="29B3A8A3" w14:textId="77777777" w:rsidR="007A35AC" w:rsidRPr="007A35AC" w:rsidRDefault="007A35AC" w:rsidP="007A35AC">
                  <w:pPr>
                    <w:spacing w:after="0" w:line="240" w:lineRule="auto"/>
                    <w:textAlignment w:val="top"/>
                    <w:rPr>
                      <w:rFonts w:ascii="Arial" w:eastAsia="Times New Roman" w:hAnsi="Arial" w:cs="Arial"/>
                      <w:kern w:val="0"/>
                      <w:sz w:val="2"/>
                      <w:szCs w:val="2"/>
                      <w14:ligatures w14:val="none"/>
                    </w:rPr>
                  </w:pPr>
                </w:p>
              </w:tc>
            </w:tr>
          </w:tbl>
          <w:p w14:paraId="352FCC51"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66EDAD9E"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shd w:val="clear" w:color="auto" w:fill="FFFFFF"/>
        <w:tblCellMar>
          <w:left w:w="0" w:type="dxa"/>
          <w:right w:w="0" w:type="dxa"/>
        </w:tblCellMar>
        <w:tblLook w:val="04A0" w:firstRow="1" w:lastRow="0" w:firstColumn="1" w:lastColumn="0" w:noHBand="0" w:noVBand="1"/>
      </w:tblPr>
      <w:tblGrid>
        <w:gridCol w:w="18225"/>
      </w:tblGrid>
      <w:tr w:rsidR="007A35AC" w:rsidRPr="007A35AC" w14:paraId="458CE9E4" w14:textId="77777777">
        <w:trPr>
          <w:tblCellSpacing w:w="0" w:type="dxa"/>
          <w:jc w:val="center"/>
        </w:trPr>
        <w:tc>
          <w:tcPr>
            <w:tcW w:w="0" w:type="auto"/>
            <w:shd w:val="clear" w:color="auto" w:fill="FFFFFF"/>
            <w:vAlign w:val="center"/>
            <w:hideMark/>
          </w:tcPr>
          <w:tbl>
            <w:tblPr>
              <w:tblW w:w="9000" w:type="dxa"/>
              <w:jc w:val="center"/>
              <w:tblCellSpacing w:w="0" w:type="dxa"/>
              <w:shd w:val="clear" w:color="auto" w:fill="00AFAA"/>
              <w:tblCellMar>
                <w:left w:w="0" w:type="dxa"/>
                <w:right w:w="0" w:type="dxa"/>
              </w:tblCellMar>
              <w:tblLook w:val="04A0" w:firstRow="1" w:lastRow="0" w:firstColumn="1" w:lastColumn="0" w:noHBand="0" w:noVBand="1"/>
            </w:tblPr>
            <w:tblGrid>
              <w:gridCol w:w="9000"/>
            </w:tblGrid>
            <w:tr w:rsidR="007A35AC" w:rsidRPr="007A35AC" w14:paraId="2EA0A58B" w14:textId="77777777">
              <w:trPr>
                <w:tblCellSpacing w:w="0" w:type="dxa"/>
                <w:jc w:val="center"/>
              </w:trPr>
              <w:tc>
                <w:tcPr>
                  <w:tcW w:w="0" w:type="auto"/>
                  <w:tcBorders>
                    <w:top w:val="single" w:sz="12" w:space="0" w:color="00AFAA"/>
                    <w:left w:val="single" w:sz="12" w:space="0" w:color="00AFAA"/>
                    <w:bottom w:val="single" w:sz="12" w:space="0" w:color="00AFAA"/>
                    <w:right w:val="single" w:sz="12" w:space="0" w:color="00AFAA"/>
                  </w:tcBorders>
                  <w:shd w:val="clear" w:color="auto" w:fill="00AFAA"/>
                  <w:hideMark/>
                </w:tcPr>
                <w:tbl>
                  <w:tblPr>
                    <w:tblW w:w="5000" w:type="pct"/>
                    <w:jc w:val="center"/>
                    <w:tblCellSpacing w:w="0" w:type="dxa"/>
                    <w:tblCellMar>
                      <w:left w:w="0" w:type="dxa"/>
                      <w:right w:w="0" w:type="dxa"/>
                    </w:tblCellMar>
                    <w:tblLook w:val="04A0" w:firstRow="1" w:lastRow="0" w:firstColumn="1" w:lastColumn="0" w:noHBand="0" w:noVBand="1"/>
                  </w:tblPr>
                  <w:tblGrid>
                    <w:gridCol w:w="8940"/>
                  </w:tblGrid>
                  <w:tr w:rsidR="007A35AC" w:rsidRPr="007A35AC" w14:paraId="13CC2437"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940"/>
                        </w:tblGrid>
                        <w:tr w:rsidR="007A35AC" w:rsidRPr="007A35AC" w14:paraId="146A550E" w14:textId="77777777">
                          <w:trPr>
                            <w:tblCellSpacing w:w="0" w:type="dxa"/>
                          </w:trPr>
                          <w:tc>
                            <w:tcPr>
                              <w:tcW w:w="0" w:type="auto"/>
                              <w:tcMar>
                                <w:top w:w="150" w:type="dxa"/>
                                <w:left w:w="375" w:type="dxa"/>
                                <w:bottom w:w="150" w:type="dxa"/>
                                <w:right w:w="375" w:type="dxa"/>
                              </w:tcMar>
                              <w:vAlign w:val="center"/>
                              <w:hideMark/>
                            </w:tcPr>
                            <w:p w14:paraId="472A7212" w14:textId="77777777" w:rsidR="007A35AC" w:rsidRPr="007A35AC" w:rsidRDefault="007A35AC" w:rsidP="007A35AC">
                              <w:pPr>
                                <w:spacing w:after="0" w:line="240" w:lineRule="auto"/>
                                <w:jc w:val="center"/>
                                <w:rPr>
                                  <w:rFonts w:ascii="Arial" w:eastAsia="Times New Roman" w:hAnsi="Arial" w:cs="Arial"/>
                                  <w:color w:val="FFFFFF"/>
                                  <w:kern w:val="0"/>
                                  <w:sz w:val="21"/>
                                  <w:szCs w:val="21"/>
                                  <w14:ligatures w14:val="none"/>
                                </w:rPr>
                              </w:pPr>
                              <w:r w:rsidRPr="007A35AC">
                                <w:rPr>
                                  <w:rFonts w:ascii="Arial" w:eastAsia="Times New Roman" w:hAnsi="Arial" w:cs="Arial"/>
                                  <w:b/>
                                  <w:bCs/>
                                  <w:color w:val="FFFFFF"/>
                                  <w:kern w:val="0"/>
                                  <w:sz w:val="21"/>
                                  <w:szCs w:val="21"/>
                                  <w14:ligatures w14:val="none"/>
                                </w:rPr>
                                <w:t>Click on the Link Below for Program Information and to Register</w:t>
                              </w:r>
                            </w:p>
                            <w:p w14:paraId="4266F70D" w14:textId="77777777" w:rsidR="007A35AC" w:rsidRPr="007A35AC" w:rsidRDefault="007A35AC" w:rsidP="007A35AC">
                              <w:pPr>
                                <w:spacing w:after="0" w:line="240" w:lineRule="auto"/>
                                <w:jc w:val="center"/>
                                <w:rPr>
                                  <w:rFonts w:ascii="Arial" w:eastAsia="Times New Roman" w:hAnsi="Arial" w:cs="Arial"/>
                                  <w:color w:val="FFFFFF"/>
                                  <w:kern w:val="0"/>
                                  <w:sz w:val="21"/>
                                  <w:szCs w:val="21"/>
                                  <w14:ligatures w14:val="none"/>
                                </w:rPr>
                              </w:pPr>
                              <w:r w:rsidRPr="007A35AC">
                                <w:rPr>
                                  <w:rFonts w:ascii="Arial" w:eastAsia="Times New Roman" w:hAnsi="Arial" w:cs="Arial"/>
                                  <w:color w:val="FFFFFF"/>
                                  <w:kern w:val="0"/>
                                  <w:sz w:val="21"/>
                                  <w:szCs w:val="21"/>
                                  <w14:ligatures w14:val="none"/>
                                </w:rPr>
                                <w:t> </w:t>
                              </w:r>
                            </w:p>
                            <w:p w14:paraId="032097C0" w14:textId="77777777" w:rsidR="007A35AC" w:rsidRPr="007A35AC" w:rsidRDefault="007A35AC" w:rsidP="007A35AC">
                              <w:pPr>
                                <w:spacing w:after="0" w:line="240" w:lineRule="auto"/>
                                <w:jc w:val="center"/>
                                <w:rPr>
                                  <w:rFonts w:ascii="Arial" w:eastAsia="Times New Roman" w:hAnsi="Arial" w:cs="Arial"/>
                                  <w:color w:val="FFFFFF"/>
                                  <w:kern w:val="0"/>
                                  <w:sz w:val="21"/>
                                  <w:szCs w:val="21"/>
                                  <w14:ligatures w14:val="none"/>
                                </w:rPr>
                              </w:pPr>
                              <w:hyperlink r:id="rId9" w:tgtFrame="_blank" w:history="1">
                                <w:r w:rsidRPr="007A35AC">
                                  <w:rPr>
                                    <w:rFonts w:ascii="Arial" w:eastAsia="Times New Roman" w:hAnsi="Arial" w:cs="Arial"/>
                                    <w:color w:val="1155CC"/>
                                    <w:kern w:val="0"/>
                                    <w14:ligatures w14:val="none"/>
                                  </w:rPr>
                                  <w:t>www.vraylarlive.com/register/242007</w:t>
                                </w:r>
                              </w:hyperlink>
                            </w:p>
                          </w:tc>
                        </w:tr>
                      </w:tbl>
                      <w:p w14:paraId="4E4DA552"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19961B43"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p>
              </w:tc>
            </w:tr>
          </w:tbl>
          <w:p w14:paraId="63FB94EB" w14:textId="77777777" w:rsidR="007A35AC" w:rsidRPr="007A35AC" w:rsidRDefault="007A35AC" w:rsidP="007A35AC">
            <w:pPr>
              <w:shd w:val="clear" w:color="auto" w:fill="00AFAA"/>
              <w:spacing w:after="0" w:line="240" w:lineRule="auto"/>
              <w:jc w:val="center"/>
              <w:rPr>
                <w:rFonts w:ascii="Arial" w:eastAsia="Times New Roman" w:hAnsi="Arial" w:cs="Arial"/>
                <w:kern w:val="0"/>
                <w:sz w:val="20"/>
                <w:szCs w:val="20"/>
                <w14:ligatures w14:val="none"/>
              </w:rPr>
            </w:pPr>
          </w:p>
        </w:tc>
      </w:tr>
    </w:tbl>
    <w:p w14:paraId="49F5A698"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0344F343"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322FC39D"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0A480D9F" w14:textId="77777777">
                    <w:trPr>
                      <w:tblCellSpacing w:w="0" w:type="dxa"/>
                    </w:trPr>
                    <w:tc>
                      <w:tcPr>
                        <w:tcW w:w="0" w:type="auto"/>
                        <w:tcMar>
                          <w:top w:w="270" w:type="dxa"/>
                          <w:left w:w="375" w:type="dxa"/>
                          <w:bottom w:w="120" w:type="dxa"/>
                          <w:right w:w="375" w:type="dxa"/>
                        </w:tcMar>
                        <w:vAlign w:val="center"/>
                        <w:hideMark/>
                      </w:tcPr>
                      <w:p w14:paraId="7004FC18" w14:textId="77777777" w:rsidR="007A35AC" w:rsidRPr="007A35AC" w:rsidRDefault="007A35AC" w:rsidP="007A35AC">
                        <w:pPr>
                          <w:spacing w:after="0" w:line="240" w:lineRule="auto"/>
                          <w:jc w:val="center"/>
                          <w:rPr>
                            <w:rFonts w:ascii="Arial" w:eastAsia="Times New Roman" w:hAnsi="Arial" w:cs="Arial"/>
                            <w:color w:val="000000"/>
                            <w:kern w:val="0"/>
                            <w:sz w:val="20"/>
                            <w:szCs w:val="20"/>
                            <w14:ligatures w14:val="none"/>
                          </w:rPr>
                        </w:pPr>
                        <w:r w:rsidRPr="007A35AC">
                          <w:rPr>
                            <w:rFonts w:ascii="Arial" w:eastAsia="Times New Roman" w:hAnsi="Arial" w:cs="Arial"/>
                            <w:b/>
                            <w:bCs/>
                            <w:color w:val="000000"/>
                            <w:kern w:val="0"/>
                            <w:sz w:val="20"/>
                            <w:szCs w:val="20"/>
                            <w14:ligatures w14:val="none"/>
                          </w:rPr>
                          <w:t>For speaker program questions, please call or email me using the information below.</w:t>
                        </w:r>
                      </w:p>
                    </w:tc>
                  </w:tr>
                  <w:tr w:rsidR="007A35AC" w:rsidRPr="007A35AC" w14:paraId="5C45222C" w14:textId="77777777">
                    <w:trPr>
                      <w:tblCellSpacing w:w="0" w:type="dxa"/>
                    </w:trPr>
                    <w:tc>
                      <w:tcPr>
                        <w:tcW w:w="0" w:type="auto"/>
                        <w:tcMar>
                          <w:top w:w="150" w:type="dxa"/>
                          <w:left w:w="375" w:type="dxa"/>
                          <w:bottom w:w="270" w:type="dxa"/>
                          <w:right w:w="375" w:type="dxa"/>
                        </w:tcMar>
                        <w:vAlign w:val="center"/>
                        <w:hideMark/>
                      </w:tcPr>
                      <w:p w14:paraId="093F4BA1"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hyperlink r:id="rId10" w:tgtFrame="_blank" w:history="1">
                          <w:r w:rsidRPr="007A35AC">
                            <w:rPr>
                              <w:rFonts w:ascii="Arial" w:eastAsia="Times New Roman" w:hAnsi="Arial" w:cs="Arial"/>
                              <w:color w:val="FFFFFF"/>
                              <w:kern w:val="0"/>
                              <w:sz w:val="23"/>
                              <w:szCs w:val="23"/>
                              <w:shd w:val="clear" w:color="auto" w:fill="712177"/>
                              <w14:ligatures w14:val="none"/>
                            </w:rPr>
                            <w:t>Click Here to Learn More About VRAYLAR</w:t>
                          </w:r>
                        </w:hyperlink>
                      </w:p>
                    </w:tc>
                  </w:tr>
                </w:tbl>
                <w:p w14:paraId="633CE526" w14:textId="77777777" w:rsidR="007A35AC" w:rsidRPr="007A35AC" w:rsidRDefault="007A35AC" w:rsidP="007A35AC">
                  <w:pPr>
                    <w:spacing w:after="0" w:line="240" w:lineRule="auto"/>
                    <w:textAlignment w:val="top"/>
                    <w:rPr>
                      <w:rFonts w:ascii="Arial" w:eastAsia="Times New Roman" w:hAnsi="Arial" w:cs="Arial"/>
                      <w:kern w:val="0"/>
                      <w:sz w:val="2"/>
                      <w:szCs w:val="2"/>
                      <w14:ligatures w14:val="none"/>
                    </w:rPr>
                  </w:pPr>
                </w:p>
              </w:tc>
            </w:tr>
          </w:tbl>
          <w:p w14:paraId="6D702B95"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0734F5D5"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126E73D0"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6967C232"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5D1D3B26" w14:textId="77777777">
                    <w:trPr>
                      <w:tblCellSpacing w:w="0" w:type="dxa"/>
                      <w:jc w:val="center"/>
                    </w:trPr>
                    <w:tc>
                      <w:tcPr>
                        <w:tcW w:w="0" w:type="auto"/>
                        <w:shd w:val="clear" w:color="auto" w:fill="F3F4F4"/>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28EFFED6" w14:textId="77777777">
                          <w:trPr>
                            <w:tblCellSpacing w:w="0" w:type="dxa"/>
                          </w:trPr>
                          <w:tc>
                            <w:tcPr>
                              <w:tcW w:w="0" w:type="auto"/>
                              <w:tcMar>
                                <w:top w:w="300" w:type="dxa"/>
                                <w:left w:w="375" w:type="dxa"/>
                                <w:bottom w:w="0" w:type="dxa"/>
                                <w:right w:w="375" w:type="dxa"/>
                              </w:tcMar>
                              <w:vAlign w:val="center"/>
                              <w:hideMark/>
                            </w:tcPr>
                            <w:p w14:paraId="15C7B178" w14:textId="77777777" w:rsidR="007A35AC" w:rsidRPr="007A35AC" w:rsidRDefault="007A35AC" w:rsidP="007A35AC">
                              <w:pPr>
                                <w:spacing w:after="0" w:line="240" w:lineRule="auto"/>
                                <w:rPr>
                                  <w:rFonts w:ascii="Arial" w:eastAsia="Times New Roman" w:hAnsi="Arial" w:cs="Arial"/>
                                  <w:b/>
                                  <w:bCs/>
                                  <w:color w:val="712177"/>
                                  <w:kern w:val="0"/>
                                  <w:sz w:val="26"/>
                                  <w:szCs w:val="26"/>
                                  <w14:ligatures w14:val="none"/>
                                </w:rPr>
                              </w:pPr>
                              <w:r w:rsidRPr="007A35AC">
                                <w:rPr>
                                  <w:rFonts w:ascii="Arial" w:eastAsia="Times New Roman" w:hAnsi="Arial" w:cs="Arial"/>
                                  <w:b/>
                                  <w:bCs/>
                                  <w:color w:val="712177"/>
                                  <w:kern w:val="0"/>
                                  <w:sz w:val="26"/>
                                  <w:szCs w:val="26"/>
                                  <w14:ligatures w14:val="none"/>
                                </w:rPr>
                                <w:t>INDICATIONS AND USAGE</w:t>
                              </w:r>
                            </w:p>
                          </w:tc>
                        </w:tr>
                        <w:tr w:rsidR="007A35AC" w:rsidRPr="007A35AC" w14:paraId="752D9DB5" w14:textId="77777777">
                          <w:trPr>
                            <w:tblCellSpacing w:w="0" w:type="dxa"/>
                          </w:trPr>
                          <w:tc>
                            <w:tcPr>
                              <w:tcW w:w="0" w:type="auto"/>
                              <w:tcMar>
                                <w:top w:w="120" w:type="dxa"/>
                                <w:left w:w="375" w:type="dxa"/>
                                <w:bottom w:w="0" w:type="dxa"/>
                                <w:right w:w="375" w:type="dxa"/>
                              </w:tcMar>
                              <w:vAlign w:val="center"/>
                              <w:hideMark/>
                            </w:tcPr>
                            <w:p w14:paraId="1A100F74"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Indicated in adults for:</w:t>
                              </w:r>
                            </w:p>
                          </w:tc>
                        </w:tr>
                        <w:tr w:rsidR="007A35AC" w:rsidRPr="007A35AC" w14:paraId="008FC846"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1565C30C" w14:textId="77777777">
                                <w:trPr>
                                  <w:tblCellSpacing w:w="0" w:type="dxa"/>
                                  <w:jc w:val="center"/>
                                </w:trPr>
                                <w:tc>
                                  <w:tcPr>
                                    <w:tcW w:w="0" w:type="auto"/>
                                    <w:tcMar>
                                      <w:top w:w="45" w:type="dxa"/>
                                      <w:left w:w="375" w:type="dxa"/>
                                      <w:bottom w:w="4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3AC0E730" w14:textId="77777777">
                                      <w:trPr>
                                        <w:tblCellSpacing w:w="0" w:type="dxa"/>
                                      </w:trPr>
                                      <w:tc>
                                        <w:tcPr>
                                          <w:tcW w:w="0" w:type="auto"/>
                                          <w:tcMar>
                                            <w:top w:w="0" w:type="dxa"/>
                                            <w:left w:w="45" w:type="dxa"/>
                                            <w:bottom w:w="0" w:type="dxa"/>
                                            <w:right w:w="0" w:type="dxa"/>
                                          </w:tcMar>
                                          <w:vAlign w:val="center"/>
                                          <w:hideMark/>
                                        </w:tcPr>
                                        <w:p w14:paraId="720812AA"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1571F7C7"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E9A9B70" w14:textId="77777777">
                                      <w:trPr>
                                        <w:tblCellSpacing w:w="0" w:type="dxa"/>
                                      </w:trPr>
                                      <w:tc>
                                        <w:tcPr>
                                          <w:tcW w:w="0" w:type="auto"/>
                                          <w:tcMar>
                                            <w:top w:w="0" w:type="dxa"/>
                                            <w:left w:w="150" w:type="dxa"/>
                                            <w:bottom w:w="0" w:type="dxa"/>
                                            <w:right w:w="0" w:type="dxa"/>
                                          </w:tcMar>
                                          <w:vAlign w:val="center"/>
                                          <w:hideMark/>
                                        </w:tcPr>
                                        <w:p w14:paraId="503B50E1"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Adjunctive therapy to antidepressants for the treatment of major depressive disorder (MDD)</w:t>
                                          </w:r>
                                        </w:p>
                                      </w:tc>
                                    </w:tr>
                                  </w:tbl>
                                  <w:p w14:paraId="5C49C70A"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7BF852DC"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024EE30C"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722FB0F4" w14:textId="77777777">
                                <w:trPr>
                                  <w:tblCellSpacing w:w="0" w:type="dxa"/>
                                  <w:jc w:val="center"/>
                                </w:trPr>
                                <w:tc>
                                  <w:tcPr>
                                    <w:tcW w:w="0" w:type="auto"/>
                                    <w:tcMar>
                                      <w:top w:w="0" w:type="dxa"/>
                                      <w:left w:w="375" w:type="dxa"/>
                                      <w:bottom w:w="4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317662E8" w14:textId="77777777">
                                      <w:trPr>
                                        <w:tblCellSpacing w:w="0" w:type="dxa"/>
                                      </w:trPr>
                                      <w:tc>
                                        <w:tcPr>
                                          <w:tcW w:w="0" w:type="auto"/>
                                          <w:tcMar>
                                            <w:top w:w="0" w:type="dxa"/>
                                            <w:left w:w="45" w:type="dxa"/>
                                            <w:bottom w:w="0" w:type="dxa"/>
                                            <w:right w:w="0" w:type="dxa"/>
                                          </w:tcMar>
                                          <w:vAlign w:val="center"/>
                                          <w:hideMark/>
                                        </w:tcPr>
                                        <w:p w14:paraId="2702CCC5"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25BD2C3F"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5D5CF08B" w14:textId="77777777">
                                      <w:trPr>
                                        <w:tblCellSpacing w:w="0" w:type="dxa"/>
                                      </w:trPr>
                                      <w:tc>
                                        <w:tcPr>
                                          <w:tcW w:w="0" w:type="auto"/>
                                          <w:tcMar>
                                            <w:top w:w="0" w:type="dxa"/>
                                            <w:left w:w="150" w:type="dxa"/>
                                            <w:bottom w:w="0" w:type="dxa"/>
                                            <w:right w:w="0" w:type="dxa"/>
                                          </w:tcMar>
                                          <w:vAlign w:val="center"/>
                                          <w:hideMark/>
                                        </w:tcPr>
                                        <w:p w14:paraId="6557336E"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Treatment of depressive episodes associated with bipolar I disorder (bipolar depression)</w:t>
                                          </w:r>
                                        </w:p>
                                      </w:tc>
                                    </w:tr>
                                  </w:tbl>
                                  <w:p w14:paraId="5184E41B"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2AA475FB"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0ECF50E9"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7080EEB7" w14:textId="77777777">
                                <w:trPr>
                                  <w:tblCellSpacing w:w="0" w:type="dxa"/>
                                  <w:jc w:val="center"/>
                                </w:trPr>
                                <w:tc>
                                  <w:tcPr>
                                    <w:tcW w:w="0" w:type="auto"/>
                                    <w:tcMar>
                                      <w:top w:w="0" w:type="dxa"/>
                                      <w:left w:w="375" w:type="dxa"/>
                                      <w:bottom w:w="4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067E635" w14:textId="77777777">
                                      <w:trPr>
                                        <w:tblCellSpacing w:w="0" w:type="dxa"/>
                                      </w:trPr>
                                      <w:tc>
                                        <w:tcPr>
                                          <w:tcW w:w="0" w:type="auto"/>
                                          <w:tcMar>
                                            <w:top w:w="0" w:type="dxa"/>
                                            <w:left w:w="45" w:type="dxa"/>
                                            <w:bottom w:w="0" w:type="dxa"/>
                                            <w:right w:w="0" w:type="dxa"/>
                                          </w:tcMar>
                                          <w:vAlign w:val="center"/>
                                          <w:hideMark/>
                                        </w:tcPr>
                                        <w:p w14:paraId="2768F411"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2CF721F2"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2747D794" w14:textId="77777777">
                                      <w:trPr>
                                        <w:tblCellSpacing w:w="0" w:type="dxa"/>
                                      </w:trPr>
                                      <w:tc>
                                        <w:tcPr>
                                          <w:tcW w:w="0" w:type="auto"/>
                                          <w:tcMar>
                                            <w:top w:w="0" w:type="dxa"/>
                                            <w:left w:w="150" w:type="dxa"/>
                                            <w:bottom w:w="0" w:type="dxa"/>
                                            <w:right w:w="0" w:type="dxa"/>
                                          </w:tcMar>
                                          <w:vAlign w:val="center"/>
                                          <w:hideMark/>
                                        </w:tcPr>
                                        <w:p w14:paraId="1FDE1E94"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Acute treatment of manic or mixed episodes associated with bipolar I disorder</w:t>
                                          </w:r>
                                        </w:p>
                                      </w:tc>
                                    </w:tr>
                                  </w:tbl>
                                  <w:p w14:paraId="0A260B01"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1D52DC04"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68940917"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6C197252" w14:textId="77777777">
                                <w:trPr>
                                  <w:tblCellSpacing w:w="0" w:type="dxa"/>
                                  <w:jc w:val="center"/>
                                </w:trPr>
                                <w:tc>
                                  <w:tcPr>
                                    <w:tcW w:w="0" w:type="auto"/>
                                    <w:tcMar>
                                      <w:top w:w="0" w:type="dxa"/>
                                      <w:left w:w="375" w:type="dxa"/>
                                      <w:bottom w:w="150"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6B2652C0" w14:textId="77777777">
                                      <w:trPr>
                                        <w:tblCellSpacing w:w="0" w:type="dxa"/>
                                      </w:trPr>
                                      <w:tc>
                                        <w:tcPr>
                                          <w:tcW w:w="0" w:type="auto"/>
                                          <w:tcMar>
                                            <w:top w:w="0" w:type="dxa"/>
                                            <w:left w:w="45" w:type="dxa"/>
                                            <w:bottom w:w="0" w:type="dxa"/>
                                            <w:right w:w="0" w:type="dxa"/>
                                          </w:tcMar>
                                          <w:vAlign w:val="center"/>
                                          <w:hideMark/>
                                        </w:tcPr>
                                        <w:p w14:paraId="425FAAC0"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38418922"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609A1366" w14:textId="77777777">
                                      <w:trPr>
                                        <w:tblCellSpacing w:w="0" w:type="dxa"/>
                                      </w:trPr>
                                      <w:tc>
                                        <w:tcPr>
                                          <w:tcW w:w="0" w:type="auto"/>
                                          <w:tcMar>
                                            <w:top w:w="0" w:type="dxa"/>
                                            <w:left w:w="150" w:type="dxa"/>
                                            <w:bottom w:w="0" w:type="dxa"/>
                                            <w:right w:w="0" w:type="dxa"/>
                                          </w:tcMar>
                                          <w:vAlign w:val="center"/>
                                          <w:hideMark/>
                                        </w:tcPr>
                                        <w:p w14:paraId="4536C115"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Treatment of schizophrenia</w:t>
                                          </w:r>
                                        </w:p>
                                      </w:tc>
                                    </w:tr>
                                  </w:tbl>
                                  <w:p w14:paraId="11E728EB"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2743A169"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05D6B398"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30E7B778"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67EE8E77"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276C25BA"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7DD0E72A" w14:textId="77777777">
                                                  <w:trPr>
                                                    <w:tblCellSpacing w:w="0" w:type="dxa"/>
                                                  </w:trPr>
                                                  <w:tc>
                                                    <w:tcPr>
                                                      <w:tcW w:w="0" w:type="auto"/>
                                                      <w:vAlign w:val="center"/>
                                                      <w:hideMark/>
                                                    </w:tcPr>
                                                    <w:p w14:paraId="122DB04B" w14:textId="77777777" w:rsidR="007A35AC" w:rsidRPr="007A35AC" w:rsidRDefault="007A35AC" w:rsidP="007A35AC">
                                                      <w:pPr>
                                                        <w:spacing w:after="0" w:line="0" w:lineRule="atLeast"/>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c>
                                                </w:tr>
                                              </w:tbl>
                                              <w:p w14:paraId="52411FC2"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7AF018A6"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45DC564E"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447634DC"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18B46F44"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45730A87"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p>
              </w:tc>
            </w:tr>
          </w:tbl>
          <w:p w14:paraId="4C91DA3F"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325DACA2"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1FFE70BF"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0B127E41"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7C6197C0" w14:textId="77777777">
                    <w:trPr>
                      <w:tblCellSpacing w:w="0" w:type="dxa"/>
                      <w:jc w:val="center"/>
                    </w:trPr>
                    <w:tc>
                      <w:tcPr>
                        <w:tcW w:w="0" w:type="auto"/>
                        <w:shd w:val="clear" w:color="auto" w:fill="F3F4F4"/>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1143E5B8"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46554A0F"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009BB31C" w14:textId="77777777">
                                      <w:trPr>
                                        <w:tblCellSpacing w:w="0" w:type="dxa"/>
                                      </w:trPr>
                                      <w:tc>
                                        <w:tcPr>
                                          <w:tcW w:w="0" w:type="auto"/>
                                          <w:tcMar>
                                            <w:top w:w="0" w:type="dxa"/>
                                            <w:left w:w="375" w:type="dxa"/>
                                            <w:bottom w:w="150" w:type="dxa"/>
                                            <w:right w:w="375" w:type="dxa"/>
                                          </w:tcMar>
                                          <w:vAlign w:val="center"/>
                                          <w:hideMark/>
                                        </w:tcPr>
                                        <w:p w14:paraId="4EB493EC" w14:textId="77777777" w:rsidR="007A35AC" w:rsidRPr="007A35AC" w:rsidRDefault="007A35AC" w:rsidP="007A35AC">
                                          <w:pPr>
                                            <w:spacing w:after="0" w:line="240" w:lineRule="auto"/>
                                            <w:rPr>
                                              <w:rFonts w:ascii="Arial" w:eastAsia="Times New Roman" w:hAnsi="Arial" w:cs="Arial"/>
                                              <w:b/>
                                              <w:bCs/>
                                              <w:color w:val="712177"/>
                                              <w:kern w:val="0"/>
                                              <w:sz w:val="26"/>
                                              <w:szCs w:val="26"/>
                                              <w14:ligatures w14:val="none"/>
                                            </w:rPr>
                                          </w:pPr>
                                          <w:r w:rsidRPr="007A35AC">
                                            <w:rPr>
                                              <w:rFonts w:ascii="Arial" w:eastAsia="Times New Roman" w:hAnsi="Arial" w:cs="Arial"/>
                                              <w:b/>
                                              <w:bCs/>
                                              <w:color w:val="712177"/>
                                              <w:kern w:val="0"/>
                                              <w:sz w:val="26"/>
                                              <w:szCs w:val="26"/>
                                              <w14:ligatures w14:val="none"/>
                                            </w:rPr>
                                            <w:t>IMPORTANT SAFETY INFORMATION</w:t>
                                          </w:r>
                                        </w:p>
                                      </w:tc>
                                    </w:tr>
                                    <w:tr w:rsidR="007A35AC" w:rsidRPr="007A35AC" w14:paraId="6A20EB55" w14:textId="77777777">
                                      <w:trPr>
                                        <w:tblCellSpacing w:w="0" w:type="dxa"/>
                                      </w:trPr>
                                      <w:tc>
                                        <w:tcPr>
                                          <w:tcW w:w="0" w:type="auto"/>
                                          <w:tcMar>
                                            <w:top w:w="0" w:type="dxa"/>
                                            <w:left w:w="375" w:type="dxa"/>
                                            <w:bottom w:w="150" w:type="dxa"/>
                                            <w:right w:w="375" w:type="dxa"/>
                                          </w:tcMar>
                                          <w:vAlign w:val="center"/>
                                          <w:hideMark/>
                                        </w:tcPr>
                                        <w:p w14:paraId="7032DBA3" w14:textId="77777777" w:rsidR="007A35AC" w:rsidRPr="007A35AC" w:rsidRDefault="007A35AC" w:rsidP="007A35AC">
                                          <w:pPr>
                                            <w:spacing w:after="0" w:line="240" w:lineRule="auto"/>
                                            <w:rPr>
                                              <w:rFonts w:ascii="Arial" w:eastAsia="Times New Roman" w:hAnsi="Arial" w:cs="Arial"/>
                                              <w:b/>
                                              <w:bCs/>
                                              <w:color w:val="712177"/>
                                              <w:kern w:val="0"/>
                                              <w:sz w:val="21"/>
                                              <w:szCs w:val="21"/>
                                              <w14:ligatures w14:val="none"/>
                                            </w:rPr>
                                          </w:pPr>
                                          <w:r w:rsidRPr="007A35AC">
                                            <w:rPr>
                                              <w:rFonts w:ascii="Arial" w:eastAsia="Times New Roman" w:hAnsi="Arial" w:cs="Arial"/>
                                              <w:b/>
                                              <w:bCs/>
                                              <w:color w:val="712177"/>
                                              <w:kern w:val="0"/>
                                              <w:sz w:val="21"/>
                                              <w:szCs w:val="21"/>
                                              <w14:ligatures w14:val="none"/>
                                            </w:rPr>
                                            <w:lastRenderedPageBreak/>
                                            <w:t>WARNINGS: INCREASED MORTALITY IN ELDERLY PATIENTS WITH DEMENTIA-RELATED PSYCHOSIS and SUICIDAL THOUGHTS AND BEHAVIORS</w:t>
                                          </w:r>
                                        </w:p>
                                      </w:tc>
                                    </w:tr>
                                    <w:tr w:rsidR="007A35AC" w:rsidRPr="007A35AC" w14:paraId="65BB7364"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40A71C87" w14:textId="77777777">
                                            <w:trPr>
                                              <w:tblCellSpacing w:w="0" w:type="dxa"/>
                                              <w:jc w:val="center"/>
                                            </w:trPr>
                                            <w:tc>
                                              <w:tcPr>
                                                <w:tcW w:w="0" w:type="auto"/>
                                                <w:tcMar>
                                                  <w:top w:w="0" w:type="dxa"/>
                                                  <w:left w:w="375" w:type="dxa"/>
                                                  <w:bottom w:w="7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39F1F8C5" w14:textId="77777777">
                                                  <w:trPr>
                                                    <w:tblCellSpacing w:w="0" w:type="dxa"/>
                                                  </w:trPr>
                                                  <w:tc>
                                                    <w:tcPr>
                                                      <w:tcW w:w="0" w:type="auto"/>
                                                      <w:vAlign w:val="center"/>
                                                      <w:hideMark/>
                                                    </w:tcPr>
                                                    <w:p w14:paraId="0BF10FA6"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12E17084"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1B4D0797" w14:textId="77777777">
                                                  <w:trPr>
                                                    <w:tblCellSpacing w:w="0" w:type="dxa"/>
                                                  </w:trPr>
                                                  <w:tc>
                                                    <w:tcPr>
                                                      <w:tcW w:w="0" w:type="auto"/>
                                                      <w:tcMar>
                                                        <w:top w:w="0" w:type="dxa"/>
                                                        <w:left w:w="150" w:type="dxa"/>
                                                        <w:bottom w:w="0" w:type="dxa"/>
                                                        <w:right w:w="300" w:type="dxa"/>
                                                      </w:tcMar>
                                                      <w:vAlign w:val="center"/>
                                                      <w:hideMark/>
                                                    </w:tcPr>
                                                    <w:p w14:paraId="6DA62E59"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Elderly patients with dementia-related psychosis treated with antipsychotic drugs are at an increased risk of death. VRAYLAR is not approved for treatment of patients with dementia-related psychosis.</w:t>
                                                      </w:r>
                                                    </w:p>
                                                  </w:tc>
                                                </w:tr>
                                              </w:tbl>
                                              <w:p w14:paraId="7528FE0D"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65FE3EC8"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5414B15C"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5C192037" w14:textId="77777777">
                                            <w:trPr>
                                              <w:tblCellSpacing w:w="0" w:type="dxa"/>
                                              <w:jc w:val="center"/>
                                            </w:trPr>
                                            <w:tc>
                                              <w:tcPr>
                                                <w:tcW w:w="0" w:type="auto"/>
                                                <w:tcMar>
                                                  <w:top w:w="0" w:type="dxa"/>
                                                  <w:left w:w="375" w:type="dxa"/>
                                                  <w:bottom w:w="0"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2CC24A57" w14:textId="77777777">
                                                  <w:trPr>
                                                    <w:tblCellSpacing w:w="0" w:type="dxa"/>
                                                  </w:trPr>
                                                  <w:tc>
                                                    <w:tcPr>
                                                      <w:tcW w:w="0" w:type="auto"/>
                                                      <w:vAlign w:val="center"/>
                                                      <w:hideMark/>
                                                    </w:tcPr>
                                                    <w:p w14:paraId="6346C361"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34AAA6E0"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D83F9FF" w14:textId="77777777">
                                                  <w:trPr>
                                                    <w:tblCellSpacing w:w="0" w:type="dxa"/>
                                                  </w:trPr>
                                                  <w:tc>
                                                    <w:tcPr>
                                                      <w:tcW w:w="0" w:type="auto"/>
                                                      <w:tcMar>
                                                        <w:top w:w="0" w:type="dxa"/>
                                                        <w:left w:w="150" w:type="dxa"/>
                                                        <w:bottom w:w="0" w:type="dxa"/>
                                                        <w:right w:w="300" w:type="dxa"/>
                                                      </w:tcMar>
                                                      <w:vAlign w:val="center"/>
                                                      <w:hideMark/>
                                                    </w:tcPr>
                                                    <w:p w14:paraId="11D0ACDB"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Antidepressants increased the risk of suicidal thoughts and behaviors in pediatric and young adult patients in short-term studies. Closely monitor antidepressant-treated patients for clinical worsening, and for emergence of suicidal thoughts and behaviors. Safety and effectiveness of VRAYLAR have not been established in pediatric patients.</w:t>
                                                      </w:r>
                                                    </w:p>
                                                  </w:tc>
                                                </w:tr>
                                              </w:tbl>
                                              <w:p w14:paraId="1B1A541A"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4AF5D5B7"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00CE8C11"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4665E993"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3C3A3BCF" w14:textId="77777777">
                                                  <w:trPr>
                                                    <w:tblCellSpacing w:w="0" w:type="dxa"/>
                                                  </w:trPr>
                                                  <w:tc>
                                                    <w:tcPr>
                                                      <w:tcW w:w="0" w:type="auto"/>
                                                      <w:tcMar>
                                                        <w:top w:w="150" w:type="dxa"/>
                                                        <w:left w:w="375" w:type="dxa"/>
                                                        <w:bottom w:w="150" w:type="dxa"/>
                                                        <w:right w:w="375" w:type="dxa"/>
                                                      </w:tcMar>
                                                      <w:vAlign w:val="center"/>
                                                      <w:hideMark/>
                                                    </w:tcPr>
                                                    <w:p w14:paraId="38E4F522"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Contraindication:</w:t>
                                                      </w:r>
                                                      <w:r w:rsidRPr="007A35AC">
                                                        <w:rPr>
                                                          <w:rFonts w:ascii="Arial" w:eastAsia="Times New Roman" w:hAnsi="Arial" w:cs="Arial"/>
                                                          <w:color w:val="000000"/>
                                                          <w:kern w:val="0"/>
                                                          <w:sz w:val="21"/>
                                                          <w:szCs w:val="21"/>
                                                          <w14:ligatures w14:val="none"/>
                                                        </w:rPr>
                                                        <w:t> VRAYLAR is contraindicated in patients with known hypersensitivity. Reactions have included rash, pruritus, urticaria, and reactions suggestive of angioedema.</w:t>
                                                      </w:r>
                                                    </w:p>
                                                    <w:p w14:paraId="429CE39B"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17D48B60"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Cerebrovascular Adverse Reactions, Including Stroke:</w:t>
                                                      </w:r>
                                                      <w:r w:rsidRPr="007A35AC">
                                                        <w:rPr>
                                                          <w:rFonts w:ascii="Arial" w:eastAsia="Times New Roman" w:hAnsi="Arial" w:cs="Arial"/>
                                                          <w:color w:val="000000"/>
                                                          <w:kern w:val="0"/>
                                                          <w:sz w:val="21"/>
                                                          <w:szCs w:val="21"/>
                                                          <w14:ligatures w14:val="none"/>
                                                        </w:rPr>
                                                        <w:t> In clinical trials with antipsychotic drugs, elderly patients with dementia had a higher incidence of cerebrovascular adverse reactions, including fatalities, vs placebo. VRAYLAR is not approved for the treatment of patients with dementia-related psychosis.</w:t>
                                                      </w:r>
                                                    </w:p>
                                                    <w:p w14:paraId="4FF3A217"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509E1962"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Neuroleptic Malignant Syndrome (NMS):</w:t>
                                                      </w:r>
                                                      <w:r w:rsidRPr="007A35AC">
                                                        <w:rPr>
                                                          <w:rFonts w:ascii="Arial" w:eastAsia="Times New Roman" w:hAnsi="Arial" w:cs="Arial"/>
                                                          <w:color w:val="000000"/>
                                                          <w:kern w:val="0"/>
                                                          <w:sz w:val="21"/>
                                                          <w:szCs w:val="21"/>
                                                          <w14:ligatures w14:val="none"/>
                                                        </w:rPr>
                                                        <w:t> NMS, a potentially fatal symptom complex, has been reported with antipsychotic drugs. NMS may cause hyperpyrexia, muscle rigidity, delirium, and autonomic instability. Additional signs may include elevated creatine phosphokinase, myoglobinuria (rhabdomyolysis), and acute renal failure. Manage with immediate discontinuation, intensive symptomatic treatment, and monitoring.</w:t>
                                                      </w:r>
                                                    </w:p>
                                                    <w:p w14:paraId="5C4093F3"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3478B8D4"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Tardive Dyskinesia (TD):</w:t>
                                                      </w:r>
                                                      <w:r w:rsidRPr="007A35AC">
                                                        <w:rPr>
                                                          <w:rFonts w:ascii="Arial" w:eastAsia="Times New Roman" w:hAnsi="Arial" w:cs="Arial"/>
                                                          <w:color w:val="000000"/>
                                                          <w:kern w:val="0"/>
                                                          <w:sz w:val="21"/>
                                                          <w:szCs w:val="21"/>
                                                          <w14:ligatures w14:val="none"/>
                                                        </w:rPr>
                                                        <w:t> Risk of developing TD (a syndrome of potentially irreversible, involuntary, dyskinetic movements) and the likelihood it will become irreversible may increase with the duration of treatment and the cumulative dose. The syndrome can develop after a relatively brief treatment period, even at low doses, or after treatment discontinuation. If signs and symptoms of TD appear, drug discontinuation should be considered.</w:t>
                                                      </w:r>
                                                    </w:p>
                                                    <w:p w14:paraId="165777E8"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349FBF6C"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Late-Occurring Adverse Reactions:</w:t>
                                                      </w:r>
                                                      <w:r w:rsidRPr="007A35AC">
                                                        <w:rPr>
                                                          <w:rFonts w:ascii="Arial" w:eastAsia="Times New Roman" w:hAnsi="Arial" w:cs="Arial"/>
                                                          <w:color w:val="000000"/>
                                                          <w:kern w:val="0"/>
                                                          <w:sz w:val="21"/>
                                                          <w:szCs w:val="21"/>
                                                          <w14:ligatures w14:val="none"/>
                                                        </w:rPr>
                                                        <w:t xml:space="preserve"> Adverse reactions may first appear several weeks after initiation of VRAYLAR, probably because plasma levels of </w:t>
                                                      </w:r>
                                                      <w:proofErr w:type="spellStart"/>
                                                      <w:r w:rsidRPr="007A35AC">
                                                        <w:rPr>
                                                          <w:rFonts w:ascii="Arial" w:eastAsia="Times New Roman" w:hAnsi="Arial" w:cs="Arial"/>
                                                          <w:color w:val="000000"/>
                                                          <w:kern w:val="0"/>
                                                          <w:sz w:val="21"/>
                                                          <w:szCs w:val="21"/>
                                                          <w14:ligatures w14:val="none"/>
                                                        </w:rPr>
                                                        <w:t>cariprazine</w:t>
                                                      </w:r>
                                                      <w:proofErr w:type="spellEnd"/>
                                                      <w:r w:rsidRPr="007A35AC">
                                                        <w:rPr>
                                                          <w:rFonts w:ascii="Arial" w:eastAsia="Times New Roman" w:hAnsi="Arial" w:cs="Arial"/>
                                                          <w:color w:val="000000"/>
                                                          <w:kern w:val="0"/>
                                                          <w:sz w:val="21"/>
                                                          <w:szCs w:val="21"/>
                                                          <w14:ligatures w14:val="none"/>
                                                        </w:rPr>
                                                        <w:t xml:space="preserve"> and its major metabolites accumulate over time. As a result, the incidence of adverse reactions in short-term trials may not reflect the rates after longer-term exposures. Monitor for adverse reactions, including extrapyramidal symptoms (EPS) or akathisia, and patient response for several weeks after starting VRAYLAR and after each dosage increase. Consider reducing the dose or discontinuing the drug.</w:t>
                                                      </w:r>
                                                    </w:p>
                                                    <w:p w14:paraId="6F7F584A"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036B08B8"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Metabolic Changes:</w:t>
                                                      </w:r>
                                                      <w:r w:rsidRPr="007A35AC">
                                                        <w:rPr>
                                                          <w:rFonts w:ascii="Arial" w:eastAsia="Times New Roman" w:hAnsi="Arial" w:cs="Arial"/>
                                                          <w:color w:val="000000"/>
                                                          <w:kern w:val="0"/>
                                                          <w:sz w:val="21"/>
                                                          <w:szCs w:val="21"/>
                                                          <w14:ligatures w14:val="none"/>
                                                        </w:rPr>
                                                        <w:t> Atypical antipsychotics, including VRAYLAR, have caused metabolic changes, such as:</w:t>
                                                      </w:r>
                                                    </w:p>
                                                  </w:tc>
                                                </w:tr>
                                              </w:tbl>
                                              <w:p w14:paraId="21153A2F"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4EBE97B3"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0EE01A15"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5106E9CB"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74D07691"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4707A35A"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p>
              </w:tc>
            </w:tr>
          </w:tbl>
          <w:p w14:paraId="5F822CD2"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7F381DE8"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30107A2A"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52FB3F8E"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6382F910" w14:textId="77777777">
                    <w:trPr>
                      <w:tblCellSpacing w:w="0" w:type="dxa"/>
                      <w:jc w:val="center"/>
                    </w:trPr>
                    <w:tc>
                      <w:tcPr>
                        <w:tcW w:w="0" w:type="auto"/>
                        <w:shd w:val="clear" w:color="auto" w:fill="F3F4F4"/>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1B19C05A"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18B8C72C"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6B0DCEA6"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75B22292" w14:textId="77777777">
                                            <w:trPr>
                                              <w:tblCellSpacing w:w="0" w:type="dxa"/>
                                              <w:jc w:val="center"/>
                                            </w:trPr>
                                            <w:tc>
                                              <w:tcPr>
                                                <w:tcW w:w="0" w:type="auto"/>
                                                <w:tcMar>
                                                  <w:top w:w="0" w:type="dxa"/>
                                                  <w:left w:w="375" w:type="dxa"/>
                                                  <w:bottom w:w="7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81A4800" w14:textId="77777777">
                                                  <w:trPr>
                                                    <w:tblCellSpacing w:w="0" w:type="dxa"/>
                                                  </w:trPr>
                                                  <w:tc>
                                                    <w:tcPr>
                                                      <w:tcW w:w="0" w:type="auto"/>
                                                      <w:vAlign w:val="center"/>
                                                      <w:hideMark/>
                                                    </w:tcPr>
                                                    <w:p w14:paraId="26E05B46"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7348EAFC"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7107911A" w14:textId="77777777">
                                                  <w:trPr>
                                                    <w:tblCellSpacing w:w="0" w:type="dxa"/>
                                                  </w:trPr>
                                                  <w:tc>
                                                    <w:tcPr>
                                                      <w:tcW w:w="0" w:type="auto"/>
                                                      <w:tcMar>
                                                        <w:top w:w="0" w:type="dxa"/>
                                                        <w:left w:w="150" w:type="dxa"/>
                                                        <w:bottom w:w="0" w:type="dxa"/>
                                                        <w:right w:w="300" w:type="dxa"/>
                                                      </w:tcMar>
                                                      <w:vAlign w:val="center"/>
                                                      <w:hideMark/>
                                                    </w:tcPr>
                                                    <w:p w14:paraId="4F6BAE39"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Hyperglycemia and Diabetes Mellitus:</w:t>
                                                      </w:r>
                                                      <w:r w:rsidRPr="007A35AC">
                                                        <w:rPr>
                                                          <w:rFonts w:ascii="Arial" w:eastAsia="Times New Roman" w:hAnsi="Arial" w:cs="Arial"/>
                                                          <w:color w:val="000000"/>
                                                          <w:kern w:val="0"/>
                                                          <w:sz w:val="21"/>
                                                          <w:szCs w:val="21"/>
                                                          <w14:ligatures w14:val="none"/>
                                                        </w:rPr>
                                                        <w:t xml:space="preserve"> Hyperglycemia, in some cases associated with ketoacidosis, hyperosmolar coma, or death, has been reported in patients treated with atypical antipsychotics. Assess fasting glucose before or soon after initiation of </w:t>
                                                      </w:r>
                                                      <w:proofErr w:type="gramStart"/>
                                                      <w:r w:rsidRPr="007A35AC">
                                                        <w:rPr>
                                                          <w:rFonts w:ascii="Arial" w:eastAsia="Times New Roman" w:hAnsi="Arial" w:cs="Arial"/>
                                                          <w:color w:val="000000"/>
                                                          <w:kern w:val="0"/>
                                                          <w:sz w:val="21"/>
                                                          <w:szCs w:val="21"/>
                                                          <w14:ligatures w14:val="none"/>
                                                        </w:rPr>
                                                        <w:t>treatment, and</w:t>
                                                      </w:r>
                                                      <w:proofErr w:type="gramEnd"/>
                                                      <w:r w:rsidRPr="007A35AC">
                                                        <w:rPr>
                                                          <w:rFonts w:ascii="Arial" w:eastAsia="Times New Roman" w:hAnsi="Arial" w:cs="Arial"/>
                                                          <w:color w:val="000000"/>
                                                          <w:kern w:val="0"/>
                                                          <w:sz w:val="21"/>
                                                          <w:szCs w:val="21"/>
                                                          <w14:ligatures w14:val="none"/>
                                                        </w:rPr>
                                                        <w:t xml:space="preserve"> monitor periodically during long-term treatment.</w:t>
                                                      </w:r>
                                                    </w:p>
                                                  </w:tc>
                                                </w:tr>
                                              </w:tbl>
                                              <w:p w14:paraId="4A568ED3"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4DE526C9"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75CF3920"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1B9A2745" w14:textId="77777777">
                                            <w:trPr>
                                              <w:tblCellSpacing w:w="0" w:type="dxa"/>
                                              <w:jc w:val="center"/>
                                            </w:trPr>
                                            <w:tc>
                                              <w:tcPr>
                                                <w:tcW w:w="0" w:type="auto"/>
                                                <w:tcMar>
                                                  <w:top w:w="0" w:type="dxa"/>
                                                  <w:left w:w="375" w:type="dxa"/>
                                                  <w:bottom w:w="7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6352064" w14:textId="77777777">
                                                  <w:trPr>
                                                    <w:tblCellSpacing w:w="0" w:type="dxa"/>
                                                  </w:trPr>
                                                  <w:tc>
                                                    <w:tcPr>
                                                      <w:tcW w:w="0" w:type="auto"/>
                                                      <w:vAlign w:val="center"/>
                                                      <w:hideMark/>
                                                    </w:tcPr>
                                                    <w:p w14:paraId="0BBDAA26"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lastRenderedPageBreak/>
                                                        <w:t>•</w:t>
                                                      </w:r>
                                                    </w:p>
                                                  </w:tc>
                                                </w:tr>
                                              </w:tbl>
                                              <w:p w14:paraId="3F2852BA"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CD26D5B" w14:textId="77777777">
                                                  <w:trPr>
                                                    <w:tblCellSpacing w:w="0" w:type="dxa"/>
                                                  </w:trPr>
                                                  <w:tc>
                                                    <w:tcPr>
                                                      <w:tcW w:w="0" w:type="auto"/>
                                                      <w:tcMar>
                                                        <w:top w:w="0" w:type="dxa"/>
                                                        <w:left w:w="150" w:type="dxa"/>
                                                        <w:bottom w:w="0" w:type="dxa"/>
                                                        <w:right w:w="300" w:type="dxa"/>
                                                      </w:tcMar>
                                                      <w:vAlign w:val="center"/>
                                                      <w:hideMark/>
                                                    </w:tcPr>
                                                    <w:p w14:paraId="08FA7E78"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Dyslipidemia: </w:t>
                                                      </w:r>
                                                      <w:r w:rsidRPr="007A35AC">
                                                        <w:rPr>
                                                          <w:rFonts w:ascii="Arial" w:eastAsia="Times New Roman" w:hAnsi="Arial" w:cs="Arial"/>
                                                          <w:color w:val="000000"/>
                                                          <w:kern w:val="0"/>
                                                          <w:sz w:val="21"/>
                                                          <w:szCs w:val="21"/>
                                                          <w14:ligatures w14:val="none"/>
                                                        </w:rPr>
                                                        <w:t>Atypical antipsychotics cause adverse alterations in lipids. Before or soon after starting an antipsychotic, obtain baseline fasting lipid profile and monitor periodically during treatment.</w:t>
                                                      </w:r>
                                                    </w:p>
                                                  </w:tc>
                                                </w:tr>
                                              </w:tbl>
                                              <w:p w14:paraId="7FB9F287"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03E15038"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2FD4A509"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7FC38BC6" w14:textId="77777777">
                                            <w:trPr>
                                              <w:tblCellSpacing w:w="0" w:type="dxa"/>
                                              <w:jc w:val="center"/>
                                            </w:trPr>
                                            <w:tc>
                                              <w:tcPr>
                                                <w:tcW w:w="0" w:type="auto"/>
                                                <w:tcMar>
                                                  <w:top w:w="0" w:type="dxa"/>
                                                  <w:left w:w="375" w:type="dxa"/>
                                                  <w:bottom w:w="0"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17186794" w14:textId="77777777">
                                                  <w:trPr>
                                                    <w:tblCellSpacing w:w="0" w:type="dxa"/>
                                                  </w:trPr>
                                                  <w:tc>
                                                    <w:tcPr>
                                                      <w:tcW w:w="0" w:type="auto"/>
                                                      <w:vAlign w:val="center"/>
                                                      <w:hideMark/>
                                                    </w:tcPr>
                                                    <w:p w14:paraId="29CF7717"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1E4A516A"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49B0BA02" w14:textId="77777777">
                                                  <w:trPr>
                                                    <w:tblCellSpacing w:w="0" w:type="dxa"/>
                                                  </w:trPr>
                                                  <w:tc>
                                                    <w:tcPr>
                                                      <w:tcW w:w="0" w:type="auto"/>
                                                      <w:tcMar>
                                                        <w:top w:w="0" w:type="dxa"/>
                                                        <w:left w:w="150" w:type="dxa"/>
                                                        <w:bottom w:w="0" w:type="dxa"/>
                                                        <w:right w:w="300" w:type="dxa"/>
                                                      </w:tcMar>
                                                      <w:vAlign w:val="center"/>
                                                      <w:hideMark/>
                                                    </w:tcPr>
                                                    <w:p w14:paraId="24220F46"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Weight Gain:</w:t>
                                                      </w:r>
                                                      <w:r w:rsidRPr="007A35AC">
                                                        <w:rPr>
                                                          <w:rFonts w:ascii="Arial" w:eastAsia="Times New Roman" w:hAnsi="Arial" w:cs="Arial"/>
                                                          <w:color w:val="000000"/>
                                                          <w:kern w:val="0"/>
                                                          <w:sz w:val="21"/>
                                                          <w:szCs w:val="21"/>
                                                          <w14:ligatures w14:val="none"/>
                                                        </w:rPr>
                                                        <w:t> Weight gain has been observed with VRAYLAR. Monitor weight at baseline and frequently thereafter.</w:t>
                                                      </w:r>
                                                    </w:p>
                                                  </w:tc>
                                                </w:tr>
                                              </w:tbl>
                                              <w:p w14:paraId="1BDCC6CE"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0BD61AF3"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12AC0E1D"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7DC33F0E"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2DF7615C" w14:textId="77777777">
                                                  <w:trPr>
                                                    <w:tblCellSpacing w:w="0" w:type="dxa"/>
                                                  </w:trPr>
                                                  <w:tc>
                                                    <w:tcPr>
                                                      <w:tcW w:w="0" w:type="auto"/>
                                                      <w:vAlign w:val="center"/>
                                                      <w:hideMark/>
                                                    </w:tcPr>
                                                    <w:p w14:paraId="0BCC0C0F" w14:textId="77777777" w:rsidR="007A35AC" w:rsidRPr="007A35AC" w:rsidRDefault="007A35AC" w:rsidP="007A35AC">
                                                      <w:pPr>
                                                        <w:spacing w:after="0" w:line="0" w:lineRule="atLeast"/>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c>
                                                </w:tr>
                                              </w:tbl>
                                              <w:p w14:paraId="065ECBF6"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4657001C"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6DA61D23"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03BD956A"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45F5030E"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3299D7DE"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p>
              </w:tc>
            </w:tr>
          </w:tbl>
          <w:p w14:paraId="0BC2179C"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032B6378"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12D74EFF"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7F783F26"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388B0EB9" w14:textId="77777777">
                    <w:trPr>
                      <w:tblCellSpacing w:w="0" w:type="dxa"/>
                      <w:jc w:val="center"/>
                    </w:trPr>
                    <w:tc>
                      <w:tcPr>
                        <w:tcW w:w="0" w:type="auto"/>
                        <w:shd w:val="clear" w:color="auto" w:fill="F3F4F4"/>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66F2A602"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42D7FE48"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7E92A497"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609095AE"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57F69816" w14:textId="77777777">
                                                  <w:trPr>
                                                    <w:tblCellSpacing w:w="0" w:type="dxa"/>
                                                  </w:trPr>
                                                  <w:tc>
                                                    <w:tcPr>
                                                      <w:tcW w:w="0" w:type="auto"/>
                                                      <w:tcMar>
                                                        <w:top w:w="150" w:type="dxa"/>
                                                        <w:left w:w="375" w:type="dxa"/>
                                                        <w:bottom w:w="150" w:type="dxa"/>
                                                        <w:right w:w="375" w:type="dxa"/>
                                                      </w:tcMar>
                                                      <w:vAlign w:val="center"/>
                                                      <w:hideMark/>
                                                    </w:tcPr>
                                                    <w:p w14:paraId="3293ADA3"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Leukopenia, Neutropenia, and Agranulocytosis:</w:t>
                                                      </w:r>
                                                      <w:r w:rsidRPr="007A35AC">
                                                        <w:rPr>
                                                          <w:rFonts w:ascii="Arial" w:eastAsia="Times New Roman" w:hAnsi="Arial" w:cs="Arial"/>
                                                          <w:color w:val="000000"/>
                                                          <w:kern w:val="0"/>
                                                          <w:sz w:val="21"/>
                                                          <w:szCs w:val="21"/>
                                                          <w14:ligatures w14:val="none"/>
                                                        </w:rPr>
                                                        <w:t> Leukopenia/neutropenia have been reported with antipsychotics, including VRAYLAR. Agranulocytosis (including fatal cases) has been reported with other antipsychotics. Monitor complete blood count in patients with pre-existing low white blood cell count (WBC)/absolute neutrophil count or history of drug-induced leukopenia/neutropenia. Discontinue VRAYLAR at the first sign of a clinically significant decline in WBC and in severely neutropenic patients.</w:t>
                                                      </w:r>
                                                    </w:p>
                                                    <w:p w14:paraId="66792526"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509318F7"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Orthostatic Hypotension and Syncope: </w:t>
                                                      </w:r>
                                                      <w:r w:rsidRPr="007A35AC">
                                                        <w:rPr>
                                                          <w:rFonts w:ascii="Arial" w:eastAsia="Times New Roman" w:hAnsi="Arial" w:cs="Arial"/>
                                                          <w:color w:val="000000"/>
                                                          <w:kern w:val="0"/>
                                                          <w:sz w:val="21"/>
                                                          <w:szCs w:val="21"/>
                                                          <w14:ligatures w14:val="none"/>
                                                        </w:rPr>
                                                        <w:t>Atypical antipsychotics cause orthostatic hypotension and syncope, with the greatest risk during initial titration and with dose increases. Monitor orthostatic vital signs in patients predisposed to hypotension and in those with cardiovascular/cerebrovascular diseases.</w:t>
                                                      </w:r>
                                                    </w:p>
                                                    <w:p w14:paraId="3631A6BB"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29D61619"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Falls: </w:t>
                                                      </w:r>
                                                      <w:r w:rsidRPr="007A35AC">
                                                        <w:rPr>
                                                          <w:rFonts w:ascii="Arial" w:eastAsia="Times New Roman" w:hAnsi="Arial" w:cs="Arial"/>
                                                          <w:color w:val="000000"/>
                                                          <w:kern w:val="0"/>
                                                          <w:sz w:val="21"/>
                                                          <w:szCs w:val="21"/>
                                                          <w14:ligatures w14:val="none"/>
                                                        </w:rPr>
                                                        <w:t>VRAYLAR may cause somnolence, postural hypotension, motor and sensory instability, which may lead to falls and, consequently, fractures or other injuries. For patients with diseases, conditions, or medications that could exacerbate these effects, complete fall risk assessments when initiating antipsychotics and recurrently for patients on long-term therapy.</w:t>
                                                      </w:r>
                                                    </w:p>
                                                    <w:p w14:paraId="151A7F79"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3498F5E3"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Seizures:</w:t>
                                                      </w:r>
                                                      <w:r w:rsidRPr="007A35AC">
                                                        <w:rPr>
                                                          <w:rFonts w:ascii="Arial" w:eastAsia="Times New Roman" w:hAnsi="Arial" w:cs="Arial"/>
                                                          <w:color w:val="000000"/>
                                                          <w:kern w:val="0"/>
                                                          <w:sz w:val="21"/>
                                                          <w:szCs w:val="21"/>
                                                          <w14:ligatures w14:val="none"/>
                                                        </w:rPr>
                                                        <w:t> Use VRAYLAR with caution in patients with a history of seizures or with conditions that lower the seizure threshold.</w:t>
                                                      </w:r>
                                                    </w:p>
                                                    <w:p w14:paraId="6B1DD064"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71D07EBE"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Potential for Cognitive and Motor Impairment:</w:t>
                                                      </w:r>
                                                      <w:r w:rsidRPr="007A35AC">
                                                        <w:rPr>
                                                          <w:rFonts w:ascii="Arial" w:eastAsia="Times New Roman" w:hAnsi="Arial" w:cs="Arial"/>
                                                          <w:color w:val="000000"/>
                                                          <w:kern w:val="0"/>
                                                          <w:sz w:val="21"/>
                                                          <w:szCs w:val="21"/>
                                                          <w14:ligatures w14:val="none"/>
                                                        </w:rPr>
                                                        <w:t xml:space="preserve"> Somnolence was reported </w:t>
                                                      </w:r>
                                                      <w:proofErr w:type="gramStart"/>
                                                      <w:r w:rsidRPr="007A35AC">
                                                        <w:rPr>
                                                          <w:rFonts w:ascii="Arial" w:eastAsia="Times New Roman" w:hAnsi="Arial" w:cs="Arial"/>
                                                          <w:color w:val="000000"/>
                                                          <w:kern w:val="0"/>
                                                          <w:sz w:val="21"/>
                                                          <w:szCs w:val="21"/>
                                                          <w14:ligatures w14:val="none"/>
                                                        </w:rPr>
                                                        <w:t>with</w:t>
                                                      </w:r>
                                                      <w:proofErr w:type="gramEnd"/>
                                                      <w:r w:rsidRPr="007A35AC">
                                                        <w:rPr>
                                                          <w:rFonts w:ascii="Arial" w:eastAsia="Times New Roman" w:hAnsi="Arial" w:cs="Arial"/>
                                                          <w:color w:val="000000"/>
                                                          <w:kern w:val="0"/>
                                                          <w:sz w:val="21"/>
                                                          <w:szCs w:val="21"/>
                                                          <w14:ligatures w14:val="none"/>
                                                        </w:rPr>
                                                        <w:t xml:space="preserve"> VRAYLAR. Caution patients about performing activities requiring mental alertness (</w:t>
                                                      </w:r>
                                                      <w:proofErr w:type="spellStart"/>
                                                      <w:r w:rsidRPr="007A35AC">
                                                        <w:rPr>
                                                          <w:rFonts w:ascii="Arial" w:eastAsia="Times New Roman" w:hAnsi="Arial" w:cs="Arial"/>
                                                          <w:color w:val="000000"/>
                                                          <w:kern w:val="0"/>
                                                          <w:sz w:val="21"/>
                                                          <w:szCs w:val="21"/>
                                                          <w14:ligatures w14:val="none"/>
                                                        </w:rPr>
                                                        <w:t>eg</w:t>
                                                      </w:r>
                                                      <w:proofErr w:type="spellEnd"/>
                                                      <w:r w:rsidRPr="007A35AC">
                                                        <w:rPr>
                                                          <w:rFonts w:ascii="Arial" w:eastAsia="Times New Roman" w:hAnsi="Arial" w:cs="Arial"/>
                                                          <w:color w:val="000000"/>
                                                          <w:kern w:val="0"/>
                                                          <w:sz w:val="21"/>
                                                          <w:szCs w:val="21"/>
                                                          <w14:ligatures w14:val="none"/>
                                                        </w:rPr>
                                                        <w:t>, operating hazardous machinery or a motor vehicle).</w:t>
                                                      </w:r>
                                                    </w:p>
                                                    <w:p w14:paraId="669B26F2"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69320FB7"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Body Temperature Dysregulation:</w:t>
                                                      </w:r>
                                                      <w:r w:rsidRPr="007A35AC">
                                                        <w:rPr>
                                                          <w:rFonts w:ascii="Arial" w:eastAsia="Times New Roman" w:hAnsi="Arial" w:cs="Arial"/>
                                                          <w:color w:val="000000"/>
                                                          <w:kern w:val="0"/>
                                                          <w:sz w:val="21"/>
                                                          <w:szCs w:val="21"/>
                                                          <w14:ligatures w14:val="none"/>
                                                        </w:rPr>
                                                        <w:t> Use VRAYLAR with caution in patients who may experience conditions that increase body temperature (</w:t>
                                                      </w:r>
                                                      <w:proofErr w:type="spellStart"/>
                                                      <w:r w:rsidRPr="007A35AC">
                                                        <w:rPr>
                                                          <w:rFonts w:ascii="Arial" w:eastAsia="Times New Roman" w:hAnsi="Arial" w:cs="Arial"/>
                                                          <w:color w:val="000000"/>
                                                          <w:kern w:val="0"/>
                                                          <w:sz w:val="21"/>
                                                          <w:szCs w:val="21"/>
                                                          <w14:ligatures w14:val="none"/>
                                                        </w:rPr>
                                                        <w:t>eg</w:t>
                                                      </w:r>
                                                      <w:proofErr w:type="spellEnd"/>
                                                      <w:r w:rsidRPr="007A35AC">
                                                        <w:rPr>
                                                          <w:rFonts w:ascii="Arial" w:eastAsia="Times New Roman" w:hAnsi="Arial" w:cs="Arial"/>
                                                          <w:color w:val="000000"/>
                                                          <w:kern w:val="0"/>
                                                          <w:sz w:val="21"/>
                                                          <w:szCs w:val="21"/>
                                                          <w14:ligatures w14:val="none"/>
                                                        </w:rPr>
                                                        <w:t>, strenuous exercise, extreme heat, dehydration, or concomitant anticholinergics).</w:t>
                                                      </w:r>
                                                    </w:p>
                                                    <w:p w14:paraId="4091DEB6"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3719AFEE"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Dysphagia: </w:t>
                                                      </w:r>
                                                      <w:r w:rsidRPr="007A35AC">
                                                        <w:rPr>
                                                          <w:rFonts w:ascii="Arial" w:eastAsia="Times New Roman" w:hAnsi="Arial" w:cs="Arial"/>
                                                          <w:color w:val="000000"/>
                                                          <w:kern w:val="0"/>
                                                          <w:sz w:val="21"/>
                                                          <w:szCs w:val="21"/>
                                                          <w14:ligatures w14:val="none"/>
                                                        </w:rPr>
                                                        <w:t>Esophageal dysmotility and aspiration have been associated with antipsychotics. Antipsychotic drugs, including VRAYLAR, should be used cautiously in patients at risk for aspiration.</w:t>
                                                      </w:r>
                                                    </w:p>
                                                    <w:p w14:paraId="6F7EFFB2"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76243F61"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Drug Interactions:</w:t>
                                                      </w:r>
                                                      <w:r w:rsidRPr="007A35AC">
                                                        <w:rPr>
                                                          <w:rFonts w:ascii="Arial" w:eastAsia="Times New Roman" w:hAnsi="Arial" w:cs="Arial"/>
                                                          <w:color w:val="000000"/>
                                                          <w:kern w:val="0"/>
                                                          <w:sz w:val="21"/>
                                                          <w:szCs w:val="21"/>
                                                          <w14:ligatures w14:val="none"/>
                                                        </w:rPr>
                                                        <w:t> Strong and moderate CYP3A4 inhibitors increase VRAYLAR concentrations, so VRAYLAR dose reduction is recommended. Concomitant use with CYP3A4 inducers is not recommended.</w:t>
                                                      </w:r>
                                                    </w:p>
                                                    <w:p w14:paraId="67A065D8"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w:t>
                                                      </w:r>
                                                    </w:p>
                                                    <w:p w14:paraId="0F70082E"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712177"/>
                                                          <w:kern w:val="0"/>
                                                          <w:sz w:val="21"/>
                                                          <w:szCs w:val="21"/>
                                                          <w14:ligatures w14:val="none"/>
                                                        </w:rPr>
                                                        <w:t>Adverse Reactions: </w:t>
                                                      </w:r>
                                                      <w:r w:rsidRPr="007A35AC">
                                                        <w:rPr>
                                                          <w:rFonts w:ascii="Arial" w:eastAsia="Times New Roman" w:hAnsi="Arial" w:cs="Arial"/>
                                                          <w:color w:val="000000"/>
                                                          <w:kern w:val="0"/>
                                                          <w:sz w:val="21"/>
                                                          <w:szCs w:val="21"/>
                                                          <w14:ligatures w14:val="none"/>
                                                        </w:rPr>
                                                        <w:t>The most common adverse reactions in clinical trials (≥5% and at least twice the rate of placebo) are listed below:</w:t>
                                                      </w:r>
                                                    </w:p>
                                                  </w:tc>
                                                </w:tr>
                                              </w:tbl>
                                              <w:p w14:paraId="2A3579DB"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25CB2D39"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5AC14098"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7342DBAE"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05D7880D"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49C0AB4B"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p>
              </w:tc>
            </w:tr>
          </w:tbl>
          <w:p w14:paraId="431B8C04"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68FE426F"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7404247F"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7069CC9D"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27B6CFE0" w14:textId="77777777">
                    <w:trPr>
                      <w:tblCellSpacing w:w="0" w:type="dxa"/>
                      <w:jc w:val="center"/>
                    </w:trPr>
                    <w:tc>
                      <w:tcPr>
                        <w:tcW w:w="0" w:type="auto"/>
                        <w:shd w:val="clear" w:color="auto" w:fill="F3F4F4"/>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38A3909E"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1EC28781"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0BF19D94"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36FA5367" w14:textId="77777777">
                                            <w:trPr>
                                              <w:tblCellSpacing w:w="0" w:type="dxa"/>
                                              <w:jc w:val="center"/>
                                            </w:trPr>
                                            <w:tc>
                                              <w:tcPr>
                                                <w:tcW w:w="0" w:type="auto"/>
                                                <w:tcMar>
                                                  <w:top w:w="0" w:type="dxa"/>
                                                  <w:left w:w="375" w:type="dxa"/>
                                                  <w:bottom w:w="7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3BF41F41" w14:textId="77777777">
                                                  <w:trPr>
                                                    <w:tblCellSpacing w:w="0" w:type="dxa"/>
                                                  </w:trPr>
                                                  <w:tc>
                                                    <w:tcPr>
                                                      <w:tcW w:w="0" w:type="auto"/>
                                                      <w:vAlign w:val="center"/>
                                                      <w:hideMark/>
                                                    </w:tcPr>
                                                    <w:p w14:paraId="7D478632"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1F5FDA74"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7CEAB5F3" w14:textId="77777777">
                                                  <w:trPr>
                                                    <w:tblCellSpacing w:w="0" w:type="dxa"/>
                                                  </w:trPr>
                                                  <w:tc>
                                                    <w:tcPr>
                                                      <w:tcW w:w="0" w:type="auto"/>
                                                      <w:tcMar>
                                                        <w:top w:w="0" w:type="dxa"/>
                                                        <w:left w:w="150" w:type="dxa"/>
                                                        <w:bottom w:w="0" w:type="dxa"/>
                                                        <w:right w:w="300" w:type="dxa"/>
                                                      </w:tcMar>
                                                      <w:vAlign w:val="center"/>
                                                      <w:hideMark/>
                                                    </w:tcPr>
                                                    <w:p w14:paraId="3B4C65D0"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Adjunctive Treatment of Major Depressive Disorder:</w:t>
                                                      </w:r>
                                                      <w:r w:rsidRPr="007A35AC">
                                                        <w:rPr>
                                                          <w:rFonts w:ascii="Arial" w:eastAsia="Times New Roman" w:hAnsi="Arial" w:cs="Arial"/>
                                                          <w:color w:val="000000"/>
                                                          <w:kern w:val="0"/>
                                                          <w:sz w:val="21"/>
                                                          <w:szCs w:val="21"/>
                                                          <w14:ligatures w14:val="none"/>
                                                        </w:rPr>
                                                        <w:t> </w:t>
                                                      </w:r>
                                                    </w:p>
                                                  </w:tc>
                                                </w:tr>
                                              </w:tbl>
                                              <w:p w14:paraId="53531FDD"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3C5E6265"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3A7A681D"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5AA3D1D7" w14:textId="77777777">
                                            <w:trPr>
                                              <w:tblCellSpacing w:w="0" w:type="dxa"/>
                                              <w:jc w:val="center"/>
                                            </w:trPr>
                                            <w:tc>
                                              <w:tcPr>
                                                <w:tcW w:w="0" w:type="auto"/>
                                                <w:tcMar>
                                                  <w:top w:w="0" w:type="dxa"/>
                                                  <w:left w:w="375" w:type="dxa"/>
                                                  <w:bottom w:w="7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7F90762" w14:textId="77777777">
                                                  <w:trPr>
                                                    <w:tblCellSpacing w:w="0" w:type="dxa"/>
                                                  </w:trPr>
                                                  <w:tc>
                                                    <w:tcPr>
                                                      <w:tcW w:w="0" w:type="auto"/>
                                                      <w:vAlign w:val="center"/>
                                                      <w:hideMark/>
                                                    </w:tcPr>
                                                    <w:p w14:paraId="4F36E4EC" w14:textId="77777777" w:rsidR="007A35AC" w:rsidRPr="007A35AC" w:rsidRDefault="007A35AC" w:rsidP="007A35AC">
                                                      <w:pPr>
                                                        <w:spacing w:after="0" w:line="0" w:lineRule="atLeast"/>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c>
                                                </w:tr>
                                              </w:tbl>
                                              <w:p w14:paraId="779CDF50"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448CC231" w14:textId="77777777">
                                                  <w:trPr>
                                                    <w:tblCellSpacing w:w="0" w:type="dxa"/>
                                                  </w:trPr>
                                                  <w:tc>
                                                    <w:tcPr>
                                                      <w:tcW w:w="0" w:type="auto"/>
                                                      <w:vAlign w:val="center"/>
                                                      <w:hideMark/>
                                                    </w:tcPr>
                                                    <w:p w14:paraId="5830006A" w14:textId="77777777" w:rsidR="007A35AC" w:rsidRPr="007A35AC" w:rsidRDefault="007A35AC" w:rsidP="007A35AC">
                                                      <w:pPr>
                                                        <w:spacing w:after="0" w:line="240" w:lineRule="auto"/>
                                                        <w:rPr>
                                                          <w:rFonts w:ascii="Arial" w:eastAsia="Times New Roman" w:hAnsi="Arial" w:cs="Arial"/>
                                                          <w:color w:val="000000"/>
                                                          <w:kern w:val="0"/>
                                                          <w:sz w:val="20"/>
                                                          <w:szCs w:val="20"/>
                                                          <w14:ligatures w14:val="none"/>
                                                        </w:rPr>
                                                      </w:pPr>
                                                      <w:r w:rsidRPr="007A35AC">
                                                        <w:rPr>
                                                          <w:rFonts w:ascii="Arial" w:eastAsia="Times New Roman" w:hAnsi="Arial" w:cs="Arial"/>
                                                          <w:color w:val="000000"/>
                                                          <w:kern w:val="0"/>
                                                          <w:sz w:val="20"/>
                                                          <w:szCs w:val="20"/>
                                                          <w14:ligatures w14:val="none"/>
                                                        </w:rPr>
                                                        <w:t>– </w:t>
                                                      </w:r>
                                                    </w:p>
                                                  </w:tc>
                                                </w:tr>
                                              </w:tbl>
                                              <w:p w14:paraId="6702A9EA"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AADE128" w14:textId="77777777">
                                                  <w:trPr>
                                                    <w:tblCellSpacing w:w="0" w:type="dxa"/>
                                                  </w:trPr>
                                                  <w:tc>
                                                    <w:tcPr>
                                                      <w:tcW w:w="0" w:type="auto"/>
                                                      <w:tcMar>
                                                        <w:top w:w="0" w:type="dxa"/>
                                                        <w:left w:w="150" w:type="dxa"/>
                                                        <w:bottom w:w="0" w:type="dxa"/>
                                                        <w:right w:w="300" w:type="dxa"/>
                                                      </w:tcMar>
                                                      <w:vAlign w:val="center"/>
                                                      <w:hideMark/>
                                                    </w:tcPr>
                                                    <w:p w14:paraId="6C3D6739"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 xml:space="preserve">In </w:t>
                                                      </w:r>
                                                      <w:proofErr w:type="gramStart"/>
                                                      <w:r w:rsidRPr="007A35AC">
                                                        <w:rPr>
                                                          <w:rFonts w:ascii="Arial" w:eastAsia="Times New Roman" w:hAnsi="Arial" w:cs="Arial"/>
                                                          <w:color w:val="000000"/>
                                                          <w:kern w:val="0"/>
                                                          <w:sz w:val="21"/>
                                                          <w:szCs w:val="21"/>
                                                          <w14:ligatures w14:val="none"/>
                                                        </w:rPr>
                                                        <w:t>6-week</w:t>
                                                      </w:r>
                                                      <w:proofErr w:type="gramEnd"/>
                                                      <w:r w:rsidRPr="007A35AC">
                                                        <w:rPr>
                                                          <w:rFonts w:ascii="Arial" w:eastAsia="Times New Roman" w:hAnsi="Arial" w:cs="Arial"/>
                                                          <w:color w:val="000000"/>
                                                          <w:kern w:val="0"/>
                                                          <w:sz w:val="21"/>
                                                          <w:szCs w:val="21"/>
                                                          <w14:ligatures w14:val="none"/>
                                                        </w:rPr>
                                                        <w:t xml:space="preserve">, fixed-dose trials the incidences within the recommended doses (VRAYLAR 1.5 mg/day + antidepressant therapy [ADT] or 3 mg/day + ADT vs </w:t>
                                                      </w:r>
                                                      <w:r w:rsidRPr="007A35AC">
                                                        <w:rPr>
                                                          <w:rFonts w:ascii="Arial" w:eastAsia="Times New Roman" w:hAnsi="Arial" w:cs="Arial"/>
                                                          <w:color w:val="000000"/>
                                                          <w:kern w:val="0"/>
                                                          <w:sz w:val="21"/>
                                                          <w:szCs w:val="21"/>
                                                          <w14:ligatures w14:val="none"/>
                                                        </w:rPr>
                                                        <w:lastRenderedPageBreak/>
                                                        <w:t>placebo + ADT) were akathisia (7%, 10% vs 2%), nausea (7%, 6% vs 3%), and insomnia (9%, 10% vs 5%).</w:t>
                                                      </w:r>
                                                    </w:p>
                                                  </w:tc>
                                                </w:tr>
                                              </w:tbl>
                                              <w:p w14:paraId="4BA3814A"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59B61CC4"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11CEC71D"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301A0F02" w14:textId="77777777">
                                            <w:trPr>
                                              <w:tblCellSpacing w:w="0" w:type="dxa"/>
                                              <w:jc w:val="center"/>
                                            </w:trPr>
                                            <w:tc>
                                              <w:tcPr>
                                                <w:tcW w:w="0" w:type="auto"/>
                                                <w:tcMar>
                                                  <w:top w:w="0" w:type="dxa"/>
                                                  <w:left w:w="375" w:type="dxa"/>
                                                  <w:bottom w:w="7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6002F707" w14:textId="77777777">
                                                  <w:trPr>
                                                    <w:tblCellSpacing w:w="0" w:type="dxa"/>
                                                  </w:trPr>
                                                  <w:tc>
                                                    <w:tcPr>
                                                      <w:tcW w:w="0" w:type="auto"/>
                                                      <w:vAlign w:val="center"/>
                                                      <w:hideMark/>
                                                    </w:tcPr>
                                                    <w:p w14:paraId="04F9035F" w14:textId="77777777" w:rsidR="007A35AC" w:rsidRPr="007A35AC" w:rsidRDefault="007A35AC" w:rsidP="007A35AC">
                                                      <w:pPr>
                                                        <w:spacing w:after="0" w:line="0" w:lineRule="atLeast"/>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lastRenderedPageBreak/>
                                                        <w:t> </w:t>
                                                      </w:r>
                                                    </w:p>
                                                  </w:tc>
                                                </w:tr>
                                              </w:tbl>
                                              <w:p w14:paraId="6CCBA520"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73BA4B59" w14:textId="77777777">
                                                  <w:trPr>
                                                    <w:tblCellSpacing w:w="0" w:type="dxa"/>
                                                  </w:trPr>
                                                  <w:tc>
                                                    <w:tcPr>
                                                      <w:tcW w:w="0" w:type="auto"/>
                                                      <w:vAlign w:val="center"/>
                                                      <w:hideMark/>
                                                    </w:tcPr>
                                                    <w:p w14:paraId="5B8AB7CE" w14:textId="77777777" w:rsidR="007A35AC" w:rsidRPr="007A35AC" w:rsidRDefault="007A35AC" w:rsidP="007A35AC">
                                                      <w:pPr>
                                                        <w:spacing w:after="0" w:line="240" w:lineRule="auto"/>
                                                        <w:rPr>
                                                          <w:rFonts w:ascii="Arial" w:eastAsia="Times New Roman" w:hAnsi="Arial" w:cs="Arial"/>
                                                          <w:color w:val="000000"/>
                                                          <w:kern w:val="0"/>
                                                          <w:sz w:val="20"/>
                                                          <w:szCs w:val="20"/>
                                                          <w14:ligatures w14:val="none"/>
                                                        </w:rPr>
                                                      </w:pPr>
                                                      <w:r w:rsidRPr="007A35AC">
                                                        <w:rPr>
                                                          <w:rFonts w:ascii="Arial" w:eastAsia="Times New Roman" w:hAnsi="Arial" w:cs="Arial"/>
                                                          <w:color w:val="000000"/>
                                                          <w:kern w:val="0"/>
                                                          <w:sz w:val="20"/>
                                                          <w:szCs w:val="20"/>
                                                          <w14:ligatures w14:val="none"/>
                                                        </w:rPr>
                                                        <w:t>– </w:t>
                                                      </w:r>
                                                    </w:p>
                                                  </w:tc>
                                                </w:tr>
                                              </w:tbl>
                                              <w:p w14:paraId="4CE99CA7"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56FF25CB" w14:textId="77777777">
                                                  <w:trPr>
                                                    <w:tblCellSpacing w:w="0" w:type="dxa"/>
                                                  </w:trPr>
                                                  <w:tc>
                                                    <w:tcPr>
                                                      <w:tcW w:w="0" w:type="auto"/>
                                                      <w:tcMar>
                                                        <w:top w:w="0" w:type="dxa"/>
                                                        <w:left w:w="150" w:type="dxa"/>
                                                        <w:bottom w:w="0" w:type="dxa"/>
                                                        <w:right w:w="300" w:type="dxa"/>
                                                      </w:tcMar>
                                                      <w:vAlign w:val="center"/>
                                                      <w:hideMark/>
                                                    </w:tcPr>
                                                    <w:p w14:paraId="392B8E4E" w14:textId="77777777" w:rsidR="007A35AC" w:rsidRPr="007A35AC" w:rsidRDefault="007A35AC" w:rsidP="007A35AC">
                                                      <w:pPr>
                                                        <w:spacing w:after="0" w:line="240" w:lineRule="auto"/>
                                                        <w:rPr>
                                                          <w:rFonts w:ascii="Arial" w:eastAsia="Times New Roman" w:hAnsi="Arial" w:cs="Arial"/>
                                                          <w:color w:val="000000"/>
                                                          <w:spacing w:val="2"/>
                                                          <w:kern w:val="0"/>
                                                          <w:sz w:val="21"/>
                                                          <w:szCs w:val="21"/>
                                                          <w14:ligatures w14:val="none"/>
                                                        </w:rPr>
                                                      </w:pPr>
                                                      <w:r w:rsidRPr="007A35AC">
                                                        <w:rPr>
                                                          <w:rFonts w:ascii="Arial" w:eastAsia="Times New Roman" w:hAnsi="Arial" w:cs="Arial"/>
                                                          <w:color w:val="000000"/>
                                                          <w:spacing w:val="2"/>
                                                          <w:kern w:val="0"/>
                                                          <w:sz w:val="21"/>
                                                          <w:szCs w:val="21"/>
                                                          <w14:ligatures w14:val="none"/>
                                                        </w:rPr>
                                                        <w:t>In one 8-week flexible-dose trial, incidences within the doses (VRAYLAR 1-2 mg/day + antidepressant therapy [ADT] or 2-4.5 mg/day + ADT vs placebo + ADT) were akathisia (8%, 23% vs 3%), restlessness (8%, 8% vs 3%), fatigue (7%, 10% vs 4%), constipation (2%, 5% vs 2%), nausea (7%, 13% vs 5%), increased appetite (2%, 5% vs 2%), dizziness (4%, 5% vs 2%), insomnia (14%, 16% vs 8%), and extrapyramidal symptoms (12%, 18% vs 5%).</w:t>
                                                      </w:r>
                                                    </w:p>
                                                  </w:tc>
                                                </w:tr>
                                              </w:tbl>
                                              <w:p w14:paraId="1559C653"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72BE83AF"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0961CD92"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3418EBF8"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175CC7F8" w14:textId="77777777">
                                                  <w:trPr>
                                                    <w:tblCellSpacing w:w="0" w:type="dxa"/>
                                                  </w:trPr>
                                                  <w:tc>
                                                    <w:tcPr>
                                                      <w:tcW w:w="0" w:type="auto"/>
                                                      <w:vAlign w:val="center"/>
                                                      <w:hideMark/>
                                                    </w:tcPr>
                                                    <w:p w14:paraId="44B964CC" w14:textId="77777777" w:rsidR="007A35AC" w:rsidRPr="007A35AC" w:rsidRDefault="007A35AC" w:rsidP="007A35AC">
                                                      <w:pPr>
                                                        <w:spacing w:after="0" w:line="0" w:lineRule="atLeast"/>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c>
                                                </w:tr>
                                              </w:tbl>
                                              <w:p w14:paraId="5D70311C"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3B21590B"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081813F6"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27D5301D"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6E1150E0"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10F50882" w14:textId="77777777">
                                <w:trPr>
                                  <w:tblCellSpacing w:w="0" w:type="dxa"/>
                                  <w:jc w:val="center"/>
                                </w:trPr>
                                <w:tc>
                                  <w:tcPr>
                                    <w:tcW w:w="0" w:type="auto"/>
                                    <w:tcMar>
                                      <w:top w:w="0" w:type="dxa"/>
                                      <w:left w:w="375" w:type="dxa"/>
                                      <w:bottom w:w="7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B9FE22A" w14:textId="77777777">
                                      <w:trPr>
                                        <w:tblCellSpacing w:w="0" w:type="dxa"/>
                                      </w:trPr>
                                      <w:tc>
                                        <w:tcPr>
                                          <w:tcW w:w="0" w:type="auto"/>
                                          <w:vAlign w:val="center"/>
                                          <w:hideMark/>
                                        </w:tcPr>
                                        <w:p w14:paraId="75EFCD32"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lastRenderedPageBreak/>
                                            <w:t>•</w:t>
                                          </w:r>
                                        </w:p>
                                      </w:tc>
                                    </w:tr>
                                  </w:tbl>
                                  <w:p w14:paraId="0FB4276C"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2EABD70E" w14:textId="77777777">
                                      <w:trPr>
                                        <w:tblCellSpacing w:w="0" w:type="dxa"/>
                                      </w:trPr>
                                      <w:tc>
                                        <w:tcPr>
                                          <w:tcW w:w="0" w:type="auto"/>
                                          <w:tcMar>
                                            <w:top w:w="0" w:type="dxa"/>
                                            <w:left w:w="150" w:type="dxa"/>
                                            <w:bottom w:w="0" w:type="dxa"/>
                                            <w:right w:w="300" w:type="dxa"/>
                                          </w:tcMar>
                                          <w:vAlign w:val="center"/>
                                          <w:hideMark/>
                                        </w:tcPr>
                                        <w:p w14:paraId="0D591CA0" w14:textId="77777777" w:rsidR="007A35AC" w:rsidRPr="007A35AC" w:rsidRDefault="007A35AC" w:rsidP="007A35AC">
                                          <w:pPr>
                                            <w:spacing w:after="0" w:line="240" w:lineRule="auto"/>
                                            <w:rPr>
                                              <w:rFonts w:ascii="Arial" w:eastAsia="Times New Roman" w:hAnsi="Arial" w:cs="Arial"/>
                                              <w:color w:val="000000"/>
                                              <w:spacing w:val="2"/>
                                              <w:kern w:val="0"/>
                                              <w:sz w:val="21"/>
                                              <w:szCs w:val="21"/>
                                              <w14:ligatures w14:val="none"/>
                                            </w:rPr>
                                          </w:pPr>
                                          <w:r w:rsidRPr="007A35AC">
                                            <w:rPr>
                                              <w:rFonts w:ascii="Arial" w:eastAsia="Times New Roman" w:hAnsi="Arial" w:cs="Arial"/>
                                              <w:b/>
                                              <w:bCs/>
                                              <w:color w:val="000000"/>
                                              <w:spacing w:val="2"/>
                                              <w:kern w:val="0"/>
                                              <w:sz w:val="21"/>
                                              <w:szCs w:val="21"/>
                                              <w14:ligatures w14:val="none"/>
                                            </w:rPr>
                                            <w:t>Bipolar Mania: </w:t>
                                          </w:r>
                                          <w:r w:rsidRPr="007A35AC">
                                            <w:rPr>
                                              <w:rFonts w:ascii="Arial" w:eastAsia="Times New Roman" w:hAnsi="Arial" w:cs="Arial"/>
                                              <w:color w:val="000000"/>
                                              <w:spacing w:val="2"/>
                                              <w:kern w:val="0"/>
                                              <w:sz w:val="21"/>
                                              <w:szCs w:val="21"/>
                                              <w14:ligatures w14:val="none"/>
                                            </w:rPr>
                                            <w:t>The incidences within the recommended dose range (VRAYLAR 3–6 mg/day vs placebo) were EPS (26% vs 12%), akathisia (20% vs 5%), vomiting (10% vs 4%), dyspepsia (7% vs 4%), somnolence (7% vs 4%), and restlessness (7% vs 2%).</w:t>
                                          </w:r>
                                        </w:p>
                                      </w:tc>
                                    </w:tr>
                                  </w:tbl>
                                  <w:p w14:paraId="1165FF04"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235424B7"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750F7ACF"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1584C7D3" w14:textId="77777777">
                                <w:trPr>
                                  <w:tblCellSpacing w:w="0" w:type="dxa"/>
                                  <w:jc w:val="center"/>
                                </w:trPr>
                                <w:tc>
                                  <w:tcPr>
                                    <w:tcW w:w="0" w:type="auto"/>
                                    <w:tcMar>
                                      <w:top w:w="0" w:type="dxa"/>
                                      <w:left w:w="375" w:type="dxa"/>
                                      <w:bottom w:w="7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47A8E308" w14:textId="77777777">
                                      <w:trPr>
                                        <w:tblCellSpacing w:w="0" w:type="dxa"/>
                                      </w:trPr>
                                      <w:tc>
                                        <w:tcPr>
                                          <w:tcW w:w="0" w:type="auto"/>
                                          <w:vAlign w:val="center"/>
                                          <w:hideMark/>
                                        </w:tcPr>
                                        <w:p w14:paraId="29589DC2"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351A95A7"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1527DCB6" w14:textId="77777777">
                                      <w:trPr>
                                        <w:tblCellSpacing w:w="0" w:type="dxa"/>
                                      </w:trPr>
                                      <w:tc>
                                        <w:tcPr>
                                          <w:tcW w:w="0" w:type="auto"/>
                                          <w:tcMar>
                                            <w:top w:w="0" w:type="dxa"/>
                                            <w:left w:w="150" w:type="dxa"/>
                                            <w:bottom w:w="0" w:type="dxa"/>
                                            <w:right w:w="300" w:type="dxa"/>
                                          </w:tcMar>
                                          <w:vAlign w:val="center"/>
                                          <w:hideMark/>
                                        </w:tcPr>
                                        <w:p w14:paraId="57EC0926"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Bipolar Depression: </w:t>
                                          </w:r>
                                          <w:r w:rsidRPr="007A35AC">
                                            <w:rPr>
                                              <w:rFonts w:ascii="Arial" w:eastAsia="Times New Roman" w:hAnsi="Arial" w:cs="Arial"/>
                                              <w:color w:val="000000"/>
                                              <w:kern w:val="0"/>
                                              <w:sz w:val="21"/>
                                              <w:szCs w:val="21"/>
                                              <w14:ligatures w14:val="none"/>
                                            </w:rPr>
                                            <w:t>The incidences within the recommended doses (VRAYLAR 1.5 mg/day or 3 mg/day vs placebo) were nausea (7%, 7% vs 3%), akathisia (6%, 10% vs 2%), restlessness (2%, 7% vs 3%), and EPS (4%, 6% vs 2%).</w:t>
                                          </w:r>
                                        </w:p>
                                      </w:tc>
                                    </w:tr>
                                  </w:tbl>
                                  <w:p w14:paraId="354AE6CB"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21F2A778"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r w:rsidR="007A35AC" w:rsidRPr="007A35AC" w14:paraId="5EB6784C" w14:textId="77777777">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0CC7688F" w14:textId="77777777">
                                <w:trPr>
                                  <w:tblCellSpacing w:w="0" w:type="dxa"/>
                                  <w:jc w:val="center"/>
                                </w:trPr>
                                <w:tc>
                                  <w:tcPr>
                                    <w:tcW w:w="0" w:type="auto"/>
                                    <w:tcMar>
                                      <w:top w:w="0" w:type="dxa"/>
                                      <w:left w:w="375" w:type="dxa"/>
                                      <w:bottom w:w="75"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6002514D" w14:textId="77777777">
                                      <w:trPr>
                                        <w:tblCellSpacing w:w="0" w:type="dxa"/>
                                      </w:trPr>
                                      <w:tc>
                                        <w:tcPr>
                                          <w:tcW w:w="0" w:type="auto"/>
                                          <w:vAlign w:val="center"/>
                                          <w:hideMark/>
                                        </w:tcPr>
                                        <w:p w14:paraId="6DE75DB1" w14:textId="77777777" w:rsidR="007A35AC" w:rsidRPr="007A35AC" w:rsidRDefault="007A35AC" w:rsidP="007A35AC">
                                          <w:pPr>
                                            <w:spacing w:after="0" w:line="240" w:lineRule="auto"/>
                                            <w:rPr>
                                              <w:rFonts w:ascii="Arial" w:eastAsia="Times New Roman" w:hAnsi="Arial" w:cs="Arial"/>
                                              <w:color w:val="712177"/>
                                              <w:kern w:val="0"/>
                                              <w:sz w:val="21"/>
                                              <w:szCs w:val="21"/>
                                              <w14:ligatures w14:val="none"/>
                                            </w:rPr>
                                          </w:pPr>
                                          <w:r w:rsidRPr="007A35AC">
                                            <w:rPr>
                                              <w:rFonts w:ascii="Arial" w:eastAsia="Times New Roman" w:hAnsi="Arial" w:cs="Arial"/>
                                              <w:color w:val="712177"/>
                                              <w:kern w:val="0"/>
                                              <w:sz w:val="21"/>
                                              <w:szCs w:val="21"/>
                                              <w14:ligatures w14:val="none"/>
                                            </w:rPr>
                                            <w:t>•</w:t>
                                          </w:r>
                                        </w:p>
                                      </w:tc>
                                    </w:tr>
                                  </w:tbl>
                                  <w:p w14:paraId="53F5D681"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55167FE0" w14:textId="77777777">
                                      <w:trPr>
                                        <w:tblCellSpacing w:w="0" w:type="dxa"/>
                                      </w:trPr>
                                      <w:tc>
                                        <w:tcPr>
                                          <w:tcW w:w="0" w:type="auto"/>
                                          <w:tcMar>
                                            <w:top w:w="0" w:type="dxa"/>
                                            <w:left w:w="150" w:type="dxa"/>
                                            <w:bottom w:w="0" w:type="dxa"/>
                                            <w:right w:w="300" w:type="dxa"/>
                                          </w:tcMar>
                                          <w:vAlign w:val="center"/>
                                          <w:hideMark/>
                                        </w:tcPr>
                                        <w:p w14:paraId="19330369"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Schizophrenia:</w:t>
                                          </w:r>
                                          <w:r w:rsidRPr="007A35AC">
                                            <w:rPr>
                                              <w:rFonts w:ascii="Arial" w:eastAsia="Times New Roman" w:hAnsi="Arial" w:cs="Arial"/>
                                              <w:color w:val="000000"/>
                                              <w:kern w:val="0"/>
                                              <w:sz w:val="21"/>
                                              <w:szCs w:val="21"/>
                                              <w14:ligatures w14:val="none"/>
                                            </w:rPr>
                                            <w:t> The incidences within the recommended dose range (VRAYLAR 1.5–3 mg/day and 4.5–6 mg/day vs placebo) were EPS (15%, 19% vs 8%) and akathisia (9%, 13% vs 4%).</w:t>
                                          </w:r>
                                        </w:p>
                                      </w:tc>
                                    </w:tr>
                                  </w:tbl>
                                  <w:p w14:paraId="5B349F12"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5902E275" w14:textId="77777777" w:rsidR="007A35AC" w:rsidRPr="007A35AC" w:rsidRDefault="007A35AC" w:rsidP="007A35AC">
                              <w:pPr>
                                <w:spacing w:after="0" w:line="240" w:lineRule="auto"/>
                                <w:rPr>
                                  <w:rFonts w:ascii="Arial" w:eastAsia="Times New Roman" w:hAnsi="Arial" w:cs="Arial"/>
                                  <w:kern w:val="0"/>
                                  <w:sz w:val="20"/>
                                  <w:szCs w:val="20"/>
                                  <w14:ligatures w14:val="none"/>
                                </w:rPr>
                              </w:pPr>
                            </w:p>
                          </w:tc>
                        </w:tr>
                      </w:tbl>
                      <w:p w14:paraId="1931D4A0"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2B517E5F"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p>
              </w:tc>
            </w:tr>
          </w:tbl>
          <w:p w14:paraId="25DB9587"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5DF90EC7"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774EDF93"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58812699"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485BCD58" w14:textId="77777777">
                    <w:trPr>
                      <w:tblCellSpacing w:w="0" w:type="dxa"/>
                      <w:jc w:val="center"/>
                    </w:trPr>
                    <w:tc>
                      <w:tcPr>
                        <w:tcW w:w="0" w:type="auto"/>
                        <w:shd w:val="clear" w:color="auto" w:fill="F3F4F4"/>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687DE9B6" w14:textId="77777777">
                          <w:trPr>
                            <w:tblCellSpacing w:w="0" w:type="dxa"/>
                          </w:trPr>
                          <w:tc>
                            <w:tcPr>
                              <w:tcW w:w="0" w:type="auto"/>
                              <w:tcMar>
                                <w:top w:w="150" w:type="dxa"/>
                                <w:left w:w="375" w:type="dxa"/>
                                <w:bottom w:w="300" w:type="dxa"/>
                                <w:right w:w="375" w:type="dxa"/>
                              </w:tcMar>
                              <w:vAlign w:val="center"/>
                              <w:hideMark/>
                            </w:tcPr>
                            <w:p w14:paraId="36B8BED6"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b/>
                                  <w:bCs/>
                                  <w:color w:val="000000"/>
                                  <w:kern w:val="0"/>
                                  <w:sz w:val="21"/>
                                  <w:szCs w:val="21"/>
                                  <w14:ligatures w14:val="none"/>
                                </w:rPr>
                                <w:t>Please also see full </w:t>
                              </w:r>
                              <w:hyperlink r:id="rId11" w:tgtFrame="_blank" w:history="1">
                                <w:r w:rsidRPr="007A35AC">
                                  <w:rPr>
                                    <w:rFonts w:ascii="Arial" w:eastAsia="Times New Roman" w:hAnsi="Arial" w:cs="Arial"/>
                                    <w:b/>
                                    <w:bCs/>
                                    <w:color w:val="712077"/>
                                    <w:kern w:val="0"/>
                                    <w:sz w:val="21"/>
                                    <w:szCs w:val="21"/>
                                    <w:u w:val="single"/>
                                    <w14:ligatures w14:val="none"/>
                                  </w:rPr>
                                  <w:t>Prescribing Information</w:t>
                                </w:r>
                              </w:hyperlink>
                              <w:r w:rsidRPr="007A35AC">
                                <w:rPr>
                                  <w:rFonts w:ascii="Arial" w:eastAsia="Times New Roman" w:hAnsi="Arial" w:cs="Arial"/>
                                  <w:b/>
                                  <w:bCs/>
                                  <w:color w:val="000000"/>
                                  <w:kern w:val="0"/>
                                  <w:sz w:val="21"/>
                                  <w:szCs w:val="21"/>
                                  <w14:ligatures w14:val="none"/>
                                </w:rPr>
                                <w:t>, including Boxed Warnings.</w:t>
                              </w:r>
                            </w:p>
                          </w:tc>
                        </w:tr>
                      </w:tbl>
                      <w:p w14:paraId="417BE061" w14:textId="77777777" w:rsidR="007A35AC" w:rsidRPr="007A35AC" w:rsidRDefault="007A35AC" w:rsidP="007A35AC">
                        <w:pPr>
                          <w:spacing w:after="0" w:line="0" w:lineRule="auto"/>
                          <w:textAlignment w:val="top"/>
                          <w:rPr>
                            <w:rFonts w:ascii="Arial" w:eastAsia="Times New Roman" w:hAnsi="Arial" w:cs="Arial"/>
                            <w:kern w:val="0"/>
                            <w:sz w:val="2"/>
                            <w:szCs w:val="2"/>
                            <w14:ligatures w14:val="none"/>
                          </w:rPr>
                        </w:pPr>
                      </w:p>
                    </w:tc>
                  </w:tr>
                </w:tbl>
                <w:p w14:paraId="04E17639"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p>
              </w:tc>
            </w:tr>
          </w:tbl>
          <w:p w14:paraId="6DB296C4"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27E40CB4"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27919CC5"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117F363E" w14:textId="77777777">
              <w:trPr>
                <w:tblCellSpacing w:w="0" w:type="dxa"/>
                <w:jc w:val="center"/>
              </w:trPr>
              <w:tc>
                <w:tcPr>
                  <w:tcW w:w="0" w:type="auto"/>
                  <w:tcMar>
                    <w:top w:w="150" w:type="dxa"/>
                    <w:left w:w="375" w:type="dxa"/>
                    <w:bottom w:w="0"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410C463" w14:textId="77777777">
                    <w:trPr>
                      <w:tblCellSpacing w:w="0" w:type="dxa"/>
                    </w:trPr>
                    <w:tc>
                      <w:tcPr>
                        <w:tcW w:w="0" w:type="auto"/>
                        <w:tcMar>
                          <w:top w:w="150" w:type="dxa"/>
                          <w:left w:w="0" w:type="dxa"/>
                          <w:bottom w:w="90" w:type="dxa"/>
                          <w:right w:w="0" w:type="dxa"/>
                        </w:tcMar>
                        <w:vAlign w:val="center"/>
                        <w:hideMark/>
                      </w:tcPr>
                      <w:p w14:paraId="72C82A6E"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Sincerely,</w:t>
                        </w:r>
                      </w:p>
                    </w:tc>
                  </w:tr>
                  <w:tr w:rsidR="007A35AC" w:rsidRPr="007A35AC" w14:paraId="753D4DC6" w14:textId="77777777">
                    <w:trPr>
                      <w:tblCellSpacing w:w="0" w:type="dxa"/>
                    </w:trPr>
                    <w:tc>
                      <w:tcPr>
                        <w:tcW w:w="0" w:type="auto"/>
                        <w:tcMar>
                          <w:top w:w="0" w:type="dxa"/>
                          <w:left w:w="0" w:type="dxa"/>
                          <w:bottom w:w="30" w:type="dxa"/>
                          <w:right w:w="0" w:type="dxa"/>
                        </w:tcMar>
                        <w:vAlign w:val="center"/>
                        <w:hideMark/>
                      </w:tcPr>
                      <w:p w14:paraId="124AB859" w14:textId="77777777" w:rsidR="007A35AC" w:rsidRPr="007A35AC" w:rsidRDefault="007A35AC" w:rsidP="007A35AC">
                        <w:pPr>
                          <w:spacing w:after="0" w:line="240" w:lineRule="auto"/>
                          <w:rPr>
                            <w:rFonts w:ascii="Arial" w:eastAsia="Times New Roman" w:hAnsi="Arial" w:cs="Arial"/>
                            <w:color w:val="000000"/>
                            <w:kern w:val="0"/>
                            <w:sz w:val="20"/>
                            <w:szCs w:val="20"/>
                            <w14:ligatures w14:val="none"/>
                          </w:rPr>
                        </w:pPr>
                        <w:r w:rsidRPr="007A35AC">
                          <w:rPr>
                            <w:rFonts w:ascii="Arial" w:eastAsia="Times New Roman" w:hAnsi="Arial" w:cs="Arial"/>
                            <w:color w:val="000000"/>
                            <w:kern w:val="0"/>
                            <w:sz w:val="20"/>
                            <w:szCs w:val="20"/>
                            <w14:ligatures w14:val="none"/>
                          </w:rPr>
                          <w:t>Sam Pyne</w:t>
                        </w:r>
                      </w:p>
                      <w:p w14:paraId="578EF284" w14:textId="77777777" w:rsidR="007A35AC" w:rsidRPr="007A35AC" w:rsidRDefault="007A35AC" w:rsidP="007A35AC">
                        <w:pPr>
                          <w:spacing w:after="0" w:line="240" w:lineRule="auto"/>
                          <w:rPr>
                            <w:rFonts w:ascii="Arial" w:eastAsia="Times New Roman" w:hAnsi="Arial" w:cs="Arial"/>
                            <w:color w:val="000000"/>
                            <w:kern w:val="0"/>
                            <w:sz w:val="20"/>
                            <w:szCs w:val="20"/>
                            <w14:ligatures w14:val="none"/>
                          </w:rPr>
                        </w:pPr>
                        <w:r w:rsidRPr="007A35AC">
                          <w:rPr>
                            <w:rFonts w:ascii="Arial" w:eastAsia="Times New Roman" w:hAnsi="Arial" w:cs="Arial"/>
                            <w:color w:val="000000"/>
                            <w:kern w:val="0"/>
                            <w:sz w:val="20"/>
                            <w:szCs w:val="20"/>
                            <w14:ligatures w14:val="none"/>
                          </w:rPr>
                          <w:t> </w:t>
                        </w:r>
                      </w:p>
                      <w:p w14:paraId="21FA9709" w14:textId="77777777" w:rsidR="007A35AC" w:rsidRPr="007A35AC" w:rsidRDefault="007A35AC" w:rsidP="007A35AC">
                        <w:pPr>
                          <w:spacing w:after="0" w:line="240" w:lineRule="auto"/>
                          <w:rPr>
                            <w:rFonts w:ascii="Arial" w:eastAsia="Times New Roman" w:hAnsi="Arial" w:cs="Arial"/>
                            <w:color w:val="000000"/>
                            <w:kern w:val="0"/>
                            <w:sz w:val="20"/>
                            <w:szCs w:val="20"/>
                            <w14:ligatures w14:val="none"/>
                          </w:rPr>
                        </w:pPr>
                        <w:r w:rsidRPr="007A35AC">
                          <w:rPr>
                            <w:rFonts w:ascii="Arial" w:eastAsia="Times New Roman" w:hAnsi="Arial" w:cs="Arial"/>
                            <w:color w:val="000000"/>
                            <w:kern w:val="0"/>
                            <w:sz w:val="20"/>
                            <w:szCs w:val="20"/>
                            <w14:ligatures w14:val="none"/>
                          </w:rPr>
                          <w:t>(904) 239-8541</w:t>
                        </w:r>
                      </w:p>
                      <w:p w14:paraId="2580E905" w14:textId="77777777" w:rsidR="007A35AC" w:rsidRPr="007A35AC" w:rsidRDefault="007A35AC" w:rsidP="007A35AC">
                        <w:pPr>
                          <w:spacing w:after="0" w:line="240" w:lineRule="auto"/>
                          <w:rPr>
                            <w:rFonts w:ascii="Arial" w:eastAsia="Times New Roman" w:hAnsi="Arial" w:cs="Arial"/>
                            <w:color w:val="000000"/>
                            <w:kern w:val="0"/>
                            <w:sz w:val="20"/>
                            <w:szCs w:val="20"/>
                            <w14:ligatures w14:val="none"/>
                          </w:rPr>
                        </w:pPr>
                        <w:r w:rsidRPr="007A35AC">
                          <w:rPr>
                            <w:rFonts w:ascii="Arial" w:eastAsia="Times New Roman" w:hAnsi="Arial" w:cs="Arial"/>
                            <w:color w:val="000000"/>
                            <w:kern w:val="0"/>
                            <w:sz w:val="20"/>
                            <w:szCs w:val="20"/>
                            <w14:ligatures w14:val="none"/>
                          </w:rPr>
                          <w:t> </w:t>
                        </w:r>
                      </w:p>
                      <w:p w14:paraId="5D7839DC" w14:textId="77777777" w:rsidR="007A35AC" w:rsidRPr="007A35AC" w:rsidRDefault="007A35AC" w:rsidP="007A35AC">
                        <w:pPr>
                          <w:spacing w:after="0" w:line="240" w:lineRule="auto"/>
                          <w:rPr>
                            <w:rFonts w:ascii="Arial" w:eastAsia="Times New Roman" w:hAnsi="Arial" w:cs="Arial"/>
                            <w:color w:val="000000"/>
                            <w:kern w:val="0"/>
                            <w:sz w:val="20"/>
                            <w:szCs w:val="20"/>
                            <w14:ligatures w14:val="none"/>
                          </w:rPr>
                        </w:pPr>
                        <w:hyperlink r:id="rId12" w:tgtFrame="_blank" w:history="1">
                          <w:r w:rsidRPr="007A35AC">
                            <w:rPr>
                              <w:rFonts w:ascii="Arial" w:eastAsia="Times New Roman" w:hAnsi="Arial" w:cs="Arial"/>
                              <w:color w:val="1155CC"/>
                              <w:kern w:val="0"/>
                              <w:sz w:val="20"/>
                              <w:szCs w:val="20"/>
                              <w14:ligatures w14:val="none"/>
                            </w:rPr>
                            <w:t>sam.pyne@abbvie.com</w:t>
                          </w:r>
                        </w:hyperlink>
                      </w:p>
                      <w:p w14:paraId="68508CFA" w14:textId="77777777" w:rsidR="007A35AC" w:rsidRPr="007A35AC" w:rsidRDefault="007A35AC" w:rsidP="007A35AC">
                        <w:pPr>
                          <w:spacing w:after="0" w:line="240" w:lineRule="auto"/>
                          <w:rPr>
                            <w:rFonts w:ascii="Arial" w:eastAsia="Times New Roman" w:hAnsi="Arial" w:cs="Arial"/>
                            <w:color w:val="000000"/>
                            <w:kern w:val="0"/>
                            <w:sz w:val="20"/>
                            <w:szCs w:val="20"/>
                            <w14:ligatures w14:val="none"/>
                          </w:rPr>
                        </w:pPr>
                        <w:r w:rsidRPr="007A35AC">
                          <w:rPr>
                            <w:rFonts w:ascii="Arial" w:eastAsia="Times New Roman" w:hAnsi="Arial" w:cs="Arial"/>
                            <w:color w:val="000000"/>
                            <w:kern w:val="0"/>
                            <w:sz w:val="20"/>
                            <w:szCs w:val="20"/>
                            <w14:ligatures w14:val="none"/>
                          </w:rPr>
                          <w:t> </w:t>
                        </w:r>
                      </w:p>
                    </w:tc>
                  </w:tr>
                </w:tbl>
                <w:p w14:paraId="4BDDA7E7" w14:textId="77777777" w:rsidR="007A35AC" w:rsidRPr="007A35AC" w:rsidRDefault="007A35AC" w:rsidP="007A35AC">
                  <w:pPr>
                    <w:spacing w:after="0" w:line="240" w:lineRule="auto"/>
                    <w:textAlignment w:val="top"/>
                    <w:rPr>
                      <w:rFonts w:ascii="Arial" w:eastAsia="Times New Roman" w:hAnsi="Arial" w:cs="Arial"/>
                      <w:kern w:val="0"/>
                      <w:sz w:val="2"/>
                      <w:szCs w:val="2"/>
                      <w14:ligatures w14:val="none"/>
                    </w:rPr>
                  </w:pPr>
                </w:p>
              </w:tc>
            </w:tr>
          </w:tbl>
          <w:p w14:paraId="58509C86"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1837EE1C"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4D8E0089"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5AC" w:rsidRPr="007A35AC" w14:paraId="519B88B6" w14:textId="77777777">
              <w:trPr>
                <w:tblCellSpacing w:w="0" w:type="dxa"/>
                <w:jc w:val="center"/>
              </w:trPr>
              <w:tc>
                <w:tcPr>
                  <w:tcW w:w="0" w:type="auto"/>
                  <w:tcMar>
                    <w:top w:w="450" w:type="dxa"/>
                    <w:left w:w="375" w:type="dxa"/>
                    <w:bottom w:w="360" w:type="dxa"/>
                    <w:right w:w="375" w:type="dxa"/>
                  </w:tcMa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574D8E48" w14:textId="77777777">
                    <w:trPr>
                      <w:tblCellSpacing w:w="0" w:type="dxa"/>
                    </w:trPr>
                    <w:tc>
                      <w:tcPr>
                        <w:tcW w:w="0" w:type="auto"/>
                        <w:vAlign w:val="center"/>
                        <w:hideMark/>
                      </w:tcPr>
                      <w:p w14:paraId="34B67905"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r w:rsidRPr="007A35AC">
                          <w:rPr>
                            <w:rFonts w:ascii="Arial" w:eastAsia="Times New Roman" w:hAnsi="Arial" w:cs="Arial"/>
                            <w:noProof/>
                            <w:kern w:val="0"/>
                            <w:sz w:val="2"/>
                            <w:szCs w:val="2"/>
                            <w14:ligatures w14:val="none"/>
                          </w:rPr>
                          <w:drawing>
                            <wp:inline distT="0" distB="0" distL="0" distR="0" wp14:anchorId="7659BEB9" wp14:editId="2DB36EE6">
                              <wp:extent cx="1885950" cy="714375"/>
                              <wp:effectExtent l="0" t="0" r="0" b="9525"/>
                              <wp:docPr id="19" name="Picture 10" descr="Vray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raylar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5950" cy="714375"/>
                                      </a:xfrm>
                                      <a:prstGeom prst="rect">
                                        <a:avLst/>
                                      </a:prstGeom>
                                      <a:noFill/>
                                      <a:ln>
                                        <a:noFill/>
                                      </a:ln>
                                    </pic:spPr>
                                  </pic:pic>
                                </a:graphicData>
                              </a:graphic>
                            </wp:inline>
                          </w:drawing>
                        </w:r>
                      </w:p>
                    </w:tc>
                  </w:tr>
                </w:tbl>
                <w:p w14:paraId="55583559"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061EB3DF" w14:textId="77777777">
                    <w:trPr>
                      <w:tblCellSpacing w:w="0" w:type="dxa"/>
                    </w:trPr>
                    <w:tc>
                      <w:tcPr>
                        <w:tcW w:w="0" w:type="auto"/>
                        <w:vAlign w:val="center"/>
                        <w:hideMark/>
                      </w:tcPr>
                      <w:p w14:paraId="34038554" w14:textId="77777777" w:rsidR="007A35AC" w:rsidRPr="007A35AC" w:rsidRDefault="007A35AC" w:rsidP="007A35AC">
                        <w:pPr>
                          <w:spacing w:after="0" w:line="300" w:lineRule="atLeast"/>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c>
                  </w:tr>
                </w:tbl>
                <w:p w14:paraId="62E72902" w14:textId="77777777" w:rsidR="007A35AC" w:rsidRPr="007A35AC" w:rsidRDefault="007A35AC" w:rsidP="007A35AC">
                  <w:pPr>
                    <w:spacing w:after="0" w:line="240" w:lineRule="auto"/>
                    <w:jc w:val="center"/>
                    <w:rPr>
                      <w:rFonts w:ascii="Arial" w:eastAsia="Times New Roman" w:hAnsi="Arial" w:cs="Arial"/>
                      <w:kern w:val="0"/>
                      <w:sz w:val="2"/>
                      <w:szCs w:val="2"/>
                      <w14:ligatures w14:val="none"/>
                    </w:rPr>
                  </w:pPr>
                  <w:r w:rsidRPr="007A35AC">
                    <w:rPr>
                      <w:rFonts w:ascii="Arial" w:eastAsia="Times New Roman" w:hAnsi="Arial" w:cs="Arial"/>
                      <w:kern w:val="0"/>
                      <w:sz w:val="2"/>
                      <w:szCs w:val="2"/>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250"/>
                  </w:tblGrid>
                  <w:tr w:rsidR="007A35AC" w:rsidRPr="007A35AC" w14:paraId="4C2EB5E1" w14:textId="77777777">
                    <w:trPr>
                      <w:tblCellSpacing w:w="0" w:type="dxa"/>
                    </w:trPr>
                    <w:tc>
                      <w:tcPr>
                        <w:tcW w:w="0" w:type="auto"/>
                        <w:tcMar>
                          <w:top w:w="30" w:type="dxa"/>
                          <w:left w:w="0" w:type="dxa"/>
                          <w:bottom w:w="45" w:type="dxa"/>
                          <w:right w:w="750" w:type="dxa"/>
                        </w:tcMar>
                        <w:vAlign w:val="center"/>
                        <w:hideMark/>
                      </w:tcPr>
                      <w:p w14:paraId="591D1801"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For more information about</w:t>
                        </w:r>
                      </w:p>
                    </w:tc>
                  </w:tr>
                  <w:tr w:rsidR="007A35AC" w:rsidRPr="007A35AC" w14:paraId="3CC6BF18" w14:textId="77777777">
                    <w:trPr>
                      <w:tblCellSpacing w:w="0" w:type="dxa"/>
                    </w:trPr>
                    <w:tc>
                      <w:tcPr>
                        <w:tcW w:w="0" w:type="auto"/>
                        <w:tcMar>
                          <w:top w:w="0" w:type="dxa"/>
                          <w:left w:w="0" w:type="dxa"/>
                          <w:bottom w:w="45" w:type="dxa"/>
                          <w:right w:w="0" w:type="dxa"/>
                        </w:tcMar>
                        <w:vAlign w:val="center"/>
                        <w:hideMark/>
                      </w:tcPr>
                      <w:p w14:paraId="37045893" w14:textId="77777777" w:rsidR="007A35AC" w:rsidRPr="007A35AC" w:rsidRDefault="007A35AC" w:rsidP="007A35AC">
                        <w:pPr>
                          <w:spacing w:after="0" w:line="240" w:lineRule="auto"/>
                          <w:rPr>
                            <w:rFonts w:ascii="Arial" w:eastAsia="Times New Roman" w:hAnsi="Arial" w:cs="Arial"/>
                            <w:color w:val="000000"/>
                            <w:kern w:val="0"/>
                            <w:sz w:val="21"/>
                            <w:szCs w:val="21"/>
                            <w14:ligatures w14:val="none"/>
                          </w:rPr>
                        </w:pPr>
                        <w:r w:rsidRPr="007A35AC">
                          <w:rPr>
                            <w:rFonts w:ascii="Arial" w:eastAsia="Times New Roman" w:hAnsi="Arial" w:cs="Arial"/>
                            <w:color w:val="000000"/>
                            <w:kern w:val="0"/>
                            <w:sz w:val="21"/>
                            <w:szCs w:val="21"/>
                            <w14:ligatures w14:val="none"/>
                          </w:rPr>
                          <w:t>VRAYLAR, visit </w:t>
                        </w:r>
                        <w:hyperlink r:id="rId14" w:tgtFrame="_blank" w:history="1">
                          <w:r w:rsidRPr="007A35AC">
                            <w:rPr>
                              <w:rFonts w:ascii="Arial" w:eastAsia="Times New Roman" w:hAnsi="Arial" w:cs="Arial"/>
                              <w:b/>
                              <w:bCs/>
                              <w:color w:val="712177"/>
                              <w:kern w:val="0"/>
                              <w:sz w:val="21"/>
                              <w:szCs w:val="21"/>
                              <w:u w:val="single"/>
                              <w14:ligatures w14:val="none"/>
                            </w:rPr>
                            <w:t>VRAYLARHCP.com</w:t>
                          </w:r>
                        </w:hyperlink>
                      </w:p>
                    </w:tc>
                  </w:tr>
                </w:tbl>
                <w:p w14:paraId="2F9DBE55" w14:textId="77777777" w:rsidR="007A35AC" w:rsidRPr="007A35AC" w:rsidRDefault="007A35AC" w:rsidP="007A35AC">
                  <w:pPr>
                    <w:spacing w:after="0" w:line="240" w:lineRule="auto"/>
                    <w:textAlignment w:val="top"/>
                    <w:rPr>
                      <w:rFonts w:ascii="Arial" w:eastAsia="Times New Roman" w:hAnsi="Arial" w:cs="Arial"/>
                      <w:kern w:val="0"/>
                      <w:sz w:val="2"/>
                      <w:szCs w:val="2"/>
                      <w14:ligatures w14:val="none"/>
                    </w:rPr>
                  </w:pPr>
                </w:p>
              </w:tc>
            </w:tr>
          </w:tbl>
          <w:p w14:paraId="56D8930B" w14:textId="77777777" w:rsidR="007A35AC" w:rsidRPr="007A35AC" w:rsidRDefault="007A35AC" w:rsidP="007A35AC">
            <w:pPr>
              <w:spacing w:after="0" w:line="240" w:lineRule="auto"/>
              <w:jc w:val="center"/>
              <w:rPr>
                <w:rFonts w:ascii="Arial" w:eastAsia="Times New Roman" w:hAnsi="Arial" w:cs="Arial"/>
                <w:kern w:val="0"/>
                <w:sz w:val="20"/>
                <w:szCs w:val="20"/>
                <w14:ligatures w14:val="none"/>
              </w:rPr>
            </w:pPr>
          </w:p>
        </w:tc>
      </w:tr>
    </w:tbl>
    <w:p w14:paraId="5BB7650E" w14:textId="77777777" w:rsidR="007A35AC" w:rsidRPr="007A35AC" w:rsidRDefault="007A35AC" w:rsidP="007A35AC">
      <w:pPr>
        <w:shd w:val="clear" w:color="auto" w:fill="FFFFFF"/>
        <w:spacing w:after="0" w:line="240" w:lineRule="auto"/>
        <w:rPr>
          <w:rFonts w:ascii="Arial" w:eastAsia="Times New Roman" w:hAnsi="Arial" w:cs="Arial"/>
          <w:vanish/>
          <w:color w:val="000000"/>
          <w:kern w:val="0"/>
          <w14:ligatures w14:val="none"/>
        </w:rPr>
      </w:pPr>
    </w:p>
    <w:tbl>
      <w:tblPr>
        <w:tblW w:w="18225" w:type="dxa"/>
        <w:jc w:val="center"/>
        <w:tblCellSpacing w:w="0" w:type="dxa"/>
        <w:tblCellMar>
          <w:left w:w="0" w:type="dxa"/>
          <w:right w:w="0" w:type="dxa"/>
        </w:tblCellMar>
        <w:tblLook w:val="04A0" w:firstRow="1" w:lastRow="0" w:firstColumn="1" w:lastColumn="0" w:noHBand="0" w:noVBand="1"/>
      </w:tblPr>
      <w:tblGrid>
        <w:gridCol w:w="18225"/>
      </w:tblGrid>
      <w:tr w:rsidR="007A35AC" w:rsidRPr="007A35AC" w14:paraId="37545383" w14:textId="77777777">
        <w:trPr>
          <w:tblCellSpacing w:w="0" w:type="dxa"/>
          <w:jc w:val="center"/>
        </w:trPr>
        <w:tc>
          <w:tcPr>
            <w:tcW w:w="0" w:type="auto"/>
            <w:vAlign w:val="center"/>
            <w:hideMark/>
          </w:tcPr>
          <w:tbl>
            <w:tblPr>
              <w:tblW w:w="9000" w:type="dxa"/>
              <w:jc w:val="center"/>
              <w:tblCellSpacing w:w="0" w:type="dxa"/>
              <w:shd w:val="clear" w:color="auto" w:fill="4DACA8"/>
              <w:tblCellMar>
                <w:left w:w="0" w:type="dxa"/>
                <w:right w:w="0" w:type="dxa"/>
              </w:tblCellMar>
              <w:tblLook w:val="04A0" w:firstRow="1" w:lastRow="0" w:firstColumn="1" w:lastColumn="0" w:noHBand="0" w:noVBand="1"/>
            </w:tblPr>
            <w:tblGrid>
              <w:gridCol w:w="9000"/>
            </w:tblGrid>
            <w:tr w:rsidR="007A35AC" w:rsidRPr="007A35AC" w14:paraId="6157F6B0" w14:textId="77777777">
              <w:trPr>
                <w:tblCellSpacing w:w="0" w:type="dxa"/>
                <w:jc w:val="center"/>
              </w:trPr>
              <w:tc>
                <w:tcPr>
                  <w:tcW w:w="0" w:type="auto"/>
                  <w:shd w:val="clear" w:color="auto" w:fill="4DACA8"/>
                  <w:tcMar>
                    <w:top w:w="450" w:type="dxa"/>
                    <w:left w:w="0" w:type="dxa"/>
                    <w:bottom w:w="45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A35AC" w:rsidRPr="007A35AC" w14:paraId="6BEB6354" w14:textId="77777777">
                    <w:trPr>
                      <w:tblCellSpacing w:w="0" w:type="dxa"/>
                    </w:trPr>
                    <w:tc>
                      <w:tcPr>
                        <w:tcW w:w="0" w:type="auto"/>
                        <w:tcMar>
                          <w:top w:w="0" w:type="dxa"/>
                          <w:left w:w="375" w:type="dxa"/>
                          <w:bottom w:w="150" w:type="dxa"/>
                          <w:right w:w="375" w:type="dxa"/>
                        </w:tcMar>
                        <w:vAlign w:val="center"/>
                        <w:hideMark/>
                      </w:tcPr>
                      <w:p w14:paraId="25ACA966" w14:textId="77777777" w:rsidR="007A35AC" w:rsidRPr="007A35AC" w:rsidRDefault="007A35AC" w:rsidP="007A35AC">
                        <w:pPr>
                          <w:spacing w:after="0" w:line="240" w:lineRule="auto"/>
                          <w:rPr>
                            <w:rFonts w:ascii="Arial" w:eastAsia="Times New Roman" w:hAnsi="Arial" w:cs="Arial"/>
                            <w:kern w:val="0"/>
                            <w:sz w:val="2"/>
                            <w:szCs w:val="2"/>
                            <w14:ligatures w14:val="none"/>
                          </w:rPr>
                        </w:pPr>
                        <w:r w:rsidRPr="007A35AC">
                          <w:rPr>
                            <w:rFonts w:ascii="Arial" w:eastAsia="Times New Roman" w:hAnsi="Arial" w:cs="Arial"/>
                            <w:noProof/>
                            <w:color w:val="0068A5"/>
                            <w:kern w:val="0"/>
                            <w:sz w:val="2"/>
                            <w:szCs w:val="2"/>
                            <w14:ligatures w14:val="none"/>
                          </w:rPr>
                          <w:drawing>
                            <wp:inline distT="0" distB="0" distL="0" distR="0" wp14:anchorId="74229093" wp14:editId="3B5B03F4">
                              <wp:extent cx="1257300" cy="219075"/>
                              <wp:effectExtent l="0" t="0" r="0" b="9525"/>
                              <wp:docPr id="20" name="Picture 9" descr="AbbVie logo">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bbVie logo">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219075"/>
                                      </a:xfrm>
                                      <a:prstGeom prst="rect">
                                        <a:avLst/>
                                      </a:prstGeom>
                                      <a:noFill/>
                                      <a:ln>
                                        <a:noFill/>
                                      </a:ln>
                                    </pic:spPr>
                                  </pic:pic>
                                </a:graphicData>
                              </a:graphic>
                            </wp:inline>
                          </w:drawing>
                        </w:r>
                      </w:p>
                    </w:tc>
                  </w:tr>
                  <w:tr w:rsidR="007A35AC" w:rsidRPr="007A35AC" w14:paraId="1BB7762F" w14:textId="77777777">
                    <w:trPr>
                      <w:tblCellSpacing w:w="0" w:type="dxa"/>
                    </w:trPr>
                    <w:tc>
                      <w:tcPr>
                        <w:tcW w:w="0" w:type="auto"/>
                        <w:tcMar>
                          <w:top w:w="225" w:type="dxa"/>
                          <w:left w:w="375" w:type="dxa"/>
                          <w:bottom w:w="300" w:type="dxa"/>
                          <w:right w:w="375" w:type="dxa"/>
                        </w:tcMar>
                        <w:vAlign w:val="center"/>
                        <w:hideMark/>
                      </w:tcPr>
                      <w:p w14:paraId="404E6CF9"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r w:rsidRPr="007A35AC">
                          <w:rPr>
                            <w:rFonts w:ascii="Arial" w:eastAsia="Times New Roman" w:hAnsi="Arial" w:cs="Arial"/>
                            <w:color w:val="FFFFFF"/>
                            <w:kern w:val="0"/>
                            <w:sz w:val="18"/>
                            <w:szCs w:val="18"/>
                            <w14:ligatures w14:val="none"/>
                          </w:rPr>
                          <w:lastRenderedPageBreak/>
                          <w:t>We respect your privacy. For more information, please view our </w:t>
                        </w:r>
                        <w:hyperlink r:id="rId17" w:tgtFrame="_blank" w:history="1">
                          <w:r w:rsidRPr="007A35AC">
                            <w:rPr>
                              <w:rFonts w:ascii="Arial" w:eastAsia="Times New Roman" w:hAnsi="Arial" w:cs="Arial"/>
                              <w:color w:val="FFFFFF"/>
                              <w:kern w:val="0"/>
                              <w:sz w:val="18"/>
                              <w:szCs w:val="18"/>
                              <w:u w:val="single"/>
                              <w14:ligatures w14:val="none"/>
                            </w:rPr>
                            <w:t>privacy notice</w:t>
                          </w:r>
                        </w:hyperlink>
                        <w:r w:rsidRPr="007A35AC">
                          <w:rPr>
                            <w:rFonts w:ascii="Arial" w:eastAsia="Times New Roman" w:hAnsi="Arial" w:cs="Arial"/>
                            <w:color w:val="FFFFFF"/>
                            <w:kern w:val="0"/>
                            <w:sz w:val="18"/>
                            <w:szCs w:val="18"/>
                            <w14:ligatures w14:val="none"/>
                          </w:rPr>
                          <w:t>.</w:t>
                        </w:r>
                      </w:p>
                    </w:tc>
                  </w:tr>
                  <w:tr w:rsidR="007A35AC" w:rsidRPr="007A35AC" w14:paraId="205DAB5E" w14:textId="77777777">
                    <w:trPr>
                      <w:tblCellSpacing w:w="0" w:type="dxa"/>
                    </w:trPr>
                    <w:tc>
                      <w:tcPr>
                        <w:tcW w:w="0" w:type="auto"/>
                        <w:tcMar>
                          <w:top w:w="0" w:type="dxa"/>
                          <w:left w:w="375" w:type="dxa"/>
                          <w:bottom w:w="225" w:type="dxa"/>
                          <w:right w:w="375" w:type="dxa"/>
                        </w:tcMar>
                        <w:vAlign w:val="center"/>
                        <w:hideMark/>
                      </w:tcPr>
                      <w:p w14:paraId="683DA7DD"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r w:rsidRPr="007A35AC">
                          <w:rPr>
                            <w:rFonts w:ascii="Arial" w:eastAsia="Times New Roman" w:hAnsi="Arial" w:cs="Arial"/>
                            <w:color w:val="FFFFFF"/>
                            <w:kern w:val="0"/>
                            <w:sz w:val="18"/>
                            <w:szCs w:val="18"/>
                            <w14:ligatures w14:val="none"/>
                          </w:rPr>
                          <w:t>Please DO NOT REPLY TO THIS MESSAGE. </w:t>
                        </w:r>
                        <w:hyperlink r:id="rId18" w:tgtFrame="_blank" w:history="1">
                          <w:r w:rsidRPr="007A35AC">
                            <w:rPr>
                              <w:rFonts w:ascii="Arial" w:eastAsia="Times New Roman" w:hAnsi="Arial" w:cs="Arial"/>
                              <w:color w:val="FFFFFF"/>
                              <w:kern w:val="0"/>
                              <w:sz w:val="18"/>
                              <w:szCs w:val="18"/>
                              <w:u w:val="single"/>
                              <w14:ligatures w14:val="none"/>
                            </w:rPr>
                            <w:t>Contact us</w:t>
                          </w:r>
                        </w:hyperlink>
                        <w:r w:rsidRPr="007A35AC">
                          <w:rPr>
                            <w:rFonts w:ascii="Arial" w:eastAsia="Times New Roman" w:hAnsi="Arial" w:cs="Arial"/>
                            <w:color w:val="FFFFFF"/>
                            <w:kern w:val="0"/>
                            <w:sz w:val="18"/>
                            <w:szCs w:val="18"/>
                            <w14:ligatures w14:val="none"/>
                          </w:rPr>
                          <w:t> with questions or comments.</w:t>
                        </w:r>
                      </w:p>
                    </w:tc>
                  </w:tr>
                  <w:tr w:rsidR="007A35AC" w:rsidRPr="007A35AC" w14:paraId="17E9C0F9" w14:textId="77777777">
                    <w:trPr>
                      <w:tblCellSpacing w:w="0" w:type="dxa"/>
                    </w:trPr>
                    <w:tc>
                      <w:tcPr>
                        <w:tcW w:w="0" w:type="auto"/>
                        <w:tcMar>
                          <w:top w:w="0" w:type="dxa"/>
                          <w:left w:w="375" w:type="dxa"/>
                          <w:bottom w:w="0" w:type="dxa"/>
                          <w:right w:w="375" w:type="dxa"/>
                        </w:tcMar>
                        <w:vAlign w:val="center"/>
                        <w:hideMark/>
                      </w:tcPr>
                      <w:p w14:paraId="44840612"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p>
                    </w:tc>
                  </w:tr>
                  <w:tr w:rsidR="007A35AC" w:rsidRPr="007A35AC" w14:paraId="5BE86983" w14:textId="77777777">
                    <w:trPr>
                      <w:tblCellSpacing w:w="0" w:type="dxa"/>
                    </w:trPr>
                    <w:tc>
                      <w:tcPr>
                        <w:tcW w:w="0" w:type="auto"/>
                        <w:tcMar>
                          <w:top w:w="225" w:type="dxa"/>
                          <w:left w:w="375" w:type="dxa"/>
                          <w:bottom w:w="150" w:type="dxa"/>
                          <w:right w:w="375" w:type="dxa"/>
                        </w:tcMar>
                        <w:vAlign w:val="center"/>
                        <w:hideMark/>
                      </w:tcPr>
                      <w:p w14:paraId="7D9CE187"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r w:rsidRPr="007A35AC">
                          <w:rPr>
                            <w:rFonts w:ascii="Arial" w:eastAsia="Times New Roman" w:hAnsi="Arial" w:cs="Arial"/>
                            <w:b/>
                            <w:bCs/>
                            <w:color w:val="FFFFFF"/>
                            <w:kern w:val="0"/>
                            <w:sz w:val="18"/>
                            <w:szCs w:val="18"/>
                            <w14:ligatures w14:val="none"/>
                          </w:rPr>
                          <w:t>Mail written correspondence to:</w:t>
                        </w:r>
                      </w:p>
                      <w:p w14:paraId="0684E66B"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r w:rsidRPr="007A35AC">
                          <w:rPr>
                            <w:rFonts w:ascii="Arial" w:eastAsia="Times New Roman" w:hAnsi="Arial" w:cs="Arial"/>
                            <w:color w:val="FFFFFF"/>
                            <w:kern w:val="0"/>
                            <w:sz w:val="18"/>
                            <w:szCs w:val="18"/>
                            <w14:ligatures w14:val="none"/>
                          </w:rPr>
                          <w:t>AbbVie Customer Service</w:t>
                        </w:r>
                      </w:p>
                      <w:p w14:paraId="3388396A"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r w:rsidRPr="007A35AC">
                          <w:rPr>
                            <w:rFonts w:ascii="Arial" w:eastAsia="Times New Roman" w:hAnsi="Arial" w:cs="Arial"/>
                            <w:color w:val="FFFFFF"/>
                            <w:kern w:val="0"/>
                            <w:sz w:val="18"/>
                            <w:szCs w:val="18"/>
                            <w14:ligatures w14:val="none"/>
                          </w:rPr>
                          <w:t>Department 36M</w:t>
                        </w:r>
                      </w:p>
                      <w:p w14:paraId="0C0F673C"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hyperlink r:id="rId19" w:history="1">
                          <w:r w:rsidRPr="007A35AC">
                            <w:rPr>
                              <w:rFonts w:ascii="Arial" w:eastAsia="Times New Roman" w:hAnsi="Arial" w:cs="Arial"/>
                              <w:color w:val="1155CC"/>
                              <w:kern w:val="0"/>
                              <w:sz w:val="18"/>
                              <w:szCs w:val="18"/>
                              <w14:ligatures w14:val="none"/>
                            </w:rPr>
                            <w:t>1 North Waukegan Road</w:t>
                          </w:r>
                        </w:hyperlink>
                      </w:p>
                      <w:p w14:paraId="45F82676"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hyperlink r:id="rId20" w:history="1">
                          <w:r w:rsidRPr="007A35AC">
                            <w:rPr>
                              <w:rFonts w:ascii="Arial" w:eastAsia="Times New Roman" w:hAnsi="Arial" w:cs="Arial"/>
                              <w:color w:val="1155CC"/>
                              <w:kern w:val="0"/>
                              <w:sz w:val="18"/>
                              <w:szCs w:val="18"/>
                              <w14:ligatures w14:val="none"/>
                            </w:rPr>
                            <w:t>North Chicago, IL 60064-6163</w:t>
                          </w:r>
                        </w:hyperlink>
                        <w:r w:rsidRPr="007A35AC">
                          <w:rPr>
                            <w:rFonts w:ascii="Arial" w:eastAsia="Times New Roman" w:hAnsi="Arial" w:cs="Arial"/>
                            <w:color w:val="FFFFFF"/>
                            <w:kern w:val="0"/>
                            <w:sz w:val="18"/>
                            <w:szCs w:val="18"/>
                            <w14:ligatures w14:val="none"/>
                          </w:rPr>
                          <w:t>​</w:t>
                        </w:r>
                      </w:p>
                    </w:tc>
                  </w:tr>
                  <w:tr w:rsidR="007A35AC" w:rsidRPr="007A35AC" w14:paraId="6059148B" w14:textId="77777777">
                    <w:trPr>
                      <w:tblCellSpacing w:w="0" w:type="dxa"/>
                    </w:trPr>
                    <w:tc>
                      <w:tcPr>
                        <w:tcW w:w="0" w:type="auto"/>
                        <w:tcMar>
                          <w:top w:w="0" w:type="dxa"/>
                          <w:left w:w="375" w:type="dxa"/>
                          <w:bottom w:w="0" w:type="dxa"/>
                          <w:right w:w="375" w:type="dxa"/>
                        </w:tcMar>
                        <w:vAlign w:val="center"/>
                        <w:hideMark/>
                      </w:tcPr>
                      <w:p w14:paraId="7E24AEF6"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r w:rsidRPr="007A35AC">
                          <w:rPr>
                            <w:rFonts w:ascii="Arial" w:eastAsia="Times New Roman" w:hAnsi="Arial" w:cs="Arial"/>
                            <w:color w:val="FFFFFF"/>
                            <w:kern w:val="0"/>
                            <w:sz w:val="18"/>
                            <w:szCs w:val="18"/>
                            <w14:ligatures w14:val="none"/>
                          </w:rPr>
                          <w:t>Licensed from Gedeon Richter Plc.</w:t>
                        </w:r>
                        <w:r w:rsidRPr="007A35AC">
                          <w:rPr>
                            <w:rFonts w:ascii="Arial" w:eastAsia="Times New Roman" w:hAnsi="Arial" w:cs="Arial"/>
                            <w:color w:val="FFFFFF"/>
                            <w:kern w:val="0"/>
                            <w:sz w:val="18"/>
                            <w:szCs w:val="18"/>
                            <w14:ligatures w14:val="none"/>
                          </w:rPr>
                          <w:br/>
                          <w:t>© 2025 AbbVie. All rights reserved.</w:t>
                        </w:r>
                        <w:r w:rsidRPr="007A35AC">
                          <w:rPr>
                            <w:rFonts w:ascii="Arial" w:eastAsia="Times New Roman" w:hAnsi="Arial" w:cs="Arial"/>
                            <w:color w:val="FFFFFF"/>
                            <w:kern w:val="0"/>
                            <w:sz w:val="18"/>
                            <w:szCs w:val="18"/>
                            <w14:ligatures w14:val="none"/>
                          </w:rPr>
                          <w:br/>
                          <w:t>VRAYLAR</w:t>
                        </w:r>
                        <w:r w:rsidRPr="007A35AC">
                          <w:rPr>
                            <w:rFonts w:ascii="Arial" w:eastAsia="Times New Roman" w:hAnsi="Arial" w:cs="Arial"/>
                            <w:color w:val="FFFFFF"/>
                            <w:kern w:val="0"/>
                            <w:sz w:val="18"/>
                            <w:szCs w:val="18"/>
                            <w:vertAlign w:val="superscript"/>
                            <w14:ligatures w14:val="none"/>
                          </w:rPr>
                          <w:t>® </w:t>
                        </w:r>
                        <w:r w:rsidRPr="007A35AC">
                          <w:rPr>
                            <w:rFonts w:ascii="Arial" w:eastAsia="Times New Roman" w:hAnsi="Arial" w:cs="Arial"/>
                            <w:color w:val="FFFFFF"/>
                            <w:kern w:val="0"/>
                            <w:sz w:val="18"/>
                            <w:szCs w:val="18"/>
                            <w14:ligatures w14:val="none"/>
                          </w:rPr>
                          <w:t>and its design are trademarks of Allergan Pharmaceuticals International Limited, an AbbVie company.</w:t>
                        </w:r>
                      </w:p>
                    </w:tc>
                  </w:tr>
                  <w:tr w:rsidR="007A35AC" w:rsidRPr="007A35AC" w14:paraId="4CB91516" w14:textId="77777777">
                    <w:trPr>
                      <w:tblCellSpacing w:w="0" w:type="dxa"/>
                    </w:trPr>
                    <w:tc>
                      <w:tcPr>
                        <w:tcW w:w="0" w:type="auto"/>
                        <w:tcMar>
                          <w:top w:w="225" w:type="dxa"/>
                          <w:left w:w="375" w:type="dxa"/>
                          <w:bottom w:w="0" w:type="dxa"/>
                          <w:right w:w="375" w:type="dxa"/>
                        </w:tcMar>
                        <w:vAlign w:val="center"/>
                        <w:hideMark/>
                      </w:tcPr>
                      <w:p w14:paraId="5475F807" w14:textId="77777777" w:rsidR="007A35AC" w:rsidRPr="007A35AC" w:rsidRDefault="007A35AC" w:rsidP="007A35AC">
                        <w:pPr>
                          <w:spacing w:after="0" w:line="240" w:lineRule="auto"/>
                          <w:rPr>
                            <w:rFonts w:ascii="Arial" w:eastAsia="Times New Roman" w:hAnsi="Arial" w:cs="Arial"/>
                            <w:color w:val="FFFFFF"/>
                            <w:kern w:val="0"/>
                            <w:sz w:val="18"/>
                            <w:szCs w:val="18"/>
                            <w14:ligatures w14:val="none"/>
                          </w:rPr>
                        </w:pPr>
                        <w:r w:rsidRPr="007A35AC">
                          <w:rPr>
                            <w:rFonts w:ascii="Arial" w:eastAsia="Times New Roman" w:hAnsi="Arial" w:cs="Arial"/>
                            <w:color w:val="FFFFFF"/>
                            <w:kern w:val="0"/>
                            <w:sz w:val="18"/>
                            <w:szCs w:val="18"/>
                            <w14:ligatures w14:val="none"/>
                          </w:rPr>
                          <w:t>US-VRAA-250145</w:t>
                        </w:r>
                      </w:p>
                    </w:tc>
                  </w:tr>
                </w:tbl>
                <w:p w14:paraId="736AC016" w14:textId="77777777" w:rsidR="007A35AC" w:rsidRPr="007A35AC" w:rsidRDefault="007A35AC" w:rsidP="007A35AC">
                  <w:pPr>
                    <w:spacing w:after="0" w:line="240" w:lineRule="auto"/>
                    <w:textAlignment w:val="top"/>
                    <w:rPr>
                      <w:rFonts w:ascii="Arial" w:eastAsia="Times New Roman" w:hAnsi="Arial" w:cs="Arial"/>
                      <w:kern w:val="0"/>
                      <w:sz w:val="2"/>
                      <w:szCs w:val="2"/>
                      <w14:ligatures w14:val="none"/>
                    </w:rPr>
                  </w:pPr>
                </w:p>
              </w:tc>
            </w:tr>
          </w:tbl>
          <w:p w14:paraId="069FB0F5" w14:textId="77777777" w:rsidR="007A35AC" w:rsidRPr="007A35AC" w:rsidRDefault="007A35AC" w:rsidP="007A35AC">
            <w:pPr>
              <w:shd w:val="clear" w:color="auto" w:fill="4DACA8"/>
              <w:spacing w:after="0" w:line="240" w:lineRule="auto"/>
              <w:jc w:val="center"/>
              <w:rPr>
                <w:rFonts w:ascii="Arial" w:eastAsia="Times New Roman" w:hAnsi="Arial" w:cs="Arial"/>
                <w:kern w:val="0"/>
                <w:sz w:val="20"/>
                <w:szCs w:val="20"/>
                <w14:ligatures w14:val="none"/>
              </w:rPr>
            </w:pPr>
          </w:p>
        </w:tc>
      </w:tr>
    </w:tbl>
    <w:p w14:paraId="46D81C8A" w14:textId="77777777" w:rsidR="00FC60A2" w:rsidRDefault="00FC60A2"/>
    <w:sectPr w:rsidR="00FC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AC"/>
    <w:rsid w:val="002169CA"/>
    <w:rsid w:val="004C72FE"/>
    <w:rsid w:val="00534F93"/>
    <w:rsid w:val="007A35AC"/>
    <w:rsid w:val="00FC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6641"/>
  <w15:chartTrackingRefBased/>
  <w15:docId w15:val="{19564809-77F5-4DB2-95DB-747E83C8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5AC"/>
    <w:rPr>
      <w:rFonts w:eastAsiaTheme="majorEastAsia" w:cstheme="majorBidi"/>
      <w:color w:val="272727" w:themeColor="text1" w:themeTint="D8"/>
    </w:rPr>
  </w:style>
  <w:style w:type="paragraph" w:styleId="Title">
    <w:name w:val="Title"/>
    <w:basedOn w:val="Normal"/>
    <w:next w:val="Normal"/>
    <w:link w:val="TitleChar"/>
    <w:uiPriority w:val="10"/>
    <w:qFormat/>
    <w:rsid w:val="007A3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5AC"/>
    <w:pPr>
      <w:spacing w:before="160"/>
      <w:jc w:val="center"/>
    </w:pPr>
    <w:rPr>
      <w:i/>
      <w:iCs/>
      <w:color w:val="404040" w:themeColor="text1" w:themeTint="BF"/>
    </w:rPr>
  </w:style>
  <w:style w:type="character" w:customStyle="1" w:styleId="QuoteChar">
    <w:name w:val="Quote Char"/>
    <w:basedOn w:val="DefaultParagraphFont"/>
    <w:link w:val="Quote"/>
    <w:uiPriority w:val="29"/>
    <w:rsid w:val="007A35AC"/>
    <w:rPr>
      <w:i/>
      <w:iCs/>
      <w:color w:val="404040" w:themeColor="text1" w:themeTint="BF"/>
    </w:rPr>
  </w:style>
  <w:style w:type="paragraph" w:styleId="ListParagraph">
    <w:name w:val="List Paragraph"/>
    <w:basedOn w:val="Normal"/>
    <w:uiPriority w:val="34"/>
    <w:qFormat/>
    <w:rsid w:val="007A35AC"/>
    <w:pPr>
      <w:ind w:left="720"/>
      <w:contextualSpacing/>
    </w:pPr>
  </w:style>
  <w:style w:type="character" w:styleId="IntenseEmphasis">
    <w:name w:val="Intense Emphasis"/>
    <w:basedOn w:val="DefaultParagraphFont"/>
    <w:uiPriority w:val="21"/>
    <w:qFormat/>
    <w:rsid w:val="007A35AC"/>
    <w:rPr>
      <w:i/>
      <w:iCs/>
      <w:color w:val="0F4761" w:themeColor="accent1" w:themeShade="BF"/>
    </w:rPr>
  </w:style>
  <w:style w:type="paragraph" w:styleId="IntenseQuote">
    <w:name w:val="Intense Quote"/>
    <w:basedOn w:val="Normal"/>
    <w:next w:val="Normal"/>
    <w:link w:val="IntenseQuoteChar"/>
    <w:uiPriority w:val="30"/>
    <w:qFormat/>
    <w:rsid w:val="007A3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5AC"/>
    <w:rPr>
      <w:i/>
      <w:iCs/>
      <w:color w:val="0F4761" w:themeColor="accent1" w:themeShade="BF"/>
    </w:rPr>
  </w:style>
  <w:style w:type="character" w:styleId="IntenseReference">
    <w:name w:val="Intense Reference"/>
    <w:basedOn w:val="DefaultParagraphFont"/>
    <w:uiPriority w:val="32"/>
    <w:qFormat/>
    <w:rsid w:val="007A3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eva.irep.abbvie.com/c/eJx0kUFz2yAQhX8NulmzWoQUH3QgcTTjTpuDPfE0uWgQrGpaLDFYttJ_3yHKqPEh3OB9770Ffq6-q5Zcxcp7hujDYC563BqGyLhkiAqATwAA2T1Oo5RyFyV8YIiBtPWW-nGBne2NOqnw58xyOA7jSVmX6uG0WJT3YbiSeYzK5xZcH_rYAly3r4etfFks9DZS6NVC9xfnZuVypvApA0DMk8Ld7-d1J-XjkjGEXzfgRsK8tNy__JAYpXKTmKrrxLptE6qysiyKu0KgSI6VypBzWIusU4aM4aQ1caU6KozWgnhiKwQsIEfIEBAgzbTQWoNWkBd5aXKWgw3kU9W2V0vxSRJXHcfRn99HqhnW0zSl4e0_wLD2pmNYX4P661RovE3jAa8v1jC-Acg-bvHqdt-GrXxiWOh3iU6uOXy4Hp72Taxujto3z_vVYSflCgVkuWBYtHMWYgkA0T_vb7kkVF99bHKt8F8AAAD__3kxp0U" TargetMode="External"/><Relationship Id="rId13" Type="http://schemas.openxmlformats.org/officeDocument/2006/relationships/image" Target="media/image3.png"/><Relationship Id="rId18" Type="http://schemas.openxmlformats.org/officeDocument/2006/relationships/hyperlink" Target="http://veeva.irep.abbvie.com/c/eJx0kcuO2yAUhp8G7xIdDr4kCy-YyURK1c4i0USd2Vj4QGpafBHBcfv2FePKShZlh77_Jvi--qpq40pWPDHEwfd6pHDQDJEJyRAVgJgAAPgTTkFKeYwInxmiN2QHa7qwiJ3ttGqV_3VlKTR9aJV1a-rbxaKGwfc3o18iuW_B7bmLLSCo_jgf5PtiMb-D8Z1a1N3o3EzGq_F3GQDZvBQ2P9-2Fylfloze_3gQ7iTMh-Tp_ZvEiIpdosvLJdvWdWJKXhR5vskzzJKm5IaEwBSANClITS0EF4JvMlHkYkOY2BIBc0gROAICrDllRARRnaeFTlkK1pthrer6Zk18ksSVTQjD9XPSnuF-mqY7zHBPfRcUhfG6bkLrmNiPVjOxA-D_1n-445f-IF8Z5vSJTOuqs1d_nPLV8-upipVVQ0P1dlqdj1KuMAOeZgzzes5CLAAg-uf7oy7x5f8-NLmV-DcAAP__OB2irw"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veeva.irep.abbvie.com/c/eJx0kc9vmzAUx_8ac0v0_IxNOHBwm0Zi2npI1GjtBZlnZ7A5YDkEtv9-okyoPYwb-nx_6fn75qupnS9Y9sAQQ-ztnYbSMkQmNEM0AGICAOAPOA1a6-OM8JEhRkdtaF03rGLfdtZcTfx1Yyk0_XA1rd9Sf10tJoTYj84-zeRjC-bnbm4BQfXbudSvq8X9HlzszKru7t4v5H5z8UMGgFyWwu7nS37R-mnN6OOPT8K9huUjfXr9pnFG2T6xxeUi87pOXMGzTKmdkiiTptipjHIp3M6mWW6VI4mYIwducyFJQNIWCKggReAICLDlJIkIyECq0symLIU2urA1dT22bj5J4otmGMLtfdKB4WGapu0YzR9vYkNhudqBiUN5KpnYc4bq3lom9gD83_o3f_zSl_qZoaJ35K6-Oi8R1ePzqZorq4ZC9XLanI9ab1ACTyVDVS9ZiBkAzP7l_7MuicX_HjQZC_wbAAD__z5OoQU" TargetMode="External"/><Relationship Id="rId12" Type="http://schemas.openxmlformats.org/officeDocument/2006/relationships/hyperlink" Target="mailto:sam.pyne@abbvie.com" TargetMode="External"/><Relationship Id="rId17" Type="http://schemas.openxmlformats.org/officeDocument/2006/relationships/hyperlink" Target="http://veeva.irep.abbvie.com/c/eJx0kUFzmzAQhX-NuOFZrUAKBw5KHM-40-ZgTzxNLowk5KJWgEaAU__7DiFD40O4se97b5-kn-l3pa0vibgniCH29WTGfU0QCZMEUQGwNwAAeo9vo5TyMEv4QBCjNS44240r7F1Xq1bFPwPJoOnHVjm_MX27WlQIsb_Y-nFWPm_B4tTNW4AZ_Xray5fVYv-ONnZqpbvJ-0WZBhs_ZQDkS1O4-_1cnKV8XDP6-OsG3EpYPiOPLz8kzpLYJnV5PueF1oktqRCc3_Ec86QpOcuQZgpBU64VL1hBDZ6F4AyZYLRIXImAHDIEioAAG2pyYwwYBRnPRJ2RDFy0YaO0vjg7X0niy2Ycw_BeaUdwF6K7KHP9QP4P0tB7Z5wdCO6mIb2ZXjfN2HrCdpOrCdsC0I-DvfrDt34vnwhy8y7Z1lenqK5exerh6VjNbarGhOr5mJ4OUqaYA81yglwvWYgCAGb_8n_LJbH86q2TS4n_AgAA__-k16x7"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www.google.com/maps/search/1+North+Waukegan+Road+%0D%0A+North+Chicago,+IL+60064-6163?entry=gmail&amp;source=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veeva.irep.abbvie.com/c/eJx0kUFz2yAQhX8NulmzWoQUH3QgcTTjTpuDPfE0uWgQrGpaLDFYttJ_3yHKqPEh3OB9770Ffq6-q5Zcxcp7hujDYC563BqGyLhkiAqATwAA2T1Oo5RyFyV8YIiBtPWW-nGBne2NOqnw58xyOA7jSVmX6uG0WJT3YbiSeYzK5xZcH_rYAly3r4etfFks9DZS6NVC9xfnZuVypvApA0DMk8Ld7-d1J-XjkjGEXzfgRsK8tNy__JAYpXKTmKrrxLptE6qysiyKu0KgSI6VypBzWIusU4aM4aQ1caU6KozWgnhiKwQsIEfIEBAgzbTQWoNWkBd5aXKWgw3kU9W2V0vxSRJXHcfRn99HqhnW0zSl4e0_wLD2pmNYX4P661RovE3jAa8v1jC-Acg-bvHqdt-GrXxiWOh3iU6uOXy4Hp72Taxujto3z_vVYSflCgVkuWBYtHMWYgkA0T_vb7kkVF99bHKt8F8AAAD__3kxp0U" TargetMode="External"/><Relationship Id="rId5" Type="http://schemas.openxmlformats.org/officeDocument/2006/relationships/hyperlink" Target="http://veeva.irep.abbvie.com/c/eJx0kcuO2jAUhp_G2YFOjh0bFl54hkGiamcBGtSZTeQbjVuTWCaQ9u2rkCoaFs0u-v6bjr8vvmrjoyTiiSCm3Lmr7XeOIBKqCKIGoAMAQPmEQ6-U2o8Inwli9jak4Nt-FsfQOn3W-deFMGi6_qxDXNruPFt0Srm7efcyks8tuD62YwtQaz6OO_U-W_zv3udWz-r2GuNErhefP2UAVNNSWP18W5-UepkzuvzjQbhRMH1WHd6_KRyR2BROnk7V2pjCy1IIzle8wqpopGYnRE-dW4kSAMWKGeNpRSldOy-4K4JEQA4MoURAgGVpK2stWA2MM-EYYRCyT0ttzC348SRFlE3fp8t90pbgdhiG5S3rP1Hnxqb71ej2GhyhG4Dy3-CPuP_S7dQrQW7vyJ9jfZxc9fProR5b6sam-u2wOO6VWmAFJasIcjNlIQoAGP3T_6OuyPJ_b1jcJP4NAAD__zH5nqk" TargetMode="External"/><Relationship Id="rId15" Type="http://schemas.openxmlformats.org/officeDocument/2006/relationships/hyperlink" Target="http://veeva.irep.abbvie.com/c/eJx0kU1vmzAYxz-NuSV6_GDjcvDBbRop09ZDokZrL8hvLN4cQA4J27efXCaUHsYN__5vsr-vvmrjoyTikSAOqXdXO-4cQSSlIogaoJwAAOgjTqNSap8RPhHE5G0Ygu_GRRxD5_RZp18XwuDUj2cd4tr258WihyH1N--eM7lvwfrY5RYorXk_7tTbYvG_R586vai7a4wzuV58ussA4PNSePj5WrdKPS8ZffrxSbhRMH9WHd6-KcxIbAon25bXxhReUiGq6qHiyIuT9NBaI6i2vDW69aKmzNTIqNalM5azIkgErIAhUAQEWFPLrbVgNbCKCccIg5D8sNbG3ILPV1JEeRrH4fIxaUtwO03THc5n5fYaHCk3APTf3ve4_9Lv1AvByn4gf47NMek_Uafm6eXQ5JLmZIfm9bA67pVaIQfKOMHKzFmIAgCyf_7_rCuS_N8TFjeJfwMAAP__GLqehQ" TargetMode="External"/><Relationship Id="rId10" Type="http://schemas.openxmlformats.org/officeDocument/2006/relationships/hyperlink" Target="http://veeva.irep.abbvie.com/c/eJx0kTlv2zAUxz8Ntdl4fBIpa-DAxDHgos1gI0aTReClii11gNbRfvtCUSEkQ7UJv_-Fx--7r0q7IEj-QBD72NnRDGdLEEkqCaICSGcAAPqA8yClvCwIHwlidMb33rXDJg6-tapR8dedZFB3Q6N82Juu2Syq72M3Ofu0kI8tWNzapQVSo99uZ_m6WdzvwcVWbep2DGEl493FDxkAbF0Kh58vRSXl05bRxR-fhEcJ62fk9fWbxAXlx8SKqmKF1okTNM85P3CGLKkFt0XGK2CK8cLwqtIKKEVzsCnVznBIvEBADhkCRUCAPTXMGANGQcaz3GYkAx9dv1daT94tJ0mCqIehv79POhE8zfO8n6L6E1QMfnLr2U511ziSnkZvSXoEoP-Gv4XLl-4snwly845cE8rb6i4fn6_l0lbWpi9frrvbRcodMqAZI8j1moWYA8DiX_8_65Io_veWySTwbwAAAP__vhWhvw" TargetMode="External"/><Relationship Id="rId19" Type="http://schemas.openxmlformats.org/officeDocument/2006/relationships/hyperlink" Target="https://www.google.com/maps/search/1+North+Waukegan+Road+%0D%0A+North+Chicago,+IL+60064-6163?entry=gmail&amp;source=g" TargetMode="External"/><Relationship Id="rId4" Type="http://schemas.openxmlformats.org/officeDocument/2006/relationships/image" Target="media/image1.jpeg"/><Relationship Id="rId9" Type="http://schemas.openxmlformats.org/officeDocument/2006/relationships/hyperlink" Target="http://www.vraylarlive.com/register/242007" TargetMode="External"/><Relationship Id="rId14" Type="http://schemas.openxmlformats.org/officeDocument/2006/relationships/hyperlink" Target="http://veeva.irep.abbvie.com/c/eJx0kc9vmzAUx_8ac0v0_LBxOPjgNo2UaeshUaO1F2RsM7w5YDkEtv9-okyoPYwb-nx_6fn75quuXZBEPBDEmHp7N8PREkSSK4KoAfIJAIA-4DQopU4zwkeCmJzx0btuWMXBd1Zfdfp1IwzafrhqH7amv64WHWPqR2efZvKxBctLN7dAbuq3y1G9rhb3e3Cp06u6u4ewkPvNpQ8ZAHxZCrufL2Wj1NOa0acfn4R7Bctn1Pn1m8IZiX1mZdPwsq4zJ6kQRbErOPKslQx1CY3dNRaFbjinjnFjBKdMa0vLXeYlAhbAECgCAmyp4cYYMBpYwYRlhIFPLm51XY_ezSfJgmyHId7eJx0IHqZp2o5J_wk6tSYuVzuQ_HD3luR7APpv81s4femP6plgYd6Ru4bqshirx-dzNRdVrYnVy3lzOSm1QQ6UcYJFvWQhCgCY_cv_Z12W5P-eMRsl_g0AAP__SHKfq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1958</Words>
  <Characters>11163</Characters>
  <Application>Microsoft Office Word</Application>
  <DocSecurity>0</DocSecurity>
  <Lines>93</Lines>
  <Paragraphs>26</Paragraphs>
  <ScaleCrop>false</ScaleCrop>
  <Company>University of Florida Academic Health Center</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Bedsole, Charlotte O.</dc:creator>
  <cp:keywords/>
  <dc:description/>
  <cp:lastModifiedBy>Bedsole, Charlotte O.</cp:lastModifiedBy>
  <cp:revision>1</cp:revision>
  <dcterms:created xsi:type="dcterms:W3CDTF">2026-05-01T16:49:00Z</dcterms:created>
  <dcterms:modified xsi:type="dcterms:W3CDTF">2026-05-01T16:53:00Z</dcterms:modified>
</cp:coreProperties>
</file>