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52D94" w14:textId="093AD54B" w:rsidR="00FA42A7" w:rsidRDefault="00FA42A7" w:rsidP="00FA42A7">
      <w:pPr>
        <w:jc w:val="center"/>
        <w:rPr>
          <w:b/>
          <w:bCs/>
          <w:sz w:val="28"/>
          <w:szCs w:val="28"/>
        </w:rPr>
      </w:pPr>
      <w:r w:rsidRPr="00FA42A7">
        <w:rPr>
          <w:b/>
          <w:bCs/>
          <w:sz w:val="28"/>
          <w:szCs w:val="28"/>
        </w:rPr>
        <w:t>Education Committee</w:t>
      </w:r>
      <w:r w:rsidR="003D5717">
        <w:rPr>
          <w:b/>
          <w:bCs/>
          <w:sz w:val="28"/>
          <w:szCs w:val="28"/>
        </w:rPr>
        <w:t xml:space="preserve"> Policy</w:t>
      </w:r>
    </w:p>
    <w:p w14:paraId="38A310E7" w14:textId="62CC4821" w:rsidR="00FA42A7" w:rsidRDefault="00FA42A7" w:rsidP="00FA42A7">
      <w:pPr>
        <w:jc w:val="center"/>
        <w:rPr>
          <w:b/>
          <w:bCs/>
          <w:sz w:val="28"/>
          <w:szCs w:val="28"/>
        </w:rPr>
      </w:pPr>
    </w:p>
    <w:p w14:paraId="51F80E80" w14:textId="5B29A3B4" w:rsidR="00FA42A7" w:rsidRDefault="00FA42A7" w:rsidP="00FA42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Purpose:</w:t>
      </w:r>
    </w:p>
    <w:p w14:paraId="677A20A2" w14:textId="36EDD7FF" w:rsidR="00FA42A7" w:rsidRDefault="00FA42A7" w:rsidP="00FA42A7">
      <w:pPr>
        <w:rPr>
          <w:sz w:val="24"/>
          <w:szCs w:val="24"/>
        </w:rPr>
      </w:pPr>
      <w:r>
        <w:rPr>
          <w:sz w:val="24"/>
          <w:szCs w:val="24"/>
        </w:rPr>
        <w:t xml:space="preserve">The purpose is to serve as a guideline for selection of </w:t>
      </w:r>
      <w:r w:rsidR="004C3CB2">
        <w:rPr>
          <w:sz w:val="24"/>
          <w:szCs w:val="24"/>
        </w:rPr>
        <w:t xml:space="preserve">standing </w:t>
      </w:r>
      <w:r>
        <w:rPr>
          <w:sz w:val="24"/>
          <w:szCs w:val="24"/>
        </w:rPr>
        <w:t>Education Committee Members and the process for the Education Committee to follow in selecting educational opportunities for FNPN</w:t>
      </w:r>
      <w:r w:rsidR="0018102C">
        <w:rPr>
          <w:sz w:val="24"/>
          <w:szCs w:val="24"/>
        </w:rPr>
        <w:t>.</w:t>
      </w:r>
    </w:p>
    <w:p w14:paraId="619409E2" w14:textId="4A6CC6F0" w:rsidR="0018102C" w:rsidRPr="0018102C" w:rsidRDefault="0018102C" w:rsidP="0018102C">
      <w:pPr>
        <w:rPr>
          <w:rFonts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 xml:space="preserve">The Education and Professional Affairs Committee promotes the professional preparation and competency of the </w:t>
      </w:r>
      <w:r>
        <w:rPr>
          <w:rFonts w:eastAsia="Times New Roman" w:cstheme="minorHAnsi"/>
          <w:sz w:val="24"/>
          <w:szCs w:val="24"/>
        </w:rPr>
        <w:t>APRN</w:t>
      </w:r>
      <w:r w:rsidRPr="0018102C">
        <w:rPr>
          <w:rFonts w:eastAsia="Times New Roman" w:cstheme="minorHAnsi"/>
          <w:sz w:val="24"/>
          <w:szCs w:val="24"/>
        </w:rPr>
        <w:t xml:space="preserve"> through the utilization of standards of practice and adherence to legal, regulatory and ethical parameters of the </w:t>
      </w:r>
      <w:r w:rsidR="004C3CB2">
        <w:rPr>
          <w:rFonts w:eastAsia="Times New Roman" w:cstheme="minorHAnsi"/>
          <w:sz w:val="24"/>
          <w:szCs w:val="24"/>
        </w:rPr>
        <w:t>APRN role.</w:t>
      </w:r>
    </w:p>
    <w:p w14:paraId="1467CBFF" w14:textId="6D09A045" w:rsidR="00FA42A7" w:rsidRDefault="00FA42A7" w:rsidP="00FA42A7">
      <w:pPr>
        <w:rPr>
          <w:sz w:val="24"/>
          <w:szCs w:val="24"/>
        </w:rPr>
      </w:pPr>
    </w:p>
    <w:p w14:paraId="25565E78" w14:textId="1D2E14F9" w:rsidR="00FA42A7" w:rsidRDefault="003D5717" w:rsidP="00FA42A7">
      <w:pPr>
        <w:rPr>
          <w:b/>
          <w:bCs/>
          <w:sz w:val="24"/>
          <w:szCs w:val="24"/>
        </w:rPr>
      </w:pPr>
      <w:r w:rsidRPr="003D5717">
        <w:rPr>
          <w:b/>
          <w:bCs/>
          <w:sz w:val="24"/>
          <w:szCs w:val="24"/>
        </w:rPr>
        <w:t>Goal:</w:t>
      </w:r>
    </w:p>
    <w:p w14:paraId="0BE74756" w14:textId="08FD5F4B" w:rsidR="003D5717" w:rsidRDefault="003D5717" w:rsidP="00FA42A7">
      <w:pPr>
        <w:rPr>
          <w:sz w:val="24"/>
          <w:szCs w:val="24"/>
        </w:rPr>
      </w:pPr>
      <w:r>
        <w:rPr>
          <w:sz w:val="24"/>
          <w:szCs w:val="24"/>
        </w:rPr>
        <w:t>The goal of this policy to establish a diverse representation of committee members to participate in the selection of educational programs for FNPN</w:t>
      </w:r>
    </w:p>
    <w:p w14:paraId="7B3D6C73" w14:textId="7E767E6C" w:rsidR="0018102C" w:rsidRDefault="0018102C" w:rsidP="00FA42A7">
      <w:pPr>
        <w:rPr>
          <w:sz w:val="24"/>
          <w:szCs w:val="24"/>
        </w:rPr>
      </w:pPr>
    </w:p>
    <w:p w14:paraId="39CD5372" w14:textId="6C72125B" w:rsidR="0018102C" w:rsidRPr="0018102C" w:rsidRDefault="0018102C" w:rsidP="0018102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eastAsia="Times New Roman" w:cstheme="minorHAnsi"/>
          <w:b/>
          <w:i/>
          <w:sz w:val="24"/>
          <w:szCs w:val="24"/>
        </w:rPr>
      </w:pPr>
      <w:r w:rsidRPr="0018102C">
        <w:rPr>
          <w:rFonts w:eastAsia="Times New Roman" w:cstheme="minorHAnsi"/>
          <w:b/>
          <w:i/>
          <w:sz w:val="24"/>
          <w:szCs w:val="24"/>
        </w:rPr>
        <w:t>Specific Responsibilities</w:t>
      </w:r>
      <w:r>
        <w:rPr>
          <w:rFonts w:eastAsia="Times New Roman" w:cstheme="minorHAnsi"/>
          <w:b/>
          <w:i/>
          <w:sz w:val="24"/>
          <w:szCs w:val="24"/>
        </w:rPr>
        <w:t>:</w:t>
      </w:r>
    </w:p>
    <w:p w14:paraId="1506FDE8" w14:textId="77777777" w:rsidR="0018102C" w:rsidRPr="0018102C" w:rsidRDefault="0018102C" w:rsidP="0018102C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6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>The committee will interpret policies related to professional preparation and competence, standards of practice, regulations, legal and ethical issues. Activities will include</w:t>
      </w:r>
    </w:p>
    <w:p w14:paraId="48475751" w14:textId="77777777" w:rsidR="0018102C" w:rsidRPr="0018102C" w:rsidRDefault="0018102C" w:rsidP="0018102C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>Monitoring and communicating standards of practice</w:t>
      </w:r>
    </w:p>
    <w:p w14:paraId="73ED9471" w14:textId="77777777" w:rsidR="0018102C" w:rsidRPr="0018102C" w:rsidRDefault="0018102C" w:rsidP="0018102C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>Serving as expert resource</w:t>
      </w:r>
    </w:p>
    <w:p w14:paraId="7C64A0F8" w14:textId="739D8215" w:rsidR="0018102C" w:rsidRPr="0018102C" w:rsidRDefault="0018102C" w:rsidP="0018102C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6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>The committee will establish policies and guidelines for educational opportunities for F</w:t>
      </w:r>
      <w:r>
        <w:rPr>
          <w:rFonts w:eastAsia="Times New Roman" w:cstheme="minorHAnsi"/>
          <w:sz w:val="24"/>
          <w:szCs w:val="24"/>
        </w:rPr>
        <w:t xml:space="preserve">NPN </w:t>
      </w:r>
      <w:r w:rsidRPr="0018102C">
        <w:rPr>
          <w:rFonts w:eastAsia="Times New Roman" w:cstheme="minorHAnsi"/>
          <w:sz w:val="24"/>
          <w:szCs w:val="24"/>
        </w:rPr>
        <w:t xml:space="preserve">members. Policies and guidelines will aim to </w:t>
      </w:r>
    </w:p>
    <w:p w14:paraId="3B8035EB" w14:textId="77777777" w:rsidR="0018102C" w:rsidRPr="0018102C" w:rsidRDefault="0018102C" w:rsidP="0018102C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>Promote lifelong learning by members</w:t>
      </w:r>
    </w:p>
    <w:p w14:paraId="40A13A88" w14:textId="2277F623" w:rsidR="0018102C" w:rsidRPr="0018102C" w:rsidRDefault="0018102C" w:rsidP="0018102C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 xml:space="preserve">Identify and acknowledge best practices in </w:t>
      </w:r>
      <w:r>
        <w:rPr>
          <w:rFonts w:eastAsia="Times New Roman" w:cstheme="minorHAnsi"/>
          <w:sz w:val="24"/>
          <w:szCs w:val="24"/>
        </w:rPr>
        <w:t>advanced nursing practice</w:t>
      </w:r>
    </w:p>
    <w:p w14:paraId="044F5C29" w14:textId="77777777" w:rsidR="0018102C" w:rsidRPr="0018102C" w:rsidRDefault="0018102C" w:rsidP="0018102C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6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 xml:space="preserve">The committee will develop strategies to promote and market educational services and products by </w:t>
      </w:r>
    </w:p>
    <w:p w14:paraId="738F41D2" w14:textId="77777777" w:rsidR="0018102C" w:rsidRPr="0018102C" w:rsidRDefault="0018102C" w:rsidP="0018102C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>Sharing educational resources among chapters and members</w:t>
      </w:r>
    </w:p>
    <w:p w14:paraId="59DD0694" w14:textId="77777777" w:rsidR="0018102C" w:rsidRPr="0018102C" w:rsidRDefault="0018102C" w:rsidP="0018102C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>Maintaining a statewide network for program planning</w:t>
      </w:r>
    </w:p>
    <w:p w14:paraId="0F524E2F" w14:textId="77777777" w:rsidR="0018102C" w:rsidRPr="0018102C" w:rsidRDefault="0018102C" w:rsidP="0018102C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>Maintaining a statewide speakers’ bureau</w:t>
      </w:r>
    </w:p>
    <w:p w14:paraId="638E228F" w14:textId="7DA07258" w:rsidR="0018102C" w:rsidRPr="0018102C" w:rsidRDefault="0018102C" w:rsidP="0018102C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 xml:space="preserve">Providing guidance and direction for the annual Florida </w:t>
      </w:r>
      <w:r>
        <w:rPr>
          <w:rFonts w:eastAsia="Times New Roman" w:cstheme="minorHAnsi"/>
          <w:sz w:val="24"/>
          <w:szCs w:val="24"/>
        </w:rPr>
        <w:t>Nurse Practitioner Network</w:t>
      </w:r>
      <w:r w:rsidRPr="0018102C">
        <w:rPr>
          <w:rFonts w:eastAsia="Times New Roman" w:cstheme="minorHAnsi"/>
          <w:sz w:val="24"/>
          <w:szCs w:val="24"/>
        </w:rPr>
        <w:t xml:space="preserve"> Conference </w:t>
      </w:r>
    </w:p>
    <w:p w14:paraId="5ED0BEB6" w14:textId="104138BA" w:rsidR="0018102C" w:rsidRPr="0018102C" w:rsidRDefault="0018102C" w:rsidP="0018102C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 xml:space="preserve">Establishing a liaison between other educational disciplines that interact with </w:t>
      </w:r>
      <w:r>
        <w:rPr>
          <w:rFonts w:eastAsia="Times New Roman" w:cstheme="minorHAnsi"/>
          <w:sz w:val="24"/>
          <w:szCs w:val="24"/>
        </w:rPr>
        <w:t>advanced practice</w:t>
      </w:r>
      <w:r w:rsidRPr="0018102C">
        <w:rPr>
          <w:rFonts w:eastAsia="Times New Roman" w:cstheme="minorHAnsi"/>
          <w:sz w:val="24"/>
          <w:szCs w:val="24"/>
        </w:rPr>
        <w:t xml:space="preserve"> nursing (universities, safety and other professional organizations)</w:t>
      </w:r>
    </w:p>
    <w:p w14:paraId="3CF76046" w14:textId="4ACADD0B" w:rsidR="0018102C" w:rsidRPr="0018102C" w:rsidRDefault="0018102C" w:rsidP="0018102C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6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lastRenderedPageBreak/>
        <w:t>The committee will recommend and establish F</w:t>
      </w:r>
      <w:r>
        <w:rPr>
          <w:rFonts w:eastAsia="Times New Roman" w:cstheme="minorHAnsi"/>
          <w:sz w:val="24"/>
          <w:szCs w:val="24"/>
        </w:rPr>
        <w:t>NPN</w:t>
      </w:r>
      <w:r w:rsidRPr="0018102C">
        <w:rPr>
          <w:rFonts w:eastAsia="Times New Roman" w:cstheme="minorHAnsi"/>
          <w:sz w:val="24"/>
          <w:szCs w:val="24"/>
        </w:rPr>
        <w:t xml:space="preserve"> partnerships for enhancement of </w:t>
      </w:r>
      <w:r>
        <w:rPr>
          <w:rFonts w:eastAsia="Times New Roman" w:cstheme="minorHAnsi"/>
          <w:sz w:val="24"/>
          <w:szCs w:val="24"/>
        </w:rPr>
        <w:t xml:space="preserve">advanced </w:t>
      </w:r>
      <w:r w:rsidRPr="0018102C">
        <w:rPr>
          <w:rFonts w:eastAsia="Times New Roman" w:cstheme="minorHAnsi"/>
          <w:sz w:val="24"/>
          <w:szCs w:val="24"/>
        </w:rPr>
        <w:t>nursing practice and education. Recommendations may include</w:t>
      </w:r>
    </w:p>
    <w:p w14:paraId="793522CF" w14:textId="77777777" w:rsidR="0018102C" w:rsidRPr="0018102C" w:rsidRDefault="0018102C" w:rsidP="0018102C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6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18102C">
        <w:rPr>
          <w:rFonts w:eastAsia="Times New Roman" w:cstheme="minorHAnsi"/>
          <w:sz w:val="24"/>
          <w:szCs w:val="24"/>
        </w:rPr>
        <w:t>Partnership with organizations representing other health disciplines</w:t>
      </w:r>
    </w:p>
    <w:p w14:paraId="46CEF6F9" w14:textId="77777777" w:rsidR="0018102C" w:rsidRPr="00FA42A7" w:rsidRDefault="0018102C" w:rsidP="0018102C">
      <w:pPr>
        <w:jc w:val="center"/>
        <w:rPr>
          <w:b/>
          <w:bCs/>
          <w:sz w:val="28"/>
          <w:szCs w:val="28"/>
        </w:rPr>
      </w:pPr>
    </w:p>
    <w:p w14:paraId="08E7E919" w14:textId="7FF7ED8A" w:rsidR="006D0811" w:rsidRDefault="006D0811" w:rsidP="00FA42A7">
      <w:pPr>
        <w:rPr>
          <w:b/>
          <w:bCs/>
          <w:sz w:val="24"/>
          <w:szCs w:val="24"/>
        </w:rPr>
      </w:pPr>
      <w:r w:rsidRPr="006D0811">
        <w:rPr>
          <w:b/>
          <w:bCs/>
          <w:sz w:val="24"/>
          <w:szCs w:val="24"/>
        </w:rPr>
        <w:t>Committee Member Selection:</w:t>
      </w:r>
    </w:p>
    <w:p w14:paraId="216AFA25" w14:textId="0CD08080" w:rsidR="006D0811" w:rsidRDefault="006D0811" w:rsidP="00FA42A7">
      <w:pPr>
        <w:rPr>
          <w:sz w:val="24"/>
          <w:szCs w:val="24"/>
        </w:rPr>
      </w:pPr>
      <w:r>
        <w:rPr>
          <w:sz w:val="24"/>
          <w:szCs w:val="24"/>
        </w:rPr>
        <w:t>The committee should be a representation of members of academia, prior presentation experience, conference/educational planning experience, advocacy experience and experience with CE application/review and approval processes</w:t>
      </w:r>
    </w:p>
    <w:p w14:paraId="31B7AB96" w14:textId="3B8BE42E" w:rsidR="006D0811" w:rsidRDefault="006D0811" w:rsidP="00FA42A7">
      <w:pPr>
        <w:rPr>
          <w:sz w:val="24"/>
          <w:szCs w:val="24"/>
        </w:rPr>
      </w:pPr>
    </w:p>
    <w:p w14:paraId="00BD9BFF" w14:textId="30DEF181" w:rsidR="006D0811" w:rsidRDefault="006D0811" w:rsidP="00FA42A7">
      <w:pPr>
        <w:rPr>
          <w:sz w:val="24"/>
          <w:szCs w:val="24"/>
        </w:rPr>
      </w:pPr>
      <w:r>
        <w:rPr>
          <w:sz w:val="24"/>
          <w:szCs w:val="24"/>
        </w:rPr>
        <w:t>Each candidate will submit to FNPN a letter indicating their interest and background for consideration.  Each qualified candidate will have a panel interview with the VP of Education, FNPN President and FNPN Executive Director</w:t>
      </w:r>
    </w:p>
    <w:p w14:paraId="73E3AAEA" w14:textId="0020D709" w:rsidR="006D0811" w:rsidRDefault="006D0811" w:rsidP="00FA42A7">
      <w:pPr>
        <w:rPr>
          <w:sz w:val="24"/>
          <w:szCs w:val="24"/>
        </w:rPr>
      </w:pPr>
    </w:p>
    <w:p w14:paraId="06E629D9" w14:textId="7C231A63" w:rsidR="006D0811" w:rsidRDefault="006D0811" w:rsidP="00FA42A7">
      <w:pPr>
        <w:rPr>
          <w:sz w:val="24"/>
          <w:szCs w:val="24"/>
        </w:rPr>
      </w:pPr>
      <w:r>
        <w:rPr>
          <w:sz w:val="24"/>
          <w:szCs w:val="24"/>
        </w:rPr>
        <w:t>Committee members should be willing to serve a minimum of two years on the committee</w:t>
      </w:r>
    </w:p>
    <w:p w14:paraId="69B852A8" w14:textId="5F47D943" w:rsidR="006D0811" w:rsidRDefault="006D0811" w:rsidP="00FA42A7">
      <w:pPr>
        <w:rPr>
          <w:sz w:val="24"/>
          <w:szCs w:val="24"/>
        </w:rPr>
      </w:pPr>
    </w:p>
    <w:p w14:paraId="6266BE33" w14:textId="303AA512" w:rsidR="006D0811" w:rsidRDefault="006D0811" w:rsidP="00FA42A7">
      <w:pPr>
        <w:rPr>
          <w:b/>
          <w:bCs/>
          <w:sz w:val="24"/>
          <w:szCs w:val="24"/>
        </w:rPr>
      </w:pPr>
      <w:r w:rsidRPr="006D0811">
        <w:rPr>
          <w:b/>
          <w:bCs/>
          <w:sz w:val="24"/>
          <w:szCs w:val="24"/>
        </w:rPr>
        <w:t>Time Commitment:</w:t>
      </w:r>
    </w:p>
    <w:p w14:paraId="743962EC" w14:textId="77777777" w:rsidR="006D0811" w:rsidRDefault="006D0811" w:rsidP="00FA42A7">
      <w:pPr>
        <w:rPr>
          <w:sz w:val="24"/>
          <w:szCs w:val="24"/>
        </w:rPr>
      </w:pPr>
      <w:r>
        <w:rPr>
          <w:sz w:val="24"/>
          <w:szCs w:val="24"/>
        </w:rPr>
        <w:t xml:space="preserve">This will vary throughout the year depending on level of educational activity needs for FNPN.  </w:t>
      </w:r>
    </w:p>
    <w:p w14:paraId="54DB6660" w14:textId="45CEB7DE" w:rsidR="006D0811" w:rsidRDefault="006D0811" w:rsidP="00FA42A7">
      <w:pPr>
        <w:rPr>
          <w:sz w:val="24"/>
          <w:szCs w:val="24"/>
        </w:rPr>
      </w:pPr>
      <w:bookmarkStart w:id="0" w:name="_Hlk52180826"/>
      <w:r>
        <w:rPr>
          <w:sz w:val="24"/>
          <w:szCs w:val="24"/>
        </w:rPr>
        <w:t>-Conference Speaker Selection will involve review of CV’s, Presentation proposal, review of FNPN Needs Assessment and financial needs to present.  This will require 3-5 hours of prep-time</w:t>
      </w:r>
      <w:r w:rsidR="002E4377">
        <w:rPr>
          <w:sz w:val="24"/>
          <w:szCs w:val="24"/>
        </w:rPr>
        <w:t xml:space="preserve"> approximately twice per year</w:t>
      </w:r>
      <w:r>
        <w:rPr>
          <w:sz w:val="24"/>
          <w:szCs w:val="24"/>
        </w:rPr>
        <w:t xml:space="preserve"> and minimal of 2 one-hour conference committee calls to discuss and select</w:t>
      </w:r>
    </w:p>
    <w:bookmarkEnd w:id="0"/>
    <w:p w14:paraId="1BC2CFE0" w14:textId="1BAD81BE" w:rsidR="006D0811" w:rsidRDefault="006D0811" w:rsidP="00FA42A7">
      <w:pPr>
        <w:rPr>
          <w:sz w:val="24"/>
          <w:szCs w:val="24"/>
        </w:rPr>
      </w:pPr>
    </w:p>
    <w:p w14:paraId="3AA95A6B" w14:textId="3E248034" w:rsidR="006D0811" w:rsidRDefault="006D0811" w:rsidP="006D0811">
      <w:pPr>
        <w:rPr>
          <w:sz w:val="24"/>
          <w:szCs w:val="24"/>
        </w:rPr>
      </w:pPr>
      <w:r>
        <w:rPr>
          <w:sz w:val="24"/>
          <w:szCs w:val="24"/>
        </w:rPr>
        <w:t xml:space="preserve">-On-going Speaker Selection -Conference Speaker Selection will involve review of CV’s, Presentation proposal, review of FNPN Needs Assessment and financial needs to present.  This will require 1-2 hours of prep-time for each proposal and minimal of </w:t>
      </w:r>
      <w:r w:rsidR="002E437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E4377">
        <w:rPr>
          <w:sz w:val="24"/>
          <w:szCs w:val="24"/>
        </w:rPr>
        <w:t>one-hour</w:t>
      </w:r>
      <w:r>
        <w:rPr>
          <w:sz w:val="24"/>
          <w:szCs w:val="24"/>
        </w:rPr>
        <w:t xml:space="preserve"> conference committee calls to discuss and select</w:t>
      </w:r>
    </w:p>
    <w:p w14:paraId="0794ABD2" w14:textId="6994D675" w:rsidR="002E4377" w:rsidRDefault="002E4377" w:rsidP="006D0811">
      <w:pPr>
        <w:rPr>
          <w:sz w:val="24"/>
          <w:szCs w:val="24"/>
        </w:rPr>
      </w:pPr>
      <w:r>
        <w:rPr>
          <w:sz w:val="24"/>
          <w:szCs w:val="24"/>
        </w:rPr>
        <w:t xml:space="preserve">-CE review and application process- Members may be asked to participate in the CE application and review process throughout the year which may require 1-4 hours review time and information collection per event. </w:t>
      </w:r>
    </w:p>
    <w:p w14:paraId="6A5726CB" w14:textId="0DFE92EA" w:rsidR="006D0811" w:rsidRPr="006D0811" w:rsidRDefault="006D0811" w:rsidP="00FA42A7">
      <w:pPr>
        <w:rPr>
          <w:sz w:val="24"/>
          <w:szCs w:val="24"/>
        </w:rPr>
      </w:pPr>
    </w:p>
    <w:p w14:paraId="21316B8E" w14:textId="77777777" w:rsidR="006D0811" w:rsidRPr="003D5717" w:rsidRDefault="006D0811" w:rsidP="00FA42A7">
      <w:pPr>
        <w:rPr>
          <w:sz w:val="24"/>
          <w:szCs w:val="24"/>
        </w:rPr>
      </w:pPr>
    </w:p>
    <w:sectPr w:rsidR="006D0811" w:rsidRPr="003D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02742"/>
    <w:multiLevelType w:val="multilevel"/>
    <w:tmpl w:val="96245E7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A7"/>
    <w:rsid w:val="0018102C"/>
    <w:rsid w:val="002E4377"/>
    <w:rsid w:val="003D5717"/>
    <w:rsid w:val="004C3CB2"/>
    <w:rsid w:val="006D0811"/>
    <w:rsid w:val="007E0572"/>
    <w:rsid w:val="00F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1462"/>
  <w15:chartTrackingRefBased/>
  <w15:docId w15:val="{58C8B360-D3EE-4429-AE1D-45726A0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Nickerson</dc:creator>
  <cp:keywords/>
  <dc:description/>
  <cp:lastModifiedBy>Scott Nickerson</cp:lastModifiedBy>
  <cp:revision>7</cp:revision>
  <dcterms:created xsi:type="dcterms:W3CDTF">2020-09-28T14:03:00Z</dcterms:created>
  <dcterms:modified xsi:type="dcterms:W3CDTF">2020-09-29T16:12:00Z</dcterms:modified>
</cp:coreProperties>
</file>