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FF7" w:rsidRDefault="003809F4" w:rsidP="005531CA">
      <w:pPr>
        <w:pStyle w:val="Heading1"/>
        <w:spacing w:before="0" w:line="240" w:lineRule="auto"/>
        <w:jc w:val="center"/>
        <w:rPr>
          <w:rFonts w:ascii="Georgia" w:hAnsi="Georgia"/>
          <w:b/>
          <w:sz w:val="28"/>
          <w:szCs w:val="28"/>
        </w:rPr>
      </w:pPr>
      <w:bookmarkStart w:id="0" w:name="_GoBack"/>
      <w:bookmarkEnd w:id="0"/>
      <w:r w:rsidRPr="005531CA">
        <w:rPr>
          <w:rFonts w:ascii="Georgia" w:hAnsi="Georgia"/>
          <w:b/>
          <w:sz w:val="28"/>
          <w:szCs w:val="28"/>
        </w:rPr>
        <w:t>FACT SHEET</w:t>
      </w:r>
    </w:p>
    <w:p w:rsidR="005531CA" w:rsidRPr="005531CA" w:rsidRDefault="005531CA" w:rsidP="005531CA"/>
    <w:p w:rsidR="00CB58D9" w:rsidRPr="005531CA" w:rsidRDefault="007846F4" w:rsidP="00A90FF7">
      <w:pPr>
        <w:spacing w:line="276" w:lineRule="auto"/>
        <w:jc w:val="both"/>
        <w:rPr>
          <w:rFonts w:ascii="Georgia" w:hAnsi="Georgia"/>
        </w:rPr>
      </w:pPr>
      <w:r w:rsidRPr="005531CA">
        <w:rPr>
          <w:rFonts w:ascii="Georgia" w:hAnsi="Georgia"/>
        </w:rPr>
        <w:t xml:space="preserve">Telehealth and Virtual communication services are </w:t>
      </w:r>
      <w:r w:rsidRPr="005531CA">
        <w:rPr>
          <w:rFonts w:ascii="Georgia" w:hAnsi="Georgia"/>
          <w:b/>
        </w:rPr>
        <w:t>NOT</w:t>
      </w:r>
      <w:r w:rsidRPr="005531CA">
        <w:rPr>
          <w:rFonts w:ascii="Georgia" w:hAnsi="Georgia"/>
        </w:rPr>
        <w:t xml:space="preserve"> the same thing. Although both telehealth and virtual communication services use technology to communicate, these are separate and distinct services. </w:t>
      </w:r>
      <w:r w:rsidR="00416535" w:rsidRPr="005531CA">
        <w:rPr>
          <w:rFonts w:ascii="Georgia" w:hAnsi="Georgia"/>
        </w:rPr>
        <w:t>These services are not location specific for the patient or the provider.</w:t>
      </w:r>
      <w:r w:rsidR="00CB58D9" w:rsidRPr="005531CA">
        <w:rPr>
          <w:rFonts w:ascii="Georgia" w:hAnsi="Georgia"/>
        </w:rPr>
        <w:t xml:space="preserve"> </w:t>
      </w:r>
    </w:p>
    <w:p w:rsidR="007846F4" w:rsidRPr="005531CA" w:rsidRDefault="00CB58D9" w:rsidP="00A90FF7">
      <w:pPr>
        <w:spacing w:line="276" w:lineRule="auto"/>
        <w:jc w:val="both"/>
        <w:rPr>
          <w:rFonts w:ascii="Georgia" w:hAnsi="Georgia"/>
        </w:rPr>
      </w:pPr>
      <w:r w:rsidRPr="005531CA">
        <w:rPr>
          <w:rFonts w:ascii="Georgia" w:hAnsi="Georgia"/>
        </w:rPr>
        <w:t>Patient follow-up regularly makes for better health care outcomes and may reduce the risk of costly complications. Typically, these services do not replace an in-person doctor’s visit and support. Rather, they enhance, giving patients access for medical advice. Currently, these visits help to reduce risk of exposure to vulnerable patients during this Public Emergency.</w:t>
      </w:r>
    </w:p>
    <w:p w:rsidR="003809F4" w:rsidRPr="005531CA" w:rsidRDefault="003809F4" w:rsidP="00A90FF7">
      <w:pPr>
        <w:spacing w:after="0" w:line="276" w:lineRule="auto"/>
        <w:jc w:val="center"/>
        <w:rPr>
          <w:rFonts w:ascii="Georgia" w:hAnsi="Georgia"/>
          <w:b/>
          <w:color w:val="2E74B5" w:themeColor="accent1" w:themeShade="BF"/>
        </w:rPr>
      </w:pPr>
      <w:r w:rsidRPr="005531CA">
        <w:rPr>
          <w:rFonts w:ascii="Georgia" w:hAnsi="Georgia"/>
          <w:b/>
          <w:color w:val="2E74B5" w:themeColor="accent1" w:themeShade="BF"/>
        </w:rPr>
        <w:t xml:space="preserve">TELEHEALTH = </w:t>
      </w:r>
      <w:r w:rsidR="00015BEA" w:rsidRPr="005531CA">
        <w:rPr>
          <w:rFonts w:ascii="Georgia" w:hAnsi="Georgia"/>
          <w:b/>
          <w:color w:val="2E74B5" w:themeColor="accent1" w:themeShade="BF"/>
        </w:rPr>
        <w:t xml:space="preserve">INTERACTIVE </w:t>
      </w:r>
      <w:r w:rsidRPr="005531CA">
        <w:rPr>
          <w:rFonts w:ascii="Georgia" w:hAnsi="Georgia"/>
          <w:b/>
          <w:color w:val="2E74B5" w:themeColor="accent1" w:themeShade="BF"/>
        </w:rPr>
        <w:t>AUDIO/VIDEO</w:t>
      </w:r>
      <w:r w:rsidR="00015BEA" w:rsidRPr="005531CA">
        <w:rPr>
          <w:rFonts w:ascii="Georgia" w:hAnsi="Georgia"/>
          <w:b/>
          <w:color w:val="2E74B5" w:themeColor="accent1" w:themeShade="BF"/>
        </w:rPr>
        <w:t>/FACE TO FACE</w:t>
      </w:r>
      <w:r w:rsidRPr="005531CA">
        <w:rPr>
          <w:rFonts w:ascii="Georgia" w:hAnsi="Georgia"/>
          <w:b/>
          <w:color w:val="2E74B5" w:themeColor="accent1" w:themeShade="BF"/>
        </w:rPr>
        <w:t xml:space="preserve"> – BLUEJEANS</w:t>
      </w:r>
    </w:p>
    <w:p w:rsidR="003809F4" w:rsidRDefault="003809F4" w:rsidP="00A90FF7">
      <w:pPr>
        <w:spacing w:after="0" w:line="276" w:lineRule="auto"/>
        <w:jc w:val="center"/>
        <w:rPr>
          <w:rFonts w:ascii="Georgia" w:hAnsi="Georgia"/>
          <w:b/>
          <w:color w:val="2E74B5" w:themeColor="accent1" w:themeShade="BF"/>
        </w:rPr>
      </w:pPr>
      <w:r w:rsidRPr="005531CA">
        <w:rPr>
          <w:rFonts w:ascii="Georgia" w:hAnsi="Georgia"/>
          <w:b/>
          <w:color w:val="2E74B5" w:themeColor="accent1" w:themeShade="BF"/>
        </w:rPr>
        <w:t>VIRTUAL CHECK IN = AUDIO ONLY</w:t>
      </w:r>
      <w:r w:rsidR="00015BEA" w:rsidRPr="005531CA">
        <w:rPr>
          <w:rFonts w:ascii="Georgia" w:hAnsi="Georgia"/>
          <w:b/>
          <w:color w:val="2E74B5" w:themeColor="accent1" w:themeShade="BF"/>
        </w:rPr>
        <w:t>/NON-FACE TO FACE</w:t>
      </w:r>
      <w:r w:rsidRPr="005531CA">
        <w:rPr>
          <w:rFonts w:ascii="Georgia" w:hAnsi="Georgia"/>
          <w:b/>
          <w:color w:val="2E74B5" w:themeColor="accent1" w:themeShade="BF"/>
        </w:rPr>
        <w:t xml:space="preserve"> – TELEPHONE</w:t>
      </w:r>
    </w:p>
    <w:p w:rsidR="003D7305" w:rsidRDefault="003D7305" w:rsidP="00A90FF7">
      <w:pPr>
        <w:spacing w:after="0" w:line="276" w:lineRule="auto"/>
        <w:jc w:val="center"/>
        <w:rPr>
          <w:rFonts w:ascii="Georgia" w:hAnsi="Georgia"/>
          <w:b/>
          <w:color w:val="2E74B5" w:themeColor="accent1" w:themeShade="BF"/>
        </w:rPr>
      </w:pPr>
    </w:p>
    <w:p w:rsidR="003D7305" w:rsidRPr="003D7305" w:rsidRDefault="003D7305" w:rsidP="003D7305">
      <w:pPr>
        <w:spacing w:after="0" w:line="240" w:lineRule="auto"/>
        <w:jc w:val="center"/>
        <w:rPr>
          <w:rFonts w:ascii="Georgia" w:hAnsi="Georgia"/>
          <w:color w:val="2E74B5" w:themeColor="accent1" w:themeShade="BF"/>
        </w:rPr>
      </w:pPr>
      <w:r w:rsidRPr="003D7305">
        <w:rPr>
          <w:rFonts w:ascii="Georgia" w:hAnsi="Georgia"/>
          <w:color w:val="2E74B5" w:themeColor="accent1" w:themeShade="BF"/>
        </w:rPr>
        <w:t>E</w:t>
      </w:r>
      <w:r>
        <w:rPr>
          <w:rFonts w:ascii="Georgia" w:hAnsi="Georgia"/>
          <w:color w:val="2E74B5" w:themeColor="accent1" w:themeShade="BF"/>
        </w:rPr>
        <w:t xml:space="preserve">xamples of reason for an </w:t>
      </w:r>
      <w:r w:rsidRPr="003D7305">
        <w:rPr>
          <w:rFonts w:ascii="Georgia" w:hAnsi="Georgia"/>
          <w:color w:val="2E74B5" w:themeColor="accent1" w:themeShade="BF"/>
          <w:u w:val="single"/>
        </w:rPr>
        <w:t>evaluation via Telehealth</w:t>
      </w:r>
      <w:r>
        <w:rPr>
          <w:rFonts w:ascii="Georgia" w:hAnsi="Georgia"/>
          <w:color w:val="2E74B5" w:themeColor="accent1" w:themeShade="BF"/>
        </w:rPr>
        <w:t xml:space="preserve"> and </w:t>
      </w:r>
      <w:r w:rsidRPr="003D7305">
        <w:rPr>
          <w:rFonts w:ascii="Georgia" w:hAnsi="Georgia"/>
          <w:color w:val="2E74B5" w:themeColor="accent1" w:themeShade="BF"/>
          <w:u w:val="single"/>
        </w:rPr>
        <w:t>Medical Advice via Virtual Check-In</w:t>
      </w:r>
    </w:p>
    <w:p w:rsidR="003D7305" w:rsidRDefault="003D7305" w:rsidP="003D7305">
      <w:pPr>
        <w:spacing w:after="0" w:line="240" w:lineRule="auto"/>
        <w:jc w:val="both"/>
        <w:rPr>
          <w:rFonts w:ascii="Georgia" w:hAnsi="Georgia"/>
        </w:rPr>
      </w:pPr>
    </w:p>
    <w:tbl>
      <w:tblPr>
        <w:tblStyle w:val="TableGrid"/>
        <w:tblW w:w="9090" w:type="dxa"/>
        <w:jc w:val="center"/>
        <w:tblLayout w:type="fixed"/>
        <w:tblLook w:val="04A0" w:firstRow="1" w:lastRow="0" w:firstColumn="1" w:lastColumn="0" w:noHBand="0" w:noVBand="1"/>
      </w:tblPr>
      <w:tblGrid>
        <w:gridCol w:w="1345"/>
        <w:gridCol w:w="1080"/>
        <w:gridCol w:w="1350"/>
        <w:gridCol w:w="3510"/>
        <w:gridCol w:w="1805"/>
      </w:tblGrid>
      <w:tr w:rsidR="003D7305" w:rsidTr="003D7305">
        <w:trPr>
          <w:jc w:val="center"/>
        </w:trPr>
        <w:tc>
          <w:tcPr>
            <w:tcW w:w="1345" w:type="dxa"/>
          </w:tcPr>
          <w:p w:rsidR="003D7305" w:rsidRPr="00F9265F" w:rsidRDefault="003D7305" w:rsidP="003D7305">
            <w:pPr>
              <w:rPr>
                <w:sz w:val="20"/>
                <w:szCs w:val="20"/>
              </w:rPr>
            </w:pPr>
            <w:r w:rsidRPr="00F9265F">
              <w:rPr>
                <w:sz w:val="20"/>
                <w:szCs w:val="20"/>
              </w:rPr>
              <w:t>Allergies</w:t>
            </w:r>
          </w:p>
        </w:tc>
        <w:tc>
          <w:tcPr>
            <w:tcW w:w="1080" w:type="dxa"/>
          </w:tcPr>
          <w:p w:rsidR="003D7305" w:rsidRPr="00F9265F" w:rsidRDefault="003D7305" w:rsidP="003D7305">
            <w:pPr>
              <w:rPr>
                <w:sz w:val="20"/>
                <w:szCs w:val="20"/>
              </w:rPr>
            </w:pPr>
            <w:r w:rsidRPr="00F9265F">
              <w:rPr>
                <w:sz w:val="20"/>
                <w:szCs w:val="20"/>
              </w:rPr>
              <w:t>Cough</w:t>
            </w:r>
          </w:p>
        </w:tc>
        <w:tc>
          <w:tcPr>
            <w:tcW w:w="1350" w:type="dxa"/>
          </w:tcPr>
          <w:p w:rsidR="003D7305" w:rsidRPr="00F9265F" w:rsidRDefault="003D7305" w:rsidP="003D73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Fever</w:t>
            </w:r>
          </w:p>
        </w:tc>
        <w:tc>
          <w:tcPr>
            <w:tcW w:w="3510" w:type="dxa"/>
          </w:tcPr>
          <w:p w:rsidR="003D7305" w:rsidRPr="00F9265F" w:rsidRDefault="003D7305" w:rsidP="003D7305">
            <w:pPr>
              <w:rPr>
                <w:sz w:val="20"/>
                <w:szCs w:val="20"/>
              </w:rPr>
            </w:pPr>
            <w:r w:rsidRPr="004C072D">
              <w:rPr>
                <w:sz w:val="20"/>
                <w:szCs w:val="20"/>
              </w:rPr>
              <w:t>Psychiatric – Depression/Anxiety</w:t>
            </w:r>
          </w:p>
        </w:tc>
        <w:tc>
          <w:tcPr>
            <w:tcW w:w="1805" w:type="dxa"/>
          </w:tcPr>
          <w:p w:rsidR="003D7305" w:rsidRPr="00F9265F" w:rsidRDefault="003D7305" w:rsidP="003D7305">
            <w:pPr>
              <w:rPr>
                <w:sz w:val="20"/>
                <w:szCs w:val="20"/>
              </w:rPr>
            </w:pPr>
            <w:r w:rsidRPr="004A0F4C">
              <w:rPr>
                <w:sz w:val="20"/>
                <w:szCs w:val="20"/>
              </w:rPr>
              <w:t>Seasonal Flu</w:t>
            </w:r>
          </w:p>
        </w:tc>
      </w:tr>
      <w:tr w:rsidR="003D7305" w:rsidTr="003D7305">
        <w:trPr>
          <w:jc w:val="center"/>
        </w:trPr>
        <w:tc>
          <w:tcPr>
            <w:tcW w:w="1345" w:type="dxa"/>
          </w:tcPr>
          <w:p w:rsidR="003D7305" w:rsidRPr="00F9265F" w:rsidRDefault="003D7305" w:rsidP="003D7305">
            <w:pPr>
              <w:rPr>
                <w:sz w:val="20"/>
                <w:szCs w:val="20"/>
              </w:rPr>
            </w:pPr>
            <w:r w:rsidRPr="00F9265F">
              <w:rPr>
                <w:sz w:val="20"/>
                <w:szCs w:val="20"/>
              </w:rPr>
              <w:t>Bladder / UTI</w:t>
            </w:r>
          </w:p>
        </w:tc>
        <w:tc>
          <w:tcPr>
            <w:tcW w:w="1080" w:type="dxa"/>
          </w:tcPr>
          <w:p w:rsidR="003D7305" w:rsidRPr="00F9265F" w:rsidRDefault="003D7305" w:rsidP="003D7305">
            <w:pPr>
              <w:rPr>
                <w:sz w:val="20"/>
                <w:szCs w:val="20"/>
              </w:rPr>
            </w:pPr>
            <w:r w:rsidRPr="00F9265F">
              <w:rPr>
                <w:sz w:val="20"/>
                <w:szCs w:val="20"/>
              </w:rPr>
              <w:t>Diabetes</w:t>
            </w:r>
          </w:p>
        </w:tc>
        <w:tc>
          <w:tcPr>
            <w:tcW w:w="1350" w:type="dxa"/>
          </w:tcPr>
          <w:p w:rsidR="003D7305" w:rsidRPr="00F9265F" w:rsidRDefault="003D7305" w:rsidP="003D7305">
            <w:pPr>
              <w:rPr>
                <w:sz w:val="20"/>
                <w:szCs w:val="20"/>
              </w:rPr>
            </w:pPr>
            <w:r w:rsidRPr="00F9265F">
              <w:rPr>
                <w:sz w:val="20"/>
                <w:szCs w:val="20"/>
              </w:rPr>
              <w:t>Hypertension</w:t>
            </w:r>
          </w:p>
        </w:tc>
        <w:tc>
          <w:tcPr>
            <w:tcW w:w="3510" w:type="dxa"/>
          </w:tcPr>
          <w:p w:rsidR="003D7305" w:rsidRPr="00F9265F" w:rsidRDefault="003D7305" w:rsidP="003D7305">
            <w:pPr>
              <w:rPr>
                <w:sz w:val="20"/>
                <w:szCs w:val="20"/>
              </w:rPr>
            </w:pPr>
            <w:r w:rsidRPr="004C072D">
              <w:rPr>
                <w:sz w:val="20"/>
                <w:szCs w:val="20"/>
              </w:rPr>
              <w:t>Sinus problems</w:t>
            </w:r>
          </w:p>
        </w:tc>
        <w:tc>
          <w:tcPr>
            <w:tcW w:w="1805" w:type="dxa"/>
          </w:tcPr>
          <w:p w:rsidR="003D7305" w:rsidRPr="00F9265F" w:rsidRDefault="003D7305" w:rsidP="003D7305">
            <w:pPr>
              <w:rPr>
                <w:sz w:val="20"/>
                <w:szCs w:val="20"/>
              </w:rPr>
            </w:pPr>
            <w:r w:rsidRPr="00F9265F">
              <w:rPr>
                <w:sz w:val="20"/>
                <w:szCs w:val="20"/>
              </w:rPr>
              <w:t>Sore throat</w:t>
            </w:r>
          </w:p>
        </w:tc>
      </w:tr>
      <w:tr w:rsidR="003D7305" w:rsidTr="003D7305">
        <w:trPr>
          <w:trHeight w:val="233"/>
          <w:jc w:val="center"/>
        </w:trPr>
        <w:tc>
          <w:tcPr>
            <w:tcW w:w="1345" w:type="dxa"/>
          </w:tcPr>
          <w:p w:rsidR="003D7305" w:rsidRPr="00F9265F" w:rsidRDefault="003D7305" w:rsidP="003D7305">
            <w:pPr>
              <w:rPr>
                <w:sz w:val="20"/>
                <w:szCs w:val="20"/>
              </w:rPr>
            </w:pPr>
            <w:r w:rsidRPr="00F9265F">
              <w:rPr>
                <w:sz w:val="20"/>
                <w:szCs w:val="20"/>
              </w:rPr>
              <w:t>Bronchitis</w:t>
            </w:r>
          </w:p>
        </w:tc>
        <w:tc>
          <w:tcPr>
            <w:tcW w:w="1080" w:type="dxa"/>
          </w:tcPr>
          <w:p w:rsidR="003D7305" w:rsidRPr="00F9265F" w:rsidRDefault="003D7305" w:rsidP="003D7305">
            <w:pPr>
              <w:rPr>
                <w:sz w:val="20"/>
                <w:szCs w:val="20"/>
              </w:rPr>
            </w:pPr>
            <w:r w:rsidRPr="00F9265F">
              <w:rPr>
                <w:sz w:val="20"/>
                <w:szCs w:val="20"/>
              </w:rPr>
              <w:t>Diarrhea</w:t>
            </w:r>
          </w:p>
        </w:tc>
        <w:tc>
          <w:tcPr>
            <w:tcW w:w="1350" w:type="dxa"/>
          </w:tcPr>
          <w:p w:rsidR="003D7305" w:rsidRPr="00F9265F" w:rsidRDefault="003D7305" w:rsidP="003D7305">
            <w:pPr>
              <w:rPr>
                <w:sz w:val="20"/>
                <w:szCs w:val="20"/>
              </w:rPr>
            </w:pPr>
            <w:r w:rsidRPr="00F9265F">
              <w:rPr>
                <w:sz w:val="20"/>
                <w:szCs w:val="20"/>
              </w:rPr>
              <w:t>Migraine / headache</w:t>
            </w:r>
          </w:p>
        </w:tc>
        <w:tc>
          <w:tcPr>
            <w:tcW w:w="3510" w:type="dxa"/>
          </w:tcPr>
          <w:p w:rsidR="003D7305" w:rsidRPr="00F9265F" w:rsidRDefault="003D7305" w:rsidP="003D7305">
            <w:pPr>
              <w:rPr>
                <w:sz w:val="20"/>
                <w:szCs w:val="20"/>
              </w:rPr>
            </w:pPr>
            <w:r w:rsidRPr="00F9265F">
              <w:rPr>
                <w:sz w:val="20"/>
                <w:szCs w:val="20"/>
              </w:rPr>
              <w:t>Rash</w:t>
            </w:r>
          </w:p>
        </w:tc>
        <w:tc>
          <w:tcPr>
            <w:tcW w:w="1805" w:type="dxa"/>
          </w:tcPr>
          <w:p w:rsidR="003D7305" w:rsidRPr="00F9265F" w:rsidRDefault="003D7305" w:rsidP="003D7305">
            <w:pPr>
              <w:rPr>
                <w:sz w:val="20"/>
                <w:szCs w:val="20"/>
              </w:rPr>
            </w:pPr>
            <w:r w:rsidRPr="00F9265F">
              <w:rPr>
                <w:sz w:val="20"/>
                <w:szCs w:val="20"/>
              </w:rPr>
              <w:t>Stomachache- N&amp;V</w:t>
            </w:r>
          </w:p>
        </w:tc>
      </w:tr>
      <w:tr w:rsidR="003D7305" w:rsidTr="003D7305">
        <w:trPr>
          <w:jc w:val="center"/>
        </w:trPr>
        <w:tc>
          <w:tcPr>
            <w:tcW w:w="1345" w:type="dxa"/>
          </w:tcPr>
          <w:p w:rsidR="003D7305" w:rsidRPr="00F9265F" w:rsidRDefault="003D7305" w:rsidP="003D73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D7305" w:rsidRPr="00F9265F" w:rsidRDefault="003D7305" w:rsidP="003D7305">
            <w:pPr>
              <w:rPr>
                <w:sz w:val="20"/>
                <w:szCs w:val="20"/>
              </w:rPr>
            </w:pPr>
            <w:r w:rsidRPr="00F9265F">
              <w:rPr>
                <w:sz w:val="20"/>
                <w:szCs w:val="20"/>
              </w:rPr>
              <w:t>Fever</w:t>
            </w:r>
          </w:p>
        </w:tc>
        <w:tc>
          <w:tcPr>
            <w:tcW w:w="1350" w:type="dxa"/>
          </w:tcPr>
          <w:p w:rsidR="003D7305" w:rsidRPr="00F9265F" w:rsidRDefault="003D7305" w:rsidP="003D73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Pinkeye</w:t>
            </w:r>
          </w:p>
        </w:tc>
        <w:tc>
          <w:tcPr>
            <w:tcW w:w="3510" w:type="dxa"/>
          </w:tcPr>
          <w:p w:rsidR="003D7305" w:rsidRPr="00F9265F" w:rsidRDefault="003D7305" w:rsidP="003D7305">
            <w:pPr>
              <w:rPr>
                <w:sz w:val="20"/>
                <w:szCs w:val="20"/>
              </w:rPr>
            </w:pPr>
            <w:r w:rsidRPr="00F9265F">
              <w:rPr>
                <w:sz w:val="20"/>
                <w:szCs w:val="20"/>
              </w:rPr>
              <w:t>Required a visit prior to receiving a Refill</w:t>
            </w:r>
          </w:p>
        </w:tc>
        <w:tc>
          <w:tcPr>
            <w:tcW w:w="1805" w:type="dxa"/>
          </w:tcPr>
          <w:p w:rsidR="003D7305" w:rsidRPr="00F9265F" w:rsidRDefault="003D7305" w:rsidP="003D7305">
            <w:pPr>
              <w:rPr>
                <w:sz w:val="20"/>
                <w:szCs w:val="20"/>
              </w:rPr>
            </w:pPr>
            <w:r w:rsidRPr="00F9265F">
              <w:rPr>
                <w:sz w:val="20"/>
                <w:szCs w:val="20"/>
              </w:rPr>
              <w:t>Tiredness</w:t>
            </w:r>
          </w:p>
        </w:tc>
      </w:tr>
    </w:tbl>
    <w:p w:rsidR="003D7305" w:rsidRPr="005531CA" w:rsidRDefault="003D7305" w:rsidP="00A90FF7">
      <w:pPr>
        <w:spacing w:after="0" w:line="276" w:lineRule="auto"/>
        <w:jc w:val="center"/>
        <w:rPr>
          <w:rFonts w:ascii="Georgia" w:hAnsi="Georgia"/>
          <w:b/>
          <w:color w:val="2E74B5" w:themeColor="accent1" w:themeShade="BF"/>
        </w:rPr>
      </w:pPr>
    </w:p>
    <w:p w:rsidR="007846F4" w:rsidRPr="005531CA" w:rsidRDefault="003809F4" w:rsidP="00A90FF7">
      <w:pPr>
        <w:spacing w:after="0" w:line="240" w:lineRule="auto"/>
        <w:rPr>
          <w:rFonts w:ascii="Georgia" w:hAnsi="Georgia"/>
        </w:rPr>
      </w:pPr>
      <w:r w:rsidRPr="005531CA">
        <w:rPr>
          <w:rFonts w:ascii="Georgia" w:hAnsi="Georgia"/>
          <w:b/>
        </w:rPr>
        <w:t>TELEHEALTH</w:t>
      </w:r>
      <w:r w:rsidR="007846F4" w:rsidRPr="005531CA">
        <w:rPr>
          <w:rFonts w:ascii="Georgia" w:hAnsi="Georgia"/>
        </w:rPr>
        <w:t xml:space="preserve"> services are considered a </w:t>
      </w:r>
      <w:r w:rsidR="007846F4" w:rsidRPr="005531CA">
        <w:rPr>
          <w:rFonts w:ascii="Georgia" w:hAnsi="Georgia"/>
          <w:b/>
        </w:rPr>
        <w:t xml:space="preserve">substitute </w:t>
      </w:r>
      <w:r w:rsidR="007846F4" w:rsidRPr="005531CA">
        <w:rPr>
          <w:rFonts w:ascii="Georgia" w:hAnsi="Georgia"/>
        </w:rPr>
        <w:t>for an in-person visit.</w:t>
      </w:r>
    </w:p>
    <w:p w:rsidR="003809F4" w:rsidRPr="005531CA" w:rsidRDefault="007846F4" w:rsidP="004A0F4C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</w:rPr>
      </w:pPr>
      <w:r w:rsidRPr="005531CA">
        <w:rPr>
          <w:rFonts w:ascii="Georgia" w:hAnsi="Georgia"/>
        </w:rPr>
        <w:t xml:space="preserve">Telehealth is a </w:t>
      </w:r>
      <w:r w:rsidRPr="005531CA">
        <w:rPr>
          <w:rFonts w:ascii="Georgia" w:hAnsi="Georgia"/>
          <w:u w:val="single"/>
        </w:rPr>
        <w:t>face to face evaluation</w:t>
      </w:r>
      <w:r w:rsidRPr="005531CA">
        <w:rPr>
          <w:rFonts w:ascii="Georgia" w:hAnsi="Georgia"/>
        </w:rPr>
        <w:t xml:space="preserve"> of a </w:t>
      </w:r>
      <w:r w:rsidRPr="005531CA">
        <w:rPr>
          <w:rFonts w:ascii="Georgia" w:hAnsi="Georgia"/>
          <w:b/>
        </w:rPr>
        <w:t>new problem</w:t>
      </w:r>
      <w:r w:rsidRPr="005531CA">
        <w:rPr>
          <w:rFonts w:ascii="Georgia" w:hAnsi="Georgia"/>
        </w:rPr>
        <w:t xml:space="preserve"> or </w:t>
      </w:r>
      <w:r w:rsidRPr="005531CA">
        <w:rPr>
          <w:rFonts w:ascii="Georgia" w:hAnsi="Georgia"/>
          <w:b/>
        </w:rPr>
        <w:t>chronic condition</w:t>
      </w:r>
      <w:r w:rsidRPr="005531CA">
        <w:rPr>
          <w:rFonts w:ascii="Georgia" w:hAnsi="Georgia"/>
        </w:rPr>
        <w:t xml:space="preserve">; </w:t>
      </w:r>
      <w:r w:rsidRPr="005531CA">
        <w:rPr>
          <w:rFonts w:ascii="Georgia" w:hAnsi="Georgia"/>
          <w:b/>
        </w:rPr>
        <w:t>new patient</w:t>
      </w:r>
      <w:r w:rsidRPr="005531CA">
        <w:rPr>
          <w:rFonts w:ascii="Georgia" w:hAnsi="Georgia"/>
        </w:rPr>
        <w:t xml:space="preserve"> or </w:t>
      </w:r>
      <w:r w:rsidRPr="005531CA">
        <w:rPr>
          <w:rFonts w:ascii="Georgia" w:hAnsi="Georgia"/>
          <w:b/>
        </w:rPr>
        <w:t>established patient</w:t>
      </w:r>
      <w:r w:rsidR="003809F4" w:rsidRPr="005531CA">
        <w:rPr>
          <w:rFonts w:ascii="Georgia" w:hAnsi="Georgia"/>
        </w:rPr>
        <w:t xml:space="preserve"> </w:t>
      </w:r>
    </w:p>
    <w:p w:rsidR="003809F4" w:rsidRPr="005531CA" w:rsidRDefault="003809F4" w:rsidP="00A90FF7">
      <w:pPr>
        <w:pStyle w:val="ListParagraph"/>
        <w:numPr>
          <w:ilvl w:val="0"/>
          <w:numId w:val="1"/>
        </w:numPr>
        <w:spacing w:line="276" w:lineRule="auto"/>
        <w:rPr>
          <w:rFonts w:ascii="Georgia" w:hAnsi="Georgia"/>
        </w:rPr>
      </w:pPr>
      <w:r w:rsidRPr="005531CA">
        <w:rPr>
          <w:rFonts w:ascii="Georgia" w:hAnsi="Georgia"/>
        </w:rPr>
        <w:t>These are the same services provided in the office (POS 11)</w:t>
      </w:r>
    </w:p>
    <w:p w:rsidR="005531CA" w:rsidRDefault="004A74AA" w:rsidP="004A74AA">
      <w:pPr>
        <w:spacing w:after="0" w:line="240" w:lineRule="auto"/>
        <w:jc w:val="both"/>
        <w:rPr>
          <w:rFonts w:ascii="Georgia" w:hAnsi="Georgia"/>
          <w:b/>
        </w:rPr>
      </w:pPr>
      <w:r w:rsidRPr="005531CA">
        <w:rPr>
          <w:rFonts w:ascii="Georgia" w:hAnsi="Georgia"/>
          <w:b/>
        </w:rPr>
        <w:t xml:space="preserve">Q: What services can be provided by telehealth under the new emergency </w:t>
      </w:r>
    </w:p>
    <w:p w:rsidR="005531CA" w:rsidRDefault="005531CA" w:rsidP="004A74AA">
      <w:pPr>
        <w:spacing w:after="0" w:line="240" w:lineRule="auto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      </w:t>
      </w:r>
      <w:r w:rsidR="004A74AA" w:rsidRPr="005531CA">
        <w:rPr>
          <w:rFonts w:ascii="Georgia" w:hAnsi="Georgia"/>
          <w:b/>
        </w:rPr>
        <w:t xml:space="preserve">declaration?                                </w:t>
      </w:r>
    </w:p>
    <w:p w:rsidR="005531CA" w:rsidRDefault="004A74AA" w:rsidP="004A74AA">
      <w:pPr>
        <w:spacing w:after="0" w:line="240" w:lineRule="auto"/>
        <w:jc w:val="both"/>
        <w:rPr>
          <w:rFonts w:ascii="Georgia" w:hAnsi="Georgia"/>
        </w:rPr>
      </w:pPr>
      <w:r w:rsidRPr="005531CA">
        <w:rPr>
          <w:rFonts w:ascii="Georgia" w:hAnsi="Georgia"/>
          <w:b/>
        </w:rPr>
        <w:t xml:space="preserve">A:  </w:t>
      </w:r>
      <w:r w:rsidRPr="005531CA">
        <w:rPr>
          <w:rFonts w:ascii="Georgia" w:hAnsi="Georgia"/>
        </w:rPr>
        <w:t xml:space="preserve">These services are described by the below CPT codes and paid under the Physician Fee </w:t>
      </w:r>
    </w:p>
    <w:p w:rsidR="005531CA" w:rsidRDefault="005531CA" w:rsidP="004A74AA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       </w:t>
      </w:r>
      <w:r w:rsidR="004A74AA" w:rsidRPr="005531CA">
        <w:rPr>
          <w:rFonts w:ascii="Georgia" w:hAnsi="Georgia"/>
        </w:rPr>
        <w:t xml:space="preserve">Schedule. Under the emergency declaration and waivers, these services may be provided to </w:t>
      </w:r>
    </w:p>
    <w:p w:rsidR="004A74AA" w:rsidRDefault="005531CA" w:rsidP="005531CA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       </w:t>
      </w:r>
      <w:r w:rsidR="004A74AA" w:rsidRPr="005531CA">
        <w:rPr>
          <w:rFonts w:ascii="Georgia" w:hAnsi="Georgia"/>
        </w:rPr>
        <w:t xml:space="preserve">patients by providers regardless of patient location. </w:t>
      </w:r>
    </w:p>
    <w:p w:rsidR="005531CA" w:rsidRPr="005531CA" w:rsidRDefault="005531CA" w:rsidP="005531CA">
      <w:pPr>
        <w:spacing w:after="0" w:line="240" w:lineRule="auto"/>
        <w:jc w:val="both"/>
        <w:rPr>
          <w:rFonts w:ascii="Georgia" w:hAnsi="Georgia"/>
        </w:rPr>
      </w:pPr>
    </w:p>
    <w:p w:rsidR="005531CA" w:rsidRDefault="004A74AA" w:rsidP="004A74AA">
      <w:pPr>
        <w:spacing w:after="0" w:line="240" w:lineRule="auto"/>
        <w:jc w:val="both"/>
        <w:rPr>
          <w:rFonts w:ascii="Georgia" w:hAnsi="Georgia"/>
          <w:b/>
        </w:rPr>
      </w:pPr>
      <w:r w:rsidRPr="005531CA">
        <w:rPr>
          <w:rFonts w:ascii="Georgia" w:hAnsi="Georgia"/>
          <w:b/>
        </w:rPr>
        <w:t xml:space="preserve">Q: Who are the Qualified Providers who are permitted to furnish these telehealth </w:t>
      </w:r>
    </w:p>
    <w:p w:rsidR="004A74AA" w:rsidRPr="005531CA" w:rsidRDefault="005531CA" w:rsidP="004A74AA">
      <w:pPr>
        <w:spacing w:after="0" w:line="240" w:lineRule="auto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      </w:t>
      </w:r>
      <w:r w:rsidR="004A74AA" w:rsidRPr="005531CA">
        <w:rPr>
          <w:rFonts w:ascii="Georgia" w:hAnsi="Georgia"/>
          <w:b/>
        </w:rPr>
        <w:t>services under the new law?</w:t>
      </w:r>
    </w:p>
    <w:p w:rsidR="005531CA" w:rsidRDefault="004A74AA" w:rsidP="004A74AA">
      <w:pPr>
        <w:spacing w:after="0" w:line="240" w:lineRule="auto"/>
        <w:jc w:val="both"/>
        <w:rPr>
          <w:rFonts w:ascii="Georgia" w:hAnsi="Georgia"/>
        </w:rPr>
      </w:pPr>
      <w:r w:rsidRPr="005531CA">
        <w:rPr>
          <w:rFonts w:ascii="Georgia" w:hAnsi="Georgia"/>
          <w:b/>
        </w:rPr>
        <w:t xml:space="preserve">A: </w:t>
      </w:r>
      <w:r w:rsidRPr="005531CA">
        <w:rPr>
          <w:rFonts w:ascii="Georgia" w:hAnsi="Georgia"/>
        </w:rPr>
        <w:t xml:space="preserve">Qualified providers who are permitted to furnish Medicare telehealth services during the </w:t>
      </w:r>
    </w:p>
    <w:p w:rsidR="005531CA" w:rsidRDefault="005531CA" w:rsidP="004A74AA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      </w:t>
      </w:r>
      <w:r w:rsidR="004A74AA" w:rsidRPr="005531CA">
        <w:rPr>
          <w:rFonts w:ascii="Georgia" w:hAnsi="Georgia"/>
        </w:rPr>
        <w:t xml:space="preserve">Public Health Emergency include physicians and certain non-physician practitioners such as </w:t>
      </w:r>
    </w:p>
    <w:p w:rsidR="005531CA" w:rsidRDefault="005531CA" w:rsidP="004A74AA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      </w:t>
      </w:r>
      <w:r w:rsidR="004A74AA" w:rsidRPr="005531CA">
        <w:rPr>
          <w:rFonts w:ascii="Georgia" w:hAnsi="Georgia"/>
        </w:rPr>
        <w:t xml:space="preserve">nurse practitioners, physician assistants and certified nurse midwives. Other practitioners, </w:t>
      </w:r>
    </w:p>
    <w:p w:rsidR="005531CA" w:rsidRDefault="005531CA" w:rsidP="004A74AA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      </w:t>
      </w:r>
      <w:r w:rsidR="004A74AA" w:rsidRPr="005531CA">
        <w:rPr>
          <w:rFonts w:ascii="Georgia" w:hAnsi="Georgia"/>
        </w:rPr>
        <w:t xml:space="preserve">such as certified nurse anesthetists, licensed clinical social workers, clinical psychologists, and </w:t>
      </w:r>
    </w:p>
    <w:p w:rsidR="005531CA" w:rsidRDefault="005531CA" w:rsidP="004A74AA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      </w:t>
      </w:r>
      <w:r w:rsidR="004A74AA" w:rsidRPr="005531CA">
        <w:rPr>
          <w:rFonts w:ascii="Georgia" w:hAnsi="Georgia"/>
        </w:rPr>
        <w:t xml:space="preserve">registered dietitians or nutrition professionals may also furnish services within their scope of </w:t>
      </w:r>
    </w:p>
    <w:p w:rsidR="005531CA" w:rsidRDefault="005531CA" w:rsidP="004A74AA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      </w:t>
      </w:r>
      <w:r w:rsidR="004A74AA" w:rsidRPr="005531CA">
        <w:rPr>
          <w:rFonts w:ascii="Georgia" w:hAnsi="Georgia"/>
        </w:rPr>
        <w:t xml:space="preserve">practice and consistent with Medicare benefit rules that apply to all services. This is not </w:t>
      </w:r>
    </w:p>
    <w:p w:rsidR="004A74AA" w:rsidRDefault="005531CA" w:rsidP="004A74AA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      </w:t>
      </w:r>
      <w:r w:rsidR="004A74AA" w:rsidRPr="005531CA">
        <w:rPr>
          <w:rFonts w:ascii="Georgia" w:hAnsi="Georgia"/>
        </w:rPr>
        <w:t>changed by the waiver.</w:t>
      </w:r>
    </w:p>
    <w:p w:rsidR="003D7305" w:rsidRDefault="003D7305" w:rsidP="004A74AA">
      <w:pPr>
        <w:spacing w:after="0" w:line="240" w:lineRule="auto"/>
        <w:jc w:val="both"/>
        <w:rPr>
          <w:rFonts w:ascii="Georgia" w:hAnsi="Georgia"/>
        </w:rPr>
      </w:pPr>
    </w:p>
    <w:p w:rsidR="003D7305" w:rsidRDefault="003D7305" w:rsidP="004A74AA">
      <w:pPr>
        <w:spacing w:after="0" w:line="240" w:lineRule="auto"/>
        <w:jc w:val="both"/>
        <w:rPr>
          <w:rFonts w:ascii="Georgia" w:hAnsi="Georgia"/>
        </w:rPr>
      </w:pPr>
    </w:p>
    <w:p w:rsidR="003D7305" w:rsidRDefault="003D7305" w:rsidP="004A74AA">
      <w:pPr>
        <w:spacing w:after="0" w:line="240" w:lineRule="auto"/>
        <w:jc w:val="both"/>
        <w:rPr>
          <w:rFonts w:ascii="Georgia" w:hAnsi="Georgia"/>
        </w:rPr>
      </w:pPr>
    </w:p>
    <w:p w:rsidR="003D7305" w:rsidRPr="005531CA" w:rsidRDefault="003D7305" w:rsidP="004A74AA">
      <w:pPr>
        <w:spacing w:after="0" w:line="240" w:lineRule="auto"/>
        <w:jc w:val="both"/>
        <w:rPr>
          <w:rFonts w:ascii="Georgia" w:hAnsi="Georgia"/>
        </w:rPr>
      </w:pPr>
    </w:p>
    <w:p w:rsidR="004A74AA" w:rsidRPr="005531CA" w:rsidRDefault="004A74AA" w:rsidP="004A74AA">
      <w:pPr>
        <w:spacing w:after="0" w:line="240" w:lineRule="auto"/>
        <w:jc w:val="both"/>
        <w:rPr>
          <w:rFonts w:ascii="Georgia" w:hAnsi="Georgia"/>
        </w:rPr>
      </w:pPr>
    </w:p>
    <w:p w:rsidR="003D7305" w:rsidRDefault="004A74AA" w:rsidP="004A74AA">
      <w:pPr>
        <w:spacing w:after="0" w:line="240" w:lineRule="auto"/>
        <w:jc w:val="both"/>
        <w:rPr>
          <w:rFonts w:ascii="Georgia" w:hAnsi="Georgia"/>
          <w:b/>
        </w:rPr>
      </w:pPr>
      <w:r w:rsidRPr="005531CA">
        <w:rPr>
          <w:rFonts w:ascii="Georgia" w:hAnsi="Georgia"/>
          <w:b/>
        </w:rPr>
        <w:lastRenderedPageBreak/>
        <w:t xml:space="preserve">Q: Are the telehealth services only limited to services related to patients with </w:t>
      </w:r>
    </w:p>
    <w:p w:rsidR="003D7305" w:rsidRPr="005531CA" w:rsidRDefault="003D7305" w:rsidP="004A74AA">
      <w:pPr>
        <w:spacing w:after="0" w:line="240" w:lineRule="auto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     </w:t>
      </w:r>
      <w:r w:rsidR="004A74AA" w:rsidRPr="005531CA">
        <w:rPr>
          <w:rFonts w:ascii="Georgia" w:hAnsi="Georgia"/>
          <w:b/>
        </w:rPr>
        <w:t>COVID-19?</w:t>
      </w:r>
    </w:p>
    <w:p w:rsidR="003D7305" w:rsidRDefault="004A74AA" w:rsidP="003D7305">
      <w:pPr>
        <w:spacing w:after="0" w:line="240" w:lineRule="auto"/>
        <w:jc w:val="both"/>
        <w:rPr>
          <w:rFonts w:ascii="Georgia" w:hAnsi="Georgia"/>
        </w:rPr>
      </w:pPr>
      <w:r w:rsidRPr="005531CA">
        <w:rPr>
          <w:rFonts w:ascii="Georgia" w:hAnsi="Georgia"/>
          <w:b/>
        </w:rPr>
        <w:t>A:</w:t>
      </w:r>
      <w:r w:rsidRPr="005531CA">
        <w:rPr>
          <w:rFonts w:ascii="Georgia" w:hAnsi="Georgia"/>
        </w:rPr>
        <w:t xml:space="preserve"> No. The statutory provision broadens telehealth flexibility without regard to the diagnosis of </w:t>
      </w:r>
    </w:p>
    <w:p w:rsidR="003D7305" w:rsidRDefault="003D7305" w:rsidP="003D7305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      </w:t>
      </w:r>
      <w:r w:rsidR="004A74AA" w:rsidRPr="005531CA">
        <w:rPr>
          <w:rFonts w:ascii="Georgia" w:hAnsi="Georgia"/>
        </w:rPr>
        <w:t xml:space="preserve">the patient. This is a critical point given the importance of social distancing and other </w:t>
      </w:r>
    </w:p>
    <w:p w:rsidR="003D7305" w:rsidRDefault="003D7305" w:rsidP="003D7305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      s</w:t>
      </w:r>
      <w:r w:rsidR="004A74AA" w:rsidRPr="005531CA">
        <w:rPr>
          <w:rFonts w:ascii="Georgia" w:hAnsi="Georgia"/>
        </w:rPr>
        <w:t xml:space="preserve">trategies recommended to reduce the risk of COVID-19 transmission, since it will prevent </w:t>
      </w:r>
    </w:p>
    <w:p w:rsidR="003D7305" w:rsidRDefault="003D7305" w:rsidP="003D7305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      </w:t>
      </w:r>
      <w:r w:rsidR="004A74AA" w:rsidRPr="005531CA">
        <w:rPr>
          <w:rFonts w:ascii="Georgia" w:hAnsi="Georgia"/>
        </w:rPr>
        <w:t xml:space="preserve">vulnerable </w:t>
      </w:r>
      <w:r w:rsidR="00E878CA" w:rsidRPr="005531CA">
        <w:rPr>
          <w:rFonts w:ascii="Georgia" w:hAnsi="Georgia"/>
        </w:rPr>
        <w:t xml:space="preserve">patients </w:t>
      </w:r>
      <w:r w:rsidR="004A74AA" w:rsidRPr="005531CA">
        <w:rPr>
          <w:rFonts w:ascii="Georgia" w:hAnsi="Georgia"/>
        </w:rPr>
        <w:t xml:space="preserve">from unnecessarily entering a health care facility when their needs can be </w:t>
      </w:r>
    </w:p>
    <w:p w:rsidR="003D7305" w:rsidRDefault="003D7305" w:rsidP="003D7305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      </w:t>
      </w:r>
      <w:r w:rsidR="004A74AA" w:rsidRPr="005531CA">
        <w:rPr>
          <w:rFonts w:ascii="Georgia" w:hAnsi="Georgia"/>
        </w:rPr>
        <w:t xml:space="preserve">met remotely. </w:t>
      </w:r>
    </w:p>
    <w:tbl>
      <w:tblPr>
        <w:tblpPr w:leftFromText="180" w:rightFromText="180" w:vertAnchor="page" w:horzAnchor="margin" w:tblpY="3661"/>
        <w:tblW w:w="9760" w:type="dxa"/>
        <w:tblLayout w:type="fixed"/>
        <w:tblLook w:val="04A0" w:firstRow="1" w:lastRow="0" w:firstColumn="1" w:lastColumn="0" w:noHBand="0" w:noVBand="1"/>
      </w:tblPr>
      <w:tblGrid>
        <w:gridCol w:w="1530"/>
        <w:gridCol w:w="1776"/>
        <w:gridCol w:w="1486"/>
        <w:gridCol w:w="1486"/>
        <w:gridCol w:w="1550"/>
        <w:gridCol w:w="1932"/>
      </w:tblGrid>
      <w:tr w:rsidR="003D7305" w:rsidRPr="00A90FF7" w:rsidTr="003D7305">
        <w:trPr>
          <w:trHeight w:val="252"/>
        </w:trPr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D7305" w:rsidRPr="00A90FF7" w:rsidRDefault="003D7305" w:rsidP="003D7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TELEHEALTH  </w:t>
            </w:r>
            <w:r w:rsidRPr="00A90FF7">
              <w:rPr>
                <w:rFonts w:ascii="Calibri" w:eastAsia="Times New Roman" w:hAnsi="Calibri" w:cs="Times New Roman"/>
                <w:b/>
                <w:bCs/>
                <w:color w:val="000000"/>
              </w:rPr>
              <w:t>CPT</w:t>
            </w:r>
          </w:p>
        </w:tc>
        <w:tc>
          <w:tcPr>
            <w:tcW w:w="82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D7305" w:rsidRDefault="003D7305" w:rsidP="003D7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90FF7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GENERAL DESCRIPTION </w:t>
            </w:r>
          </w:p>
          <w:p w:rsidR="003D7305" w:rsidRPr="00A90FF7" w:rsidRDefault="003D7305" w:rsidP="003D7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3D7305" w:rsidRPr="00A90FF7" w:rsidTr="003D7305">
        <w:trPr>
          <w:trHeight w:val="303"/>
        </w:trPr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05" w:rsidRPr="00E878CA" w:rsidRDefault="003D7305" w:rsidP="003D7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878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99201-99205</w:t>
            </w:r>
          </w:p>
        </w:tc>
        <w:tc>
          <w:tcPr>
            <w:tcW w:w="823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05" w:rsidRPr="00E878CA" w:rsidRDefault="003D7305" w:rsidP="003D7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878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New Office/Outpatient E/M</w:t>
            </w:r>
          </w:p>
        </w:tc>
      </w:tr>
      <w:tr w:rsidR="003D7305" w:rsidRPr="00A90FF7" w:rsidTr="003D7305">
        <w:trPr>
          <w:trHeight w:val="303"/>
        </w:trPr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05" w:rsidRPr="00E878CA" w:rsidRDefault="003D7305" w:rsidP="003D7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878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99211-99215</w:t>
            </w:r>
          </w:p>
        </w:tc>
        <w:tc>
          <w:tcPr>
            <w:tcW w:w="823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05" w:rsidRPr="00E878CA" w:rsidRDefault="003D7305" w:rsidP="003D7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878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Established Office/Outpatient E/M</w:t>
            </w:r>
          </w:p>
        </w:tc>
      </w:tr>
      <w:tr w:rsidR="003D7305" w:rsidRPr="00A90FF7" w:rsidTr="003D7305">
        <w:trPr>
          <w:trHeight w:val="303"/>
        </w:trPr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05" w:rsidRPr="00E878CA" w:rsidRDefault="003D7305" w:rsidP="003D7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878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99243-99245</w:t>
            </w:r>
          </w:p>
        </w:tc>
        <w:tc>
          <w:tcPr>
            <w:tcW w:w="823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05" w:rsidRPr="00E878CA" w:rsidRDefault="003D7305" w:rsidP="003D7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878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New Office/Outpatient Consultation</w:t>
            </w:r>
          </w:p>
        </w:tc>
      </w:tr>
      <w:tr w:rsidR="003D7305" w:rsidRPr="00A90FF7" w:rsidTr="003D7305">
        <w:trPr>
          <w:trHeight w:val="419"/>
        </w:trPr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05" w:rsidRPr="00E878CA" w:rsidRDefault="003D7305" w:rsidP="003D7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878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99406-99409</w:t>
            </w:r>
          </w:p>
        </w:tc>
        <w:tc>
          <w:tcPr>
            <w:tcW w:w="823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05" w:rsidRPr="00E878CA" w:rsidRDefault="003D7305" w:rsidP="003D7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878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Smoking, Alcohol/SA Counseling</w:t>
            </w:r>
          </w:p>
        </w:tc>
      </w:tr>
      <w:tr w:rsidR="003D7305" w:rsidRPr="00A90FF7" w:rsidTr="003D7305">
        <w:trPr>
          <w:trHeight w:val="303"/>
        </w:trPr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05" w:rsidRPr="00E878CA" w:rsidRDefault="003D7305" w:rsidP="003D7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878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99495-99496</w:t>
            </w:r>
          </w:p>
        </w:tc>
        <w:tc>
          <w:tcPr>
            <w:tcW w:w="823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05" w:rsidRPr="00E878CA" w:rsidRDefault="003D7305" w:rsidP="003D7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878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Transitional Care Management</w:t>
            </w:r>
          </w:p>
        </w:tc>
      </w:tr>
      <w:tr w:rsidR="003D7305" w:rsidRPr="00A90FF7" w:rsidTr="003D7305">
        <w:trPr>
          <w:trHeight w:val="303"/>
        </w:trPr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05" w:rsidRPr="00E878CA" w:rsidRDefault="003D7305" w:rsidP="003D7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878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99497-99498</w:t>
            </w:r>
          </w:p>
        </w:tc>
        <w:tc>
          <w:tcPr>
            <w:tcW w:w="823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05" w:rsidRPr="00E878CA" w:rsidRDefault="003D7305" w:rsidP="003D7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878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Advance Care Planning</w:t>
            </w:r>
          </w:p>
        </w:tc>
      </w:tr>
      <w:tr w:rsidR="003D7305" w:rsidRPr="00A90FF7" w:rsidTr="003D7305">
        <w:trPr>
          <w:trHeight w:val="303"/>
        </w:trPr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05" w:rsidRPr="00E878CA" w:rsidRDefault="003D7305" w:rsidP="003D7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878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90791-90792</w:t>
            </w:r>
          </w:p>
        </w:tc>
        <w:tc>
          <w:tcPr>
            <w:tcW w:w="823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05" w:rsidRPr="00E878CA" w:rsidRDefault="003D7305" w:rsidP="003D7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878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Psychiatric Diagnostic Evaluation</w:t>
            </w:r>
          </w:p>
        </w:tc>
      </w:tr>
      <w:tr w:rsidR="003D7305" w:rsidRPr="00A90FF7" w:rsidTr="003D7305">
        <w:trPr>
          <w:trHeight w:val="303"/>
        </w:trPr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05" w:rsidRPr="00E878CA" w:rsidRDefault="003D7305" w:rsidP="003D7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878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90832-90840</w:t>
            </w:r>
          </w:p>
        </w:tc>
        <w:tc>
          <w:tcPr>
            <w:tcW w:w="823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05" w:rsidRPr="00E878CA" w:rsidRDefault="003D7305" w:rsidP="003D7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878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Psychotherapy (time based)</w:t>
            </w:r>
          </w:p>
        </w:tc>
      </w:tr>
      <w:tr w:rsidR="003D7305" w:rsidRPr="00A90FF7" w:rsidTr="003D7305">
        <w:trPr>
          <w:trHeight w:val="303"/>
        </w:trPr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05" w:rsidRPr="00E878CA" w:rsidRDefault="003D7305" w:rsidP="003D7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878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90846-90847</w:t>
            </w:r>
          </w:p>
        </w:tc>
        <w:tc>
          <w:tcPr>
            <w:tcW w:w="823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05" w:rsidRPr="00E878CA" w:rsidRDefault="003D7305" w:rsidP="003D7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878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Family Psychotherapy</w:t>
            </w:r>
          </w:p>
        </w:tc>
      </w:tr>
      <w:tr w:rsidR="003D7305" w:rsidRPr="00A90FF7" w:rsidTr="003D7305">
        <w:trPr>
          <w:trHeight w:val="303"/>
        </w:trPr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05" w:rsidRPr="00E878CA" w:rsidRDefault="003D7305" w:rsidP="003D7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878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96160-96161</w:t>
            </w:r>
          </w:p>
        </w:tc>
        <w:tc>
          <w:tcPr>
            <w:tcW w:w="823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05" w:rsidRPr="00E878CA" w:rsidRDefault="003D7305" w:rsidP="003D730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878CA">
              <w:rPr>
                <w:rFonts w:ascii="Calibri" w:eastAsia="Times New Roman" w:hAnsi="Calibri" w:cs="Times New Roman"/>
                <w:sz w:val="20"/>
                <w:szCs w:val="20"/>
              </w:rPr>
              <w:t>Administration of health risk assessment instrument </w:t>
            </w:r>
          </w:p>
        </w:tc>
      </w:tr>
      <w:tr w:rsidR="003D7305" w:rsidRPr="00A90FF7" w:rsidTr="003D7305">
        <w:trPr>
          <w:trHeight w:val="303"/>
        </w:trPr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05" w:rsidRPr="00E878CA" w:rsidRDefault="003D7305" w:rsidP="003D7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878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97802-97804</w:t>
            </w:r>
          </w:p>
        </w:tc>
        <w:tc>
          <w:tcPr>
            <w:tcW w:w="823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05" w:rsidRPr="00E878CA" w:rsidRDefault="003D7305" w:rsidP="003D730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878CA">
              <w:rPr>
                <w:rFonts w:ascii="Calibri" w:eastAsia="Times New Roman" w:hAnsi="Calibri" w:cs="Times New Roman"/>
                <w:sz w:val="20"/>
                <w:szCs w:val="20"/>
              </w:rPr>
              <w:t>Nutritional Counseling</w:t>
            </w:r>
          </w:p>
        </w:tc>
      </w:tr>
      <w:tr w:rsidR="003D7305" w:rsidRPr="00A90FF7" w:rsidTr="003D7305">
        <w:trPr>
          <w:trHeight w:val="303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05" w:rsidRPr="00E878CA" w:rsidRDefault="003D7305" w:rsidP="003D7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878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G0408-G0409</w:t>
            </w:r>
          </w:p>
        </w:tc>
        <w:tc>
          <w:tcPr>
            <w:tcW w:w="8230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05" w:rsidRPr="00E878CA" w:rsidRDefault="003D7305" w:rsidP="003D7305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  <w:sz w:val="20"/>
                <w:szCs w:val="20"/>
              </w:rPr>
            </w:pPr>
            <w:r w:rsidRPr="00E878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Annual Wellness</w:t>
            </w:r>
          </w:p>
        </w:tc>
      </w:tr>
      <w:tr w:rsidR="003D7305" w:rsidRPr="00E878CA" w:rsidTr="003D7305">
        <w:trPr>
          <w:trHeight w:val="676"/>
        </w:trPr>
        <w:tc>
          <w:tcPr>
            <w:tcW w:w="15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305" w:rsidRPr="00E878CA" w:rsidRDefault="003D7305" w:rsidP="003D730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E878CA">
              <w:rPr>
                <w:rFonts w:eastAsia="Times New Roman" w:cs="Arial"/>
                <w:color w:val="000000"/>
                <w:sz w:val="20"/>
                <w:szCs w:val="20"/>
              </w:rPr>
              <w:t>G0425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5" w:rsidRPr="00E878CA" w:rsidRDefault="003D7305" w:rsidP="003D730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E878CA">
              <w:rPr>
                <w:rFonts w:eastAsia="Times New Roman" w:cs="Arial"/>
                <w:color w:val="000000"/>
                <w:sz w:val="20"/>
                <w:szCs w:val="20"/>
              </w:rPr>
              <w:t xml:space="preserve">Requested Consultation by Emergency </w:t>
            </w:r>
            <w:r w:rsidR="00C70F1C" w:rsidRPr="00E878CA">
              <w:rPr>
                <w:rFonts w:eastAsia="Times New Roman" w:cs="Arial"/>
                <w:color w:val="000000"/>
                <w:sz w:val="20"/>
                <w:szCs w:val="20"/>
              </w:rPr>
              <w:t>Dept.</w:t>
            </w:r>
            <w:r w:rsidRPr="00E878CA">
              <w:rPr>
                <w:rFonts w:eastAsia="Times New Roman" w:cs="Arial"/>
                <w:color w:val="000000"/>
                <w:sz w:val="20"/>
                <w:szCs w:val="20"/>
              </w:rPr>
              <w:t xml:space="preserve"> MD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5" w:rsidRPr="00E878CA" w:rsidRDefault="003D7305" w:rsidP="003D730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E878CA">
              <w:rPr>
                <w:rFonts w:eastAsia="Times New Roman" w:cs="Arial"/>
                <w:color w:val="000000"/>
                <w:sz w:val="20"/>
                <w:szCs w:val="20"/>
              </w:rPr>
              <w:t>Problem focused history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5" w:rsidRPr="00E878CA" w:rsidRDefault="003D7305" w:rsidP="003D730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E878CA">
              <w:rPr>
                <w:rFonts w:eastAsia="Times New Roman" w:cs="Arial"/>
                <w:color w:val="000000"/>
                <w:sz w:val="20"/>
                <w:szCs w:val="20"/>
              </w:rPr>
              <w:t>Problem focused exam</w:t>
            </w:r>
          </w:p>
        </w:tc>
        <w:tc>
          <w:tcPr>
            <w:tcW w:w="15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305" w:rsidRPr="00E878CA" w:rsidRDefault="003D7305" w:rsidP="003D730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E878CA">
              <w:rPr>
                <w:rFonts w:eastAsia="Times New Roman" w:cs="Arial"/>
                <w:color w:val="000000"/>
                <w:sz w:val="20"/>
                <w:szCs w:val="20"/>
              </w:rPr>
              <w:t>Straightforward</w:t>
            </w:r>
          </w:p>
        </w:tc>
        <w:tc>
          <w:tcPr>
            <w:tcW w:w="1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305" w:rsidRPr="00E878CA" w:rsidRDefault="003D7305" w:rsidP="003D730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E878CA">
              <w:rPr>
                <w:rFonts w:eastAsia="Times New Roman" w:cs="Arial"/>
                <w:color w:val="000000"/>
                <w:sz w:val="20"/>
                <w:szCs w:val="20"/>
              </w:rPr>
              <w:t>Typically 30 minutes communicating w/patient via telehealth</w:t>
            </w:r>
          </w:p>
        </w:tc>
      </w:tr>
      <w:tr w:rsidR="003D7305" w:rsidRPr="00E878CA" w:rsidTr="003D7305">
        <w:trPr>
          <w:trHeight w:val="676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305" w:rsidRPr="00E878CA" w:rsidRDefault="003D7305" w:rsidP="003D730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E878CA">
              <w:rPr>
                <w:rFonts w:eastAsia="Times New Roman" w:cs="Arial"/>
                <w:color w:val="000000"/>
                <w:sz w:val="20"/>
                <w:szCs w:val="20"/>
              </w:rPr>
              <w:t>G0426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5" w:rsidRPr="00E878CA" w:rsidRDefault="003D7305" w:rsidP="003D730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E878CA">
              <w:rPr>
                <w:rFonts w:eastAsia="Times New Roman" w:cs="Arial"/>
                <w:color w:val="000000"/>
                <w:sz w:val="20"/>
                <w:szCs w:val="20"/>
              </w:rPr>
              <w:t xml:space="preserve">Requested Consultation by Emergency </w:t>
            </w:r>
            <w:r w:rsidR="00C70F1C" w:rsidRPr="00E878CA">
              <w:rPr>
                <w:rFonts w:eastAsia="Times New Roman" w:cs="Arial"/>
                <w:color w:val="000000"/>
                <w:sz w:val="20"/>
                <w:szCs w:val="20"/>
              </w:rPr>
              <w:t>Dept.</w:t>
            </w:r>
            <w:r w:rsidRPr="00E878CA">
              <w:rPr>
                <w:rFonts w:eastAsia="Times New Roman" w:cs="Arial"/>
                <w:color w:val="000000"/>
                <w:sz w:val="20"/>
                <w:szCs w:val="20"/>
              </w:rPr>
              <w:t xml:space="preserve"> MD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5" w:rsidRPr="00E878CA" w:rsidRDefault="003D7305" w:rsidP="003D730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E878CA">
              <w:rPr>
                <w:rFonts w:eastAsia="Times New Roman" w:cs="Arial"/>
                <w:color w:val="000000"/>
                <w:sz w:val="20"/>
                <w:szCs w:val="20"/>
              </w:rPr>
              <w:t>Detailed history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5" w:rsidRPr="00E878CA" w:rsidRDefault="003D7305" w:rsidP="003D730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E878CA">
              <w:rPr>
                <w:rFonts w:eastAsia="Times New Roman" w:cs="Arial"/>
                <w:color w:val="000000"/>
                <w:sz w:val="20"/>
                <w:szCs w:val="20"/>
              </w:rPr>
              <w:t>Detailed exam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5" w:rsidRPr="00E878CA" w:rsidRDefault="003D7305" w:rsidP="003D730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E878CA">
              <w:rPr>
                <w:rFonts w:eastAsia="Times New Roman" w:cs="Arial"/>
                <w:color w:val="000000"/>
                <w:sz w:val="20"/>
                <w:szCs w:val="20"/>
              </w:rPr>
              <w:t>Moderate Complexity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305" w:rsidRPr="00E878CA" w:rsidRDefault="003D7305" w:rsidP="003D730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E878CA">
              <w:rPr>
                <w:rFonts w:eastAsia="Times New Roman" w:cs="Arial"/>
                <w:color w:val="000000"/>
                <w:sz w:val="20"/>
                <w:szCs w:val="20"/>
              </w:rPr>
              <w:t>Typically 50 minutes communicating w/patient via telehealth</w:t>
            </w:r>
          </w:p>
        </w:tc>
      </w:tr>
      <w:tr w:rsidR="003D7305" w:rsidRPr="00E878CA" w:rsidTr="003D7305">
        <w:trPr>
          <w:trHeight w:val="676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305" w:rsidRPr="00E878CA" w:rsidRDefault="003D7305" w:rsidP="003D730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E878CA">
              <w:rPr>
                <w:rFonts w:eastAsia="Times New Roman" w:cs="Arial"/>
                <w:color w:val="000000"/>
                <w:sz w:val="20"/>
                <w:szCs w:val="20"/>
              </w:rPr>
              <w:t>G0427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5" w:rsidRPr="00E878CA" w:rsidRDefault="003D7305" w:rsidP="003D730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E878CA">
              <w:rPr>
                <w:rFonts w:eastAsia="Times New Roman" w:cs="Arial"/>
                <w:color w:val="000000"/>
                <w:sz w:val="20"/>
                <w:szCs w:val="20"/>
              </w:rPr>
              <w:t xml:space="preserve">Requested Consultation by Emergency </w:t>
            </w:r>
            <w:r w:rsidR="00C70F1C" w:rsidRPr="00E878CA">
              <w:rPr>
                <w:rFonts w:eastAsia="Times New Roman" w:cs="Arial"/>
                <w:color w:val="000000"/>
                <w:sz w:val="20"/>
                <w:szCs w:val="20"/>
              </w:rPr>
              <w:t>Dept.</w:t>
            </w:r>
            <w:r w:rsidRPr="00E878CA">
              <w:rPr>
                <w:rFonts w:eastAsia="Times New Roman" w:cs="Arial"/>
                <w:color w:val="000000"/>
                <w:sz w:val="20"/>
                <w:szCs w:val="20"/>
              </w:rPr>
              <w:t xml:space="preserve"> MD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5" w:rsidRPr="00E878CA" w:rsidRDefault="003D7305" w:rsidP="003D730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E878CA">
              <w:rPr>
                <w:rFonts w:eastAsia="Times New Roman" w:cs="Arial"/>
                <w:color w:val="000000"/>
                <w:sz w:val="20"/>
                <w:szCs w:val="20"/>
              </w:rPr>
              <w:t>Comprehensive history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5" w:rsidRPr="00E878CA" w:rsidRDefault="003D7305" w:rsidP="003D730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E878CA">
              <w:rPr>
                <w:rFonts w:eastAsia="Times New Roman" w:cs="Arial"/>
                <w:color w:val="000000"/>
                <w:sz w:val="20"/>
                <w:szCs w:val="20"/>
              </w:rPr>
              <w:t>Comprehensive exam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5" w:rsidRPr="00E878CA" w:rsidRDefault="003D7305" w:rsidP="003D730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E878CA">
              <w:rPr>
                <w:rFonts w:eastAsia="Times New Roman" w:cs="Arial"/>
                <w:color w:val="000000"/>
                <w:sz w:val="20"/>
                <w:szCs w:val="20"/>
              </w:rPr>
              <w:t>High Complexity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305" w:rsidRPr="00E878CA" w:rsidRDefault="003D7305" w:rsidP="003D730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E878CA">
              <w:rPr>
                <w:rFonts w:eastAsia="Times New Roman" w:cs="Arial"/>
                <w:color w:val="000000"/>
                <w:sz w:val="20"/>
                <w:szCs w:val="20"/>
              </w:rPr>
              <w:t>Typically 70 minutes communicating w/patient via telehealth</w:t>
            </w:r>
          </w:p>
        </w:tc>
      </w:tr>
    </w:tbl>
    <w:p w:rsidR="003D7305" w:rsidRDefault="003D7305" w:rsidP="003D7305">
      <w:pPr>
        <w:spacing w:after="0" w:line="240" w:lineRule="auto"/>
        <w:jc w:val="both"/>
        <w:rPr>
          <w:rFonts w:ascii="Georgia" w:hAnsi="Georgia"/>
        </w:rPr>
      </w:pPr>
    </w:p>
    <w:p w:rsidR="005531CA" w:rsidRPr="00A80AEA" w:rsidRDefault="00A80AEA" w:rsidP="00A80AEA">
      <w:pPr>
        <w:pStyle w:val="ListParagraph"/>
        <w:numPr>
          <w:ilvl w:val="0"/>
          <w:numId w:val="5"/>
        </w:numPr>
        <w:spacing w:line="276" w:lineRule="auto"/>
        <w:jc w:val="center"/>
        <w:rPr>
          <w:b/>
          <w:color w:val="2E74B5" w:themeColor="accent1" w:themeShade="BF"/>
        </w:rPr>
      </w:pPr>
      <w:r w:rsidRPr="00A80AEA">
        <w:rPr>
          <w:b/>
          <w:color w:val="2E74B5" w:themeColor="accent1" w:themeShade="BF"/>
        </w:rPr>
        <w:t>Add Modifier GT to CPT/HCPS</w:t>
      </w:r>
    </w:p>
    <w:p w:rsidR="00595C9D" w:rsidRDefault="003809F4" w:rsidP="004A0F4C">
      <w:pPr>
        <w:spacing w:line="276" w:lineRule="auto"/>
        <w:jc w:val="both"/>
      </w:pPr>
      <w:r w:rsidRPr="003809F4">
        <w:rPr>
          <w:b/>
        </w:rPr>
        <w:t>VIRTUAL CHECK-IN</w:t>
      </w:r>
      <w:r w:rsidR="00A90FF7">
        <w:t xml:space="preserve"> </w:t>
      </w:r>
      <w:r>
        <w:t xml:space="preserve">services are </w:t>
      </w:r>
      <w:r w:rsidR="007846F4">
        <w:t xml:space="preserve">a short </w:t>
      </w:r>
      <w:r w:rsidR="007846F4" w:rsidRPr="003809F4">
        <w:rPr>
          <w:b/>
        </w:rPr>
        <w:t>patient-initiated</w:t>
      </w:r>
      <w:r w:rsidR="007846F4">
        <w:t xml:space="preserve"> communication </w:t>
      </w:r>
      <w:r w:rsidR="007846F4" w:rsidRPr="003809F4">
        <w:rPr>
          <w:b/>
        </w:rPr>
        <w:t>via the telephone</w:t>
      </w:r>
      <w:r w:rsidR="007846F4">
        <w:t xml:space="preserve"> between a </w:t>
      </w:r>
      <w:r w:rsidR="007846F4" w:rsidRPr="003809F4">
        <w:rPr>
          <w:b/>
        </w:rPr>
        <w:t>licensed provider</w:t>
      </w:r>
      <w:r w:rsidR="007846F4">
        <w:t xml:space="preserve"> who bills E/M services and an </w:t>
      </w:r>
      <w:r w:rsidR="007846F4" w:rsidRPr="003809F4">
        <w:rPr>
          <w:b/>
        </w:rPr>
        <w:t xml:space="preserve">established </w:t>
      </w:r>
      <w:r w:rsidR="007846F4">
        <w:t xml:space="preserve">patient. </w:t>
      </w:r>
      <w:r w:rsidR="00595C9D" w:rsidRPr="00595C9D">
        <w:t>This is a patient initiated contact and may not be used for calls initiated by a provider.</w:t>
      </w:r>
      <w:r w:rsidR="00314A64">
        <w:t xml:space="preserve"> </w:t>
      </w:r>
      <w:r w:rsidR="00314A64" w:rsidRPr="00314A64">
        <w:t>This type of visit provides advice and support.</w:t>
      </w:r>
    </w:p>
    <w:p w:rsidR="00595C9D" w:rsidRPr="00595C9D" w:rsidRDefault="00595C9D" w:rsidP="00595C9D">
      <w:pPr>
        <w:pStyle w:val="ListParagraph"/>
        <w:numPr>
          <w:ilvl w:val="0"/>
          <w:numId w:val="4"/>
        </w:numPr>
      </w:pPr>
      <w:r w:rsidRPr="00595C9D">
        <w:t xml:space="preserve">The patient has a new or established problem, seeking medical advice to determine if they need an in-person visit </w:t>
      </w:r>
    </w:p>
    <w:p w:rsidR="00595C9D" w:rsidRDefault="00416535" w:rsidP="00595C9D">
      <w:pPr>
        <w:pStyle w:val="ListParagraph"/>
        <w:numPr>
          <w:ilvl w:val="0"/>
          <w:numId w:val="4"/>
        </w:numPr>
        <w:jc w:val="both"/>
      </w:pPr>
      <w:r>
        <w:t xml:space="preserve">Patients </w:t>
      </w:r>
      <w:r w:rsidRPr="00416535">
        <w:t>looking for advice about symptoms they are experiencing, can call their doctor and receive medical advice about whether he</w:t>
      </w:r>
      <w:r>
        <w:t>/she</w:t>
      </w:r>
      <w:r w:rsidRPr="00416535">
        <w:t xml:space="preserve"> needs to see their doctor in person for a physical exam. </w:t>
      </w:r>
    </w:p>
    <w:p w:rsidR="00595C9D" w:rsidRDefault="00595C9D" w:rsidP="00595C9D">
      <w:pPr>
        <w:pStyle w:val="ListParagraph"/>
        <w:numPr>
          <w:ilvl w:val="0"/>
          <w:numId w:val="4"/>
        </w:numPr>
        <w:jc w:val="both"/>
      </w:pPr>
      <w:r>
        <w:t>If a patients symptoms are worsening</w:t>
      </w:r>
      <w:r w:rsidR="00416535" w:rsidRPr="00416535">
        <w:t>, a virtual check-in allows a healthcare provider to offer recommendations about next steps</w:t>
      </w:r>
      <w:r>
        <w:t>.</w:t>
      </w:r>
    </w:p>
    <w:p w:rsidR="00595C9D" w:rsidRDefault="00595C9D" w:rsidP="00595C9D">
      <w:pPr>
        <w:pStyle w:val="ListParagraph"/>
        <w:numPr>
          <w:ilvl w:val="0"/>
          <w:numId w:val="4"/>
        </w:numPr>
        <w:jc w:val="both"/>
      </w:pPr>
      <w:r>
        <w:t xml:space="preserve">Helps to take the necessary precautions for someone you </w:t>
      </w:r>
      <w:r w:rsidR="00416535" w:rsidRPr="00416535">
        <w:t>are concerned may have the COVID-19 virus or flu before they step in the office or hospital putting others at risk.</w:t>
      </w:r>
      <w:r w:rsidR="00416535">
        <w:t xml:space="preserve"> </w:t>
      </w:r>
    </w:p>
    <w:p w:rsidR="00595C9D" w:rsidRDefault="00416535" w:rsidP="00595C9D">
      <w:pPr>
        <w:pStyle w:val="ListParagraph"/>
        <w:numPr>
          <w:ilvl w:val="0"/>
          <w:numId w:val="4"/>
        </w:numPr>
        <w:jc w:val="both"/>
      </w:pPr>
      <w:r w:rsidRPr="00416535">
        <w:t xml:space="preserve">After </w:t>
      </w:r>
      <w:r w:rsidR="00595C9D">
        <w:t xml:space="preserve">a patient </w:t>
      </w:r>
      <w:r w:rsidRPr="00416535">
        <w:t xml:space="preserve">discussion, you might end up sending the patient </w:t>
      </w:r>
      <w:r w:rsidR="00595C9D">
        <w:t xml:space="preserve">for testing, </w:t>
      </w:r>
      <w:r w:rsidRPr="00416535">
        <w:t xml:space="preserve"> a more acute setting, or even advising them to make (or keep) a future </w:t>
      </w:r>
      <w:r w:rsidR="00595C9D">
        <w:t xml:space="preserve">(beyond 2 days) </w:t>
      </w:r>
      <w:r w:rsidRPr="00416535">
        <w:t xml:space="preserve">appointment with you to address the problem. </w:t>
      </w:r>
    </w:p>
    <w:p w:rsidR="00595C9D" w:rsidRPr="00595C9D" w:rsidRDefault="00595C9D" w:rsidP="00595C9D">
      <w:pPr>
        <w:pStyle w:val="ListParagraph"/>
        <w:numPr>
          <w:ilvl w:val="0"/>
          <w:numId w:val="4"/>
        </w:numPr>
      </w:pPr>
      <w:r w:rsidRPr="00595C9D">
        <w:t>It may direct the patient as needed to the appropriate provider in a medically necessary situation, perhaps leading to cost savings down the road.</w:t>
      </w:r>
    </w:p>
    <w:p w:rsidR="007846F4" w:rsidRDefault="007846F4" w:rsidP="00314A64">
      <w:pPr>
        <w:pStyle w:val="ListParagraph"/>
        <w:numPr>
          <w:ilvl w:val="0"/>
          <w:numId w:val="4"/>
        </w:numPr>
      </w:pPr>
      <w:r>
        <w:t>The visit can’t be related to an E/M service provided in the last 7 days</w:t>
      </w:r>
    </w:p>
    <w:p w:rsidR="007846F4" w:rsidRDefault="007846F4" w:rsidP="00314A64">
      <w:pPr>
        <w:pStyle w:val="ListParagraph"/>
        <w:numPr>
          <w:ilvl w:val="0"/>
          <w:numId w:val="4"/>
        </w:numPr>
      </w:pPr>
      <w:r>
        <w:t>Cannot be during a postoperative period of a procedure</w:t>
      </w:r>
    </w:p>
    <w:p w:rsidR="007846F4" w:rsidRDefault="007846F4" w:rsidP="00314A64">
      <w:pPr>
        <w:pStyle w:val="ListParagraph"/>
        <w:numPr>
          <w:ilvl w:val="0"/>
          <w:numId w:val="4"/>
        </w:numPr>
      </w:pPr>
      <w:r>
        <w:t>The visit can’t trigger a face-to-face visit within 24 hours or the soonest available appointment</w:t>
      </w:r>
    </w:p>
    <w:p w:rsidR="00C70F1C" w:rsidRDefault="00C70F1C" w:rsidP="00C70F1C">
      <w:pPr>
        <w:pStyle w:val="ListParagraph"/>
      </w:pP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2335"/>
        <w:gridCol w:w="7830"/>
      </w:tblGrid>
      <w:tr w:rsidR="004A0F4C" w:rsidTr="004A0F4C">
        <w:tc>
          <w:tcPr>
            <w:tcW w:w="2335" w:type="dxa"/>
          </w:tcPr>
          <w:p w:rsidR="004A0F4C" w:rsidRPr="004A0F4C" w:rsidRDefault="004A0F4C" w:rsidP="004A0F4C">
            <w:pPr>
              <w:rPr>
                <w:sz w:val="20"/>
                <w:szCs w:val="20"/>
              </w:rPr>
            </w:pPr>
            <w:r w:rsidRPr="004A0F4C">
              <w:rPr>
                <w:sz w:val="20"/>
                <w:szCs w:val="20"/>
              </w:rPr>
              <w:t>G2012 (Medicare only)</w:t>
            </w:r>
          </w:p>
        </w:tc>
        <w:tc>
          <w:tcPr>
            <w:tcW w:w="7830" w:type="dxa"/>
          </w:tcPr>
          <w:p w:rsidR="004A0F4C" w:rsidRPr="004A0F4C" w:rsidRDefault="004A0F4C" w:rsidP="004A0F4C">
            <w:pPr>
              <w:rPr>
                <w:sz w:val="20"/>
                <w:szCs w:val="20"/>
              </w:rPr>
            </w:pPr>
            <w:r w:rsidRPr="004A0F4C">
              <w:rPr>
                <w:sz w:val="20"/>
                <w:szCs w:val="20"/>
              </w:rPr>
              <w:t>5-10 minutes of medical discussion</w:t>
            </w:r>
          </w:p>
        </w:tc>
      </w:tr>
      <w:tr w:rsidR="004A0F4C" w:rsidTr="004A0F4C">
        <w:tc>
          <w:tcPr>
            <w:tcW w:w="2335" w:type="dxa"/>
          </w:tcPr>
          <w:p w:rsidR="004A0F4C" w:rsidRPr="004A0F4C" w:rsidRDefault="004A0F4C" w:rsidP="004A0F4C">
            <w:pPr>
              <w:jc w:val="center"/>
              <w:rPr>
                <w:sz w:val="20"/>
                <w:szCs w:val="20"/>
              </w:rPr>
            </w:pPr>
            <w:r w:rsidRPr="004A0F4C">
              <w:rPr>
                <w:sz w:val="20"/>
                <w:szCs w:val="20"/>
              </w:rPr>
              <w:t>99441</w:t>
            </w:r>
          </w:p>
        </w:tc>
        <w:tc>
          <w:tcPr>
            <w:tcW w:w="7830" w:type="dxa"/>
          </w:tcPr>
          <w:p w:rsidR="004A0F4C" w:rsidRPr="004A0F4C" w:rsidRDefault="004A0F4C" w:rsidP="004A0F4C">
            <w:pPr>
              <w:rPr>
                <w:sz w:val="20"/>
                <w:szCs w:val="20"/>
              </w:rPr>
            </w:pPr>
            <w:r w:rsidRPr="004A0F4C">
              <w:rPr>
                <w:sz w:val="20"/>
                <w:szCs w:val="20"/>
              </w:rPr>
              <w:t>5 to 10 minutes of medical discussion, not originating from a related E/M service provided within the previous 7 days nor leading to an E/M service or procedure within the next 24 hours or soonest available appointment</w:t>
            </w:r>
          </w:p>
        </w:tc>
      </w:tr>
      <w:tr w:rsidR="004A0F4C" w:rsidTr="004A0F4C">
        <w:tc>
          <w:tcPr>
            <w:tcW w:w="2335" w:type="dxa"/>
          </w:tcPr>
          <w:p w:rsidR="004A0F4C" w:rsidRPr="004A0F4C" w:rsidRDefault="004A0F4C" w:rsidP="004A0F4C">
            <w:pPr>
              <w:jc w:val="center"/>
              <w:rPr>
                <w:sz w:val="20"/>
                <w:szCs w:val="20"/>
              </w:rPr>
            </w:pPr>
            <w:r w:rsidRPr="004A0F4C">
              <w:rPr>
                <w:sz w:val="20"/>
                <w:szCs w:val="20"/>
              </w:rPr>
              <w:t>99442</w:t>
            </w:r>
          </w:p>
        </w:tc>
        <w:tc>
          <w:tcPr>
            <w:tcW w:w="7830" w:type="dxa"/>
          </w:tcPr>
          <w:p w:rsidR="004A0F4C" w:rsidRPr="004A0F4C" w:rsidRDefault="004A0F4C" w:rsidP="004A0F4C">
            <w:pPr>
              <w:rPr>
                <w:sz w:val="20"/>
                <w:szCs w:val="20"/>
              </w:rPr>
            </w:pPr>
            <w:r w:rsidRPr="004A0F4C">
              <w:rPr>
                <w:sz w:val="20"/>
                <w:szCs w:val="20"/>
              </w:rPr>
              <w:t xml:space="preserve">  11 to 20 minutes of medical discussion, not originating from a related E/M service provided within the previous 7 days nor leading to an E/M service or procedure within the next 24 hours or soonest available appointment</w:t>
            </w:r>
          </w:p>
        </w:tc>
      </w:tr>
      <w:tr w:rsidR="004A0F4C" w:rsidTr="004A0F4C">
        <w:tc>
          <w:tcPr>
            <w:tcW w:w="2335" w:type="dxa"/>
          </w:tcPr>
          <w:p w:rsidR="004A0F4C" w:rsidRPr="004A0F4C" w:rsidRDefault="004A0F4C" w:rsidP="004A0F4C">
            <w:pPr>
              <w:jc w:val="center"/>
              <w:rPr>
                <w:sz w:val="20"/>
                <w:szCs w:val="20"/>
              </w:rPr>
            </w:pPr>
            <w:r w:rsidRPr="004A0F4C">
              <w:rPr>
                <w:sz w:val="20"/>
                <w:szCs w:val="20"/>
              </w:rPr>
              <w:t>99443</w:t>
            </w:r>
          </w:p>
        </w:tc>
        <w:tc>
          <w:tcPr>
            <w:tcW w:w="7830" w:type="dxa"/>
          </w:tcPr>
          <w:p w:rsidR="004A0F4C" w:rsidRPr="004A0F4C" w:rsidRDefault="004A0F4C" w:rsidP="004A0F4C">
            <w:pPr>
              <w:rPr>
                <w:sz w:val="20"/>
                <w:szCs w:val="20"/>
              </w:rPr>
            </w:pPr>
            <w:r w:rsidRPr="004A0F4C">
              <w:rPr>
                <w:sz w:val="20"/>
                <w:szCs w:val="20"/>
              </w:rPr>
              <w:t>21 + minutes of medical discussion, not originating from a related E/M service provided within the previous 7 days nor leading to an E/M service or procedure within the next 24 hours or soonest available appointment</w:t>
            </w:r>
          </w:p>
        </w:tc>
      </w:tr>
    </w:tbl>
    <w:p w:rsidR="004A0F4C" w:rsidRDefault="004A0F4C" w:rsidP="004A0F4C"/>
    <w:p w:rsidR="007846F4" w:rsidRDefault="007846F4"/>
    <w:sectPr w:rsidR="007846F4" w:rsidSect="00D7258D">
      <w:headerReference w:type="default" r:id="rId7"/>
      <w:footerReference w:type="default" r:id="rId8"/>
      <w:pgSz w:w="12240" w:h="15840"/>
      <w:pgMar w:top="1440" w:right="1440" w:bottom="144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6F8" w:rsidRDefault="00FC46F8" w:rsidP="007846F4">
      <w:pPr>
        <w:spacing w:after="0" w:line="240" w:lineRule="auto"/>
      </w:pPr>
      <w:r>
        <w:separator/>
      </w:r>
    </w:p>
  </w:endnote>
  <w:endnote w:type="continuationSeparator" w:id="0">
    <w:p w:rsidR="00FC46F8" w:rsidRDefault="00FC46F8" w:rsidP="00784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36785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0F1C" w:rsidRDefault="00C70F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3B3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70F1C" w:rsidRDefault="00C70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6F8" w:rsidRDefault="00FC46F8" w:rsidP="007846F4">
      <w:pPr>
        <w:spacing w:after="0" w:line="240" w:lineRule="auto"/>
      </w:pPr>
      <w:r>
        <w:separator/>
      </w:r>
    </w:p>
  </w:footnote>
  <w:footnote w:type="continuationSeparator" w:id="0">
    <w:p w:rsidR="00FC46F8" w:rsidRDefault="00FC46F8" w:rsidP="00784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305" w:rsidRDefault="003D7305">
    <w:pPr>
      <w:pStyle w:val="Header"/>
    </w:pPr>
    <w:r>
      <w:rPr>
        <w:noProof/>
      </w:rPr>
      <w:drawing>
        <wp:inline distT="0" distB="0" distL="0" distR="0" wp14:anchorId="323CEE22">
          <wp:extent cx="2237740" cy="85979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774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D7305" w:rsidRPr="005531CA" w:rsidRDefault="003D7305">
    <w:pPr>
      <w:pStyle w:val="Header"/>
      <w:rPr>
        <w:b/>
        <w:i/>
        <w:sz w:val="20"/>
        <w:szCs w:val="20"/>
      </w:rPr>
    </w:pPr>
    <w:r>
      <w:t xml:space="preserve">                           </w:t>
    </w:r>
    <w:r w:rsidRPr="005531CA">
      <w:rPr>
        <w:b/>
        <w:i/>
        <w:sz w:val="20"/>
        <w:szCs w:val="20"/>
      </w:rPr>
      <w:t>PHYSICIAN COMPLIANCE – CORPORATE COMPLIANCE</w:t>
    </w:r>
  </w:p>
  <w:p w:rsidR="003D7305" w:rsidRDefault="003D7305">
    <w:pPr>
      <w:pStyle w:val="Header"/>
    </w:pPr>
    <w:r>
      <w:t xml:space="preserve">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3012"/>
    <w:multiLevelType w:val="hybridMultilevel"/>
    <w:tmpl w:val="922C4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D793F"/>
    <w:multiLevelType w:val="hybridMultilevel"/>
    <w:tmpl w:val="E6CA6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312B8D"/>
    <w:multiLevelType w:val="hybridMultilevel"/>
    <w:tmpl w:val="0442B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B370FB"/>
    <w:multiLevelType w:val="hybridMultilevel"/>
    <w:tmpl w:val="4B22B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9B6F6B"/>
    <w:multiLevelType w:val="hybridMultilevel"/>
    <w:tmpl w:val="8E90BBF2"/>
    <w:lvl w:ilvl="0" w:tplc="19E6F62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99"/>
    <w:rsid w:val="00015BEA"/>
    <w:rsid w:val="00314A64"/>
    <w:rsid w:val="003809F4"/>
    <w:rsid w:val="003D7305"/>
    <w:rsid w:val="00416535"/>
    <w:rsid w:val="004A0F4C"/>
    <w:rsid w:val="004A74AA"/>
    <w:rsid w:val="004C072D"/>
    <w:rsid w:val="005531CA"/>
    <w:rsid w:val="00595C9D"/>
    <w:rsid w:val="007846F4"/>
    <w:rsid w:val="008B4CD3"/>
    <w:rsid w:val="008F3B3F"/>
    <w:rsid w:val="00A80AEA"/>
    <w:rsid w:val="00A90FF7"/>
    <w:rsid w:val="00C70F1C"/>
    <w:rsid w:val="00CB58D9"/>
    <w:rsid w:val="00D7258D"/>
    <w:rsid w:val="00DD2A99"/>
    <w:rsid w:val="00E878CA"/>
    <w:rsid w:val="00F9265F"/>
    <w:rsid w:val="00FC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D4E42BAE-D7BB-454F-95FD-7292795F8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0F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4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6F4"/>
  </w:style>
  <w:style w:type="paragraph" w:styleId="Footer">
    <w:name w:val="footer"/>
    <w:basedOn w:val="Normal"/>
    <w:link w:val="FooterChar"/>
    <w:uiPriority w:val="99"/>
    <w:unhideWhenUsed/>
    <w:rsid w:val="00784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6F4"/>
  </w:style>
  <w:style w:type="paragraph" w:styleId="ListParagraph">
    <w:name w:val="List Paragraph"/>
    <w:basedOn w:val="Normal"/>
    <w:uiPriority w:val="34"/>
    <w:qFormat/>
    <w:rsid w:val="003809F4"/>
    <w:pPr>
      <w:ind w:left="720"/>
      <w:contextualSpacing/>
    </w:pPr>
  </w:style>
  <w:style w:type="table" w:styleId="TableGrid">
    <w:name w:val="Table Grid"/>
    <w:basedOn w:val="TableNormal"/>
    <w:uiPriority w:val="39"/>
    <w:rsid w:val="00314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90F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lossy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947</Words>
  <Characters>5402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HackensackUMC</Company>
  <LinksUpToDate>false</LinksUpToDate>
  <CharactersWithSpaces>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Ghaffar, Saman</dc:creator>
  <cp:keywords/>
  <dc:description/>
  <cp:lastModifiedBy>Ghaffar, Saman</cp:lastModifiedBy>
  <cp:revision>2</cp:revision>
  <dcterms:created xsi:type="dcterms:W3CDTF">2020-03-19T21:07:00Z</dcterms:created>
  <dcterms:modified xsi:type="dcterms:W3CDTF">2020-03-19T21:07:00Z</dcterms:modified>
</cp:coreProperties>
</file>