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D03" w:rsidRDefault="00E335E9" w:rsidP="007539D7">
      <w:pPr>
        <w:pStyle w:val="Title"/>
      </w:pPr>
      <w:r w:rsidRPr="007539D7">
        <w:t>Measure by Measure - t</w:t>
      </w:r>
      <w:r w:rsidR="00D262B0" w:rsidRPr="007539D7">
        <w:t xml:space="preserve">he </w:t>
      </w:r>
      <w:r w:rsidRPr="007539D7">
        <w:t>Real Reasons for Gaps in Claimed and Evaluated Savings (#1016)</w:t>
      </w:r>
      <w:r w:rsidR="005D798D" w:rsidRPr="007539D7">
        <w:t xml:space="preserve"> </w:t>
      </w:r>
    </w:p>
    <w:p w:rsidR="00D262B0" w:rsidRPr="007539D7" w:rsidRDefault="00175F89" w:rsidP="00F76D03">
      <w:pPr>
        <w:pStyle w:val="authors"/>
      </w:pPr>
      <w:r w:rsidRPr="007539D7">
        <w:t>A</w:t>
      </w:r>
      <w:r w:rsidR="00D262B0" w:rsidRPr="007539D7">
        <w:t xml:space="preserve">l Lutz, Vishy Tirumalashetty, Itron, Inc. </w:t>
      </w:r>
    </w:p>
    <w:p w:rsidR="00175F89" w:rsidRPr="007539D7" w:rsidRDefault="00175F89" w:rsidP="007539D7">
      <w:pPr>
        <w:pStyle w:val="abstractline"/>
      </w:pPr>
      <w:r w:rsidRPr="007539D7">
        <w:t xml:space="preserve">ABSTRACT </w:t>
      </w:r>
    </w:p>
    <w:p w:rsidR="0025448B" w:rsidRPr="007539D7" w:rsidRDefault="00E335E9" w:rsidP="00F76D03">
      <w:r w:rsidRPr="007539D7">
        <w:t xml:space="preserve">Energy efficiency programs can deliver on large energy efficiency savings goals, but when they don’t, the reasons for the </w:t>
      </w:r>
      <w:r w:rsidR="00A15E0C" w:rsidRPr="007539D7">
        <w:t xml:space="preserve">gap </w:t>
      </w:r>
      <w:r w:rsidRPr="007539D7">
        <w:t xml:space="preserve">needs to be examined. Many projects of various types were evaluated through California’s </w:t>
      </w:r>
      <w:r w:rsidR="003A4374" w:rsidRPr="007539D7">
        <w:t>Investor Owned Utility (</w:t>
      </w:r>
      <w:r w:rsidRPr="007539D7">
        <w:t>IOU</w:t>
      </w:r>
      <w:r w:rsidR="003A4374" w:rsidRPr="007539D7">
        <w:t>)</w:t>
      </w:r>
      <w:r w:rsidR="003A4374" w:rsidRPr="007539D7" w:rsidDel="003A4374">
        <w:t xml:space="preserve"> </w:t>
      </w:r>
      <w:r w:rsidRPr="007539D7">
        <w:t>sponsored energy efficiency programs for program years 2006 through 2008</w:t>
      </w:r>
      <w:r w:rsidR="001F5D83" w:rsidRPr="007539D7">
        <w:t>.</w:t>
      </w:r>
      <w:r w:rsidRPr="007539D7">
        <w:t xml:space="preserve"> Analysis of these individual projects, mainly involving lighting and </w:t>
      </w:r>
      <w:r w:rsidR="003A4374" w:rsidRPr="007539D7">
        <w:t>Heating,</w:t>
      </w:r>
      <w:r w:rsidR="005D798D" w:rsidRPr="007539D7">
        <w:t xml:space="preserve"> </w:t>
      </w:r>
      <w:r w:rsidR="003A4374" w:rsidRPr="007539D7">
        <w:t>Ventilation and Air Conditioning (HVAC)</w:t>
      </w:r>
      <w:r w:rsidRPr="007539D7">
        <w:t xml:space="preserve"> systems, revealed that the technical or gross savings </w:t>
      </w:r>
      <w:r w:rsidR="00A15E0C" w:rsidRPr="007539D7">
        <w:t xml:space="preserve">gap </w:t>
      </w:r>
      <w:r w:rsidRPr="007539D7">
        <w:t>at a specific site was due to a combination of factors at each site, including improper assumptions about operating hours, operating load, or the applicable baseline. This paper highlights the</w:t>
      </w:r>
      <w:r w:rsidR="000E190E" w:rsidRPr="007539D7">
        <w:t xml:space="preserve"> primary</w:t>
      </w:r>
      <w:r w:rsidRPr="007539D7">
        <w:t xml:space="preserve"> factor in the savings </w:t>
      </w:r>
      <w:r w:rsidR="00A15E0C" w:rsidRPr="007539D7">
        <w:t xml:space="preserve">gap </w:t>
      </w:r>
      <w:r w:rsidRPr="007539D7">
        <w:t xml:space="preserve">for different </w:t>
      </w:r>
      <w:r w:rsidR="00BE6A84" w:rsidRPr="007539D7">
        <w:t xml:space="preserve">types of </w:t>
      </w:r>
      <w:r w:rsidRPr="007539D7">
        <w:t xml:space="preserve">measures, concentrating on the gross savings claims (as opposed to the net-to-gross or net-of-free–ridership claims). The </w:t>
      </w:r>
      <w:r w:rsidR="000E190E" w:rsidRPr="007539D7">
        <w:t>primary</w:t>
      </w:r>
      <w:r w:rsidRPr="007539D7">
        <w:t xml:space="preserve"> factor </w:t>
      </w:r>
      <w:r w:rsidR="000E190E" w:rsidRPr="007539D7">
        <w:t>affecting e</w:t>
      </w:r>
      <w:r w:rsidRPr="007539D7">
        <w:t>nergy savings for project</w:t>
      </w:r>
      <w:r w:rsidR="001F5D83" w:rsidRPr="007539D7">
        <w:t>s in various programs</w:t>
      </w:r>
      <w:r w:rsidR="002940D7" w:rsidRPr="007539D7">
        <w:t xml:space="preserve"> </w:t>
      </w:r>
      <w:r w:rsidR="000E190E" w:rsidRPr="007539D7">
        <w:t>is identified</w:t>
      </w:r>
      <w:r w:rsidRPr="007539D7">
        <w:t xml:space="preserve">, and the results are aggregated by </w:t>
      </w:r>
      <w:r w:rsidR="000E190E" w:rsidRPr="007539D7">
        <w:t xml:space="preserve">end use and </w:t>
      </w:r>
      <w:r w:rsidRPr="007539D7">
        <w:t>measure</w:t>
      </w:r>
      <w:r w:rsidR="000E190E" w:rsidRPr="007539D7">
        <w:t xml:space="preserve"> type</w:t>
      </w:r>
      <w:r w:rsidRPr="007539D7">
        <w:t xml:space="preserve">. </w:t>
      </w:r>
      <w:r w:rsidR="000E190E" w:rsidRPr="007539D7">
        <w:t xml:space="preserve"> </w:t>
      </w:r>
      <w:r w:rsidRPr="007539D7">
        <w:t xml:space="preserve">Identifying the importance of these factors </w:t>
      </w:r>
      <w:r w:rsidR="001F5D83" w:rsidRPr="007539D7">
        <w:t>can lead</w:t>
      </w:r>
      <w:r w:rsidRPr="007539D7">
        <w:t xml:space="preserve"> evaluators and implementers </w:t>
      </w:r>
      <w:r w:rsidR="001F5D83" w:rsidRPr="007539D7">
        <w:t>in</w:t>
      </w:r>
      <w:r w:rsidRPr="007539D7">
        <w:t xml:space="preserve"> better focus</w:t>
      </w:r>
      <w:r w:rsidR="001F5D83" w:rsidRPr="007539D7">
        <w:t>ing</w:t>
      </w:r>
      <w:r w:rsidRPr="007539D7">
        <w:t xml:space="preserve"> on and document</w:t>
      </w:r>
      <w:r w:rsidR="001F5D83" w:rsidRPr="007539D7">
        <w:t>ing</w:t>
      </w:r>
      <w:r w:rsidRPr="007539D7">
        <w:t xml:space="preserve"> the parameters surrounding those factors for a particular measure. This topic is especially relevant as utility energy efficiency goals change and as utilities nationwide are being rewarded for thei</w:t>
      </w:r>
      <w:r w:rsidR="00642A81" w:rsidRPr="007539D7">
        <w:t>r efficiency efforts – and</w:t>
      </w:r>
      <w:r w:rsidRPr="007539D7">
        <w:t xml:space="preserve"> penalized when they fail.</w:t>
      </w:r>
    </w:p>
    <w:p w:rsidR="0044458C" w:rsidRPr="007539D7" w:rsidRDefault="0044458C" w:rsidP="007539D7"/>
    <w:p w:rsidR="00D262B0" w:rsidRDefault="00D262B0" w:rsidP="00A10AF5">
      <w:pPr>
        <w:pStyle w:val="Heading1"/>
        <w:jc w:val="left"/>
      </w:pPr>
      <w:r w:rsidRPr="007539D7">
        <w:t>Importance of Energy Eva</w:t>
      </w:r>
      <w:r w:rsidR="00423D1C" w:rsidRPr="007539D7">
        <w:t xml:space="preserve">luation in the </w:t>
      </w:r>
      <w:r w:rsidR="00BE6A84" w:rsidRPr="007539D7">
        <w:t>Buildings</w:t>
      </w:r>
      <w:r w:rsidR="00423D1C" w:rsidRPr="007539D7">
        <w:t xml:space="preserve"> Sector</w:t>
      </w:r>
    </w:p>
    <w:p w:rsidR="007539D7" w:rsidRPr="007539D7" w:rsidRDefault="007539D7" w:rsidP="007539D7"/>
    <w:p w:rsidR="009512DA" w:rsidRPr="007539D7" w:rsidRDefault="00A0288B" w:rsidP="007539D7">
      <w:r w:rsidRPr="007539D7">
        <w:t>The</w:t>
      </w:r>
      <w:r w:rsidR="00BE6A84" w:rsidRPr="007539D7">
        <w:t xml:space="preserve"> buildings sector</w:t>
      </w:r>
      <w:r w:rsidRPr="007539D7">
        <w:t xml:space="preserve"> accounts for </w:t>
      </w:r>
      <w:r w:rsidR="00C036C9" w:rsidRPr="007539D7">
        <w:t xml:space="preserve">a large portion of </w:t>
      </w:r>
      <w:r w:rsidRPr="007539D7">
        <w:t>total annual national energy use</w:t>
      </w:r>
      <w:r w:rsidR="00CC5C54" w:rsidRPr="007539D7">
        <w:t xml:space="preserve"> </w:t>
      </w:r>
      <w:r w:rsidR="00FA3C6F">
        <w:t>(EIA</w:t>
      </w:r>
      <w:r w:rsidR="009512DA" w:rsidRPr="007539D7">
        <w:t xml:space="preserve"> 2010)</w:t>
      </w:r>
      <w:r w:rsidRPr="007539D7">
        <w:t xml:space="preserve">. </w:t>
      </w:r>
      <w:r w:rsidR="00BC6D00" w:rsidRPr="007539D7">
        <w:t>Energy use reductions in this sector have been the target of energy savings efforts and program offerings by governments and utilities. The evaluation of any program is important</w:t>
      </w:r>
      <w:r w:rsidR="00642A81" w:rsidRPr="007539D7">
        <w:t xml:space="preserve"> in </w:t>
      </w:r>
      <w:r w:rsidR="00BC6D00" w:rsidRPr="007539D7">
        <w:t>ascertain</w:t>
      </w:r>
      <w:r w:rsidR="00642A81" w:rsidRPr="007539D7">
        <w:t>ing</w:t>
      </w:r>
      <w:r w:rsidR="00BC6D00" w:rsidRPr="007539D7">
        <w:t xml:space="preserve"> the achieved results as compared to the claimed results, and the evaluation of energy programs targeted at the </w:t>
      </w:r>
      <w:r w:rsidR="00BE6A84" w:rsidRPr="007539D7">
        <w:t xml:space="preserve">buildings sector </w:t>
      </w:r>
      <w:r w:rsidR="00BC6D00" w:rsidRPr="007539D7">
        <w:t xml:space="preserve">is no exception. The diversity of programs across different </w:t>
      </w:r>
      <w:r w:rsidR="00BE6A84" w:rsidRPr="007539D7">
        <w:t>subsectors and technologies,</w:t>
      </w:r>
      <w:r w:rsidR="000A5F1F" w:rsidRPr="007539D7">
        <w:t xml:space="preserve"> </w:t>
      </w:r>
      <w:r w:rsidR="00BC6D00" w:rsidRPr="007539D7">
        <w:t>along with multiple project drivers</w:t>
      </w:r>
      <w:r w:rsidR="00BE6A84" w:rsidRPr="007539D7">
        <w:t xml:space="preserve"> and market actors</w:t>
      </w:r>
      <w:r w:rsidR="00BC6D00" w:rsidRPr="007539D7">
        <w:t xml:space="preserve">, </w:t>
      </w:r>
      <w:r w:rsidR="00BE6A84" w:rsidRPr="007539D7">
        <w:t>make t</w:t>
      </w:r>
      <w:r w:rsidR="00BC6D00" w:rsidRPr="007539D7">
        <w:t>he</w:t>
      </w:r>
      <w:r w:rsidR="000E190E" w:rsidRPr="007539D7">
        <w:t>se</w:t>
      </w:r>
      <w:r w:rsidR="00BC6D00" w:rsidRPr="007539D7">
        <w:t xml:space="preserve"> evaluation efforts particularly important and instructive in </w:t>
      </w:r>
      <w:r w:rsidR="002940D7" w:rsidRPr="007539D7">
        <w:t xml:space="preserve">determining the </w:t>
      </w:r>
      <w:r w:rsidR="00BE6A84" w:rsidRPr="007539D7">
        <w:t xml:space="preserve">important factors to </w:t>
      </w:r>
      <w:r w:rsidR="002940D7" w:rsidRPr="007539D7">
        <w:t>concentrate on when</w:t>
      </w:r>
      <w:r w:rsidR="00BE6A84" w:rsidRPr="007539D7">
        <w:t xml:space="preserve"> </w:t>
      </w:r>
      <w:r w:rsidR="002940D7" w:rsidRPr="007539D7">
        <w:t xml:space="preserve">claiming – and verifying – energy savings. This attention </w:t>
      </w:r>
      <w:r w:rsidR="00B0473F" w:rsidRPr="007539D7">
        <w:t>is particularly use</w:t>
      </w:r>
      <w:r w:rsidR="002940D7" w:rsidRPr="007539D7">
        <w:t>ful in ensuring the ex-ante claimed and ex-post veri</w:t>
      </w:r>
      <w:r w:rsidR="00B0473F" w:rsidRPr="007539D7">
        <w:t>fied</w:t>
      </w:r>
      <w:r w:rsidR="002940D7" w:rsidRPr="007539D7">
        <w:t xml:space="preserve"> energy savings are accurate and defensible</w:t>
      </w:r>
      <w:r w:rsidR="00BC6D00" w:rsidRPr="007539D7">
        <w:t>.</w:t>
      </w:r>
      <w:r w:rsidR="00B0473F" w:rsidRPr="007539D7">
        <w:t xml:space="preserve">  </w:t>
      </w:r>
      <w:r w:rsidR="005D798D" w:rsidRPr="007539D7">
        <w:t>A reliable estimate of the energy savings from an equipment-retrofit project is important for utility companies, performance co</w:t>
      </w:r>
      <w:r w:rsidR="009512DA" w:rsidRPr="007539D7">
        <w:t xml:space="preserve">ntractors, and building owners (Yalcintas 2008). </w:t>
      </w:r>
    </w:p>
    <w:p w:rsidR="005D798D" w:rsidRPr="007539D7" w:rsidRDefault="00B0473F" w:rsidP="007539D7">
      <w:r w:rsidRPr="007539D7">
        <w:t xml:space="preserve">This paper focuses on the commercial and institutional portion of the buildings sector. </w:t>
      </w:r>
      <w:r w:rsidR="002A1F35" w:rsidRPr="007539D7">
        <w:t>The sector is diverse and comprises a large percentage of total building</w:t>
      </w:r>
      <w:r w:rsidR="00AB7E1C" w:rsidRPr="007539D7">
        <w:t xml:space="preserve"> energy</w:t>
      </w:r>
      <w:r w:rsidR="002A1F35" w:rsidRPr="007539D7">
        <w:t xml:space="preserve"> use. </w:t>
      </w:r>
      <w:r w:rsidRPr="007539D7">
        <w:t xml:space="preserve">Commercial and </w:t>
      </w:r>
      <w:r w:rsidR="00514DB0" w:rsidRPr="007539D7">
        <w:t xml:space="preserve">institutional buildings are generally larger than buildings comprising </w:t>
      </w:r>
      <w:r w:rsidR="002A1F35" w:rsidRPr="007539D7">
        <w:t>the residential secto</w:t>
      </w:r>
      <w:r w:rsidR="00514DB0" w:rsidRPr="007539D7">
        <w:t xml:space="preserve">r (with the exception of </w:t>
      </w:r>
      <w:r w:rsidR="00914DAC" w:rsidRPr="007539D7">
        <w:t xml:space="preserve">some </w:t>
      </w:r>
      <w:r w:rsidR="002A1F35" w:rsidRPr="007539D7">
        <w:t>multi-family housing</w:t>
      </w:r>
      <w:r w:rsidR="00914DAC" w:rsidRPr="007539D7">
        <w:t xml:space="preserve"> complexes</w:t>
      </w:r>
      <w:r w:rsidR="002A1F35" w:rsidRPr="007539D7">
        <w:t xml:space="preserve">) and entail greater </w:t>
      </w:r>
      <w:r w:rsidR="00514DB0" w:rsidRPr="007539D7">
        <w:t>energy use per building.</w:t>
      </w:r>
      <w:r w:rsidR="00377E34" w:rsidRPr="007539D7">
        <w:t xml:space="preserve"> </w:t>
      </w:r>
      <w:r w:rsidRPr="007539D7">
        <w:t xml:space="preserve"> </w:t>
      </w:r>
    </w:p>
    <w:p w:rsidR="003A6A3A" w:rsidRPr="007539D7" w:rsidRDefault="00FA3C6F" w:rsidP="007539D7">
      <w:r>
        <w:t>E</w:t>
      </w:r>
      <w:r w:rsidR="00C036C9" w:rsidRPr="007539D7">
        <w:t xml:space="preserve">nergy impact evaluation reports authorized by </w:t>
      </w:r>
      <w:r w:rsidR="003A6A3A" w:rsidRPr="007539D7">
        <w:t xml:space="preserve">the </w:t>
      </w:r>
      <w:r w:rsidR="00303E4E" w:rsidRPr="007539D7">
        <w:t>California Public Utility Commission (</w:t>
      </w:r>
      <w:r w:rsidR="003A6A3A" w:rsidRPr="007539D7">
        <w:t>CPUC</w:t>
      </w:r>
      <w:r w:rsidR="00303E4E" w:rsidRPr="007539D7">
        <w:t>)</w:t>
      </w:r>
      <w:r w:rsidR="003A6A3A" w:rsidRPr="007539D7">
        <w:t xml:space="preserve"> </w:t>
      </w:r>
      <w:r w:rsidR="00370536" w:rsidRPr="007539D7">
        <w:t>Energy Division (ED)</w:t>
      </w:r>
      <w:r w:rsidR="003A6A3A" w:rsidRPr="007539D7">
        <w:t xml:space="preserve"> for the 2006-2008 </w:t>
      </w:r>
      <w:r>
        <w:t xml:space="preserve">evaluation </w:t>
      </w:r>
      <w:r w:rsidR="003A6A3A" w:rsidRPr="007539D7">
        <w:t xml:space="preserve">cycle were </w:t>
      </w:r>
      <w:r w:rsidR="00772C37" w:rsidRPr="007539D7">
        <w:t xml:space="preserve">reviewed for this study. </w:t>
      </w:r>
      <w:r w:rsidR="00333DE7" w:rsidRPr="007539D7">
        <w:t xml:space="preserve">We </w:t>
      </w:r>
      <w:r w:rsidR="00772C37" w:rsidRPr="007539D7">
        <w:t xml:space="preserve">analyzed </w:t>
      </w:r>
      <w:r>
        <w:t xml:space="preserve">the </w:t>
      </w:r>
      <w:r w:rsidR="00C036C9" w:rsidRPr="007539D7">
        <w:t xml:space="preserve">impact </w:t>
      </w:r>
      <w:r w:rsidR="00EB19D0" w:rsidRPr="007539D7">
        <w:t xml:space="preserve">evaluation </w:t>
      </w:r>
      <w:r w:rsidR="001078C1" w:rsidRPr="007539D7">
        <w:t>report</w:t>
      </w:r>
      <w:r w:rsidR="00EB19D0" w:rsidRPr="007539D7">
        <w:t>s</w:t>
      </w:r>
      <w:r w:rsidR="001078C1" w:rsidRPr="007539D7">
        <w:t xml:space="preserve"> for </w:t>
      </w:r>
      <w:r w:rsidR="00342125" w:rsidRPr="007539D7">
        <w:t>four</w:t>
      </w:r>
      <w:r w:rsidR="001078C1" w:rsidRPr="007539D7">
        <w:t xml:space="preserve"> </w:t>
      </w:r>
      <w:r w:rsidR="00B72479" w:rsidRPr="007539D7">
        <w:t>contract groups; these are</w:t>
      </w:r>
      <w:r w:rsidR="001078C1" w:rsidRPr="007539D7">
        <w:t xml:space="preserve"> publicly available</w:t>
      </w:r>
      <w:r w:rsidR="00EB19D0" w:rsidRPr="007539D7">
        <w:t xml:space="preserve"> </w:t>
      </w:r>
      <w:r w:rsidR="00EB19D0" w:rsidRPr="007539D7">
        <w:lastRenderedPageBreak/>
        <w:t xml:space="preserve">at </w:t>
      </w:r>
      <w:hyperlink r:id="rId9" w:history="1">
        <w:r w:rsidR="00C036C9" w:rsidRPr="007539D7">
          <w:rPr>
            <w:rStyle w:val="Hyperlink"/>
          </w:rPr>
          <w:t>www.calmac.org</w:t>
        </w:r>
      </w:hyperlink>
      <w:r w:rsidR="00C036C9" w:rsidRPr="007539D7">
        <w:t>.</w:t>
      </w:r>
      <w:r w:rsidR="001078C1" w:rsidRPr="007539D7">
        <w:t xml:space="preserve"> </w:t>
      </w:r>
      <w:r w:rsidR="00C036C9" w:rsidRPr="007539D7">
        <w:t xml:space="preserve">Further, we reviewed a </w:t>
      </w:r>
      <w:r w:rsidR="003A6A3A" w:rsidRPr="007539D7">
        <w:t xml:space="preserve">large number of </w:t>
      </w:r>
      <w:r w:rsidR="00F1635D">
        <w:t xml:space="preserve">site specific </w:t>
      </w:r>
      <w:r w:rsidR="00501AF4">
        <w:t xml:space="preserve">energy </w:t>
      </w:r>
      <w:r w:rsidR="00F1635D">
        <w:t>project impact evaluations</w:t>
      </w:r>
      <w:r w:rsidR="003A6A3A" w:rsidRPr="007539D7">
        <w:t xml:space="preserve"> </w:t>
      </w:r>
      <w:r w:rsidR="00C036C9" w:rsidRPr="007539D7">
        <w:t xml:space="preserve">that formed the basis </w:t>
      </w:r>
      <w:r w:rsidR="001078C1" w:rsidRPr="007539D7">
        <w:t xml:space="preserve">for </w:t>
      </w:r>
      <w:r w:rsidR="00342125" w:rsidRPr="007539D7">
        <w:t>t</w:t>
      </w:r>
      <w:r w:rsidR="00776AAB" w:rsidRPr="007539D7">
        <w:t>hese</w:t>
      </w:r>
      <w:r w:rsidR="00C036C9" w:rsidRPr="007539D7">
        <w:t xml:space="preserve"> </w:t>
      </w:r>
      <w:r w:rsidR="00B72479" w:rsidRPr="007539D7">
        <w:t xml:space="preserve">reports. This review </w:t>
      </w:r>
      <w:r w:rsidR="003A6A3A" w:rsidRPr="007539D7">
        <w:t>enable</w:t>
      </w:r>
      <w:r>
        <w:t>d</w:t>
      </w:r>
      <w:r w:rsidR="003A6A3A" w:rsidRPr="007539D7">
        <w:t xml:space="preserve"> a </w:t>
      </w:r>
      <w:r w:rsidR="00B72479" w:rsidRPr="007539D7">
        <w:t>deeper</w:t>
      </w:r>
      <w:r w:rsidR="003A6A3A" w:rsidRPr="007539D7">
        <w:t xml:space="preserve"> assessment </w:t>
      </w:r>
      <w:r>
        <w:t xml:space="preserve">and quantification </w:t>
      </w:r>
      <w:r w:rsidR="003A6A3A" w:rsidRPr="007539D7">
        <w:t xml:space="preserve">of the </w:t>
      </w:r>
      <w:r>
        <w:t xml:space="preserve">frequency for the </w:t>
      </w:r>
      <w:r w:rsidR="003A6A3A" w:rsidRPr="007539D7">
        <w:t>possible reasons for the savings gap that exist</w:t>
      </w:r>
      <w:r>
        <w:t>s</w:t>
      </w:r>
      <w:r w:rsidR="003A6A3A" w:rsidRPr="007539D7">
        <w:t xml:space="preserve"> between claimed and evaluated savings.</w:t>
      </w:r>
      <w:r w:rsidR="004808A2" w:rsidRPr="007539D7">
        <w:t xml:space="preserve"> </w:t>
      </w:r>
      <w:r w:rsidR="00EB19D0" w:rsidRPr="007539D7">
        <w:t>The results and findings of the energy evaluations of energy efficiency programs in the program years 2006 – 2008 condu</w:t>
      </w:r>
      <w:r w:rsidR="00F1635D">
        <w:t>cted for the CPUC (ADM et al.</w:t>
      </w:r>
      <w:r w:rsidR="00F1635D" w:rsidRPr="007539D7">
        <w:t xml:space="preserve"> 2010; </w:t>
      </w:r>
      <w:r w:rsidR="00F1635D">
        <w:t xml:space="preserve">Itron et al. 2010; SBW Consulting et al. 2010; </w:t>
      </w:r>
      <w:r w:rsidR="00EB19D0" w:rsidRPr="007539D7">
        <w:t>Summit Blue et al</w:t>
      </w:r>
      <w:r w:rsidR="009512DA" w:rsidRPr="007539D7">
        <w:t>.</w:t>
      </w:r>
      <w:r w:rsidR="00EB19D0" w:rsidRPr="007539D7">
        <w:t xml:space="preserve"> 2010) are examined </w:t>
      </w:r>
      <w:r>
        <w:t xml:space="preserve">to </w:t>
      </w:r>
      <w:r w:rsidR="00EB19D0" w:rsidRPr="007539D7">
        <w:t xml:space="preserve">assess the critical areas of importance for improvement in energy savings estimation and verification.  </w:t>
      </w:r>
    </w:p>
    <w:p w:rsidR="00BC6D00" w:rsidRPr="007539D7" w:rsidRDefault="00BC6D00" w:rsidP="007539D7">
      <w:r w:rsidRPr="007539D7">
        <w:t xml:space="preserve">When we consider the program induced energy savings, it is important to realize that there are both gross impact and net impact components. These components lead to gross realization rates, net to gross ratios, and net realization rates combining those factors. </w:t>
      </w:r>
      <w:r w:rsidR="00143EA3">
        <w:t>This paper concentrates on the gross energy savings and gross realization rate.</w:t>
      </w:r>
    </w:p>
    <w:p w:rsidR="005D798D" w:rsidRDefault="00BC6D00" w:rsidP="007539D7">
      <w:r w:rsidRPr="007539D7">
        <w:rPr>
          <w:szCs w:val="24"/>
        </w:rPr>
        <w:t>The gross impact compo</w:t>
      </w:r>
      <w:r w:rsidR="00143EA3">
        <w:rPr>
          <w:szCs w:val="24"/>
        </w:rPr>
        <w:t>nent of energy savings</w:t>
      </w:r>
      <w:r w:rsidRPr="007539D7">
        <w:rPr>
          <w:szCs w:val="24"/>
        </w:rPr>
        <w:t xml:space="preserve"> refers to the savings technically possible through the implementation of the measure. These are the </w:t>
      </w:r>
      <w:r w:rsidR="00143EA3">
        <w:rPr>
          <w:szCs w:val="24"/>
        </w:rPr>
        <w:t>savings that an energy end user</w:t>
      </w:r>
      <w:r w:rsidRPr="007539D7">
        <w:rPr>
          <w:szCs w:val="24"/>
        </w:rPr>
        <w:t xml:space="preserve"> or program participant most commonly associate</w:t>
      </w:r>
      <w:r w:rsidR="00914DAC" w:rsidRPr="007539D7">
        <w:rPr>
          <w:szCs w:val="24"/>
        </w:rPr>
        <w:t>s</w:t>
      </w:r>
      <w:r w:rsidRPr="007539D7">
        <w:rPr>
          <w:szCs w:val="24"/>
        </w:rPr>
        <w:t xml:space="preserve"> with energy savings.</w:t>
      </w:r>
      <w:r w:rsidR="00AA57D2" w:rsidRPr="007539D7">
        <w:rPr>
          <w:szCs w:val="24"/>
        </w:rPr>
        <w:t xml:space="preserve"> </w:t>
      </w:r>
      <w:r w:rsidR="00B9313C" w:rsidRPr="007539D7">
        <w:rPr>
          <w:szCs w:val="24"/>
        </w:rPr>
        <w:t>The g</w:t>
      </w:r>
      <w:r w:rsidR="00236E67" w:rsidRPr="007539D7">
        <w:rPr>
          <w:szCs w:val="24"/>
        </w:rPr>
        <w:t>ross realization rate is calculated by dividing the ex-post gross savings by the claimed ex</w:t>
      </w:r>
      <w:r w:rsidR="00277DAC" w:rsidRPr="007539D7">
        <w:rPr>
          <w:szCs w:val="24"/>
        </w:rPr>
        <w:t>-</w:t>
      </w:r>
      <w:r w:rsidR="00236E67" w:rsidRPr="007539D7">
        <w:rPr>
          <w:szCs w:val="24"/>
        </w:rPr>
        <w:t>ante savings.</w:t>
      </w:r>
      <w:r w:rsidR="00561ED0" w:rsidRPr="007539D7">
        <w:t xml:space="preserve"> Gross realization rates were calculated </w:t>
      </w:r>
      <w:r w:rsidR="00143EA3">
        <w:t xml:space="preserve">and are shown in this paper </w:t>
      </w:r>
      <w:r w:rsidR="00561ED0" w:rsidRPr="007539D7">
        <w:t xml:space="preserve">for different measure types based on site specific </w:t>
      </w:r>
      <w:r w:rsidR="00501AF4">
        <w:t xml:space="preserve">energy project </w:t>
      </w:r>
      <w:r w:rsidR="00561ED0" w:rsidRPr="007539D7">
        <w:t xml:space="preserve">realization rates. The measure type realization rate was calculated as a simple average from the site specific </w:t>
      </w:r>
      <w:r w:rsidR="00501AF4">
        <w:t xml:space="preserve">project </w:t>
      </w:r>
      <w:r w:rsidR="00561ED0" w:rsidRPr="007539D7">
        <w:t xml:space="preserve">gross realization rates collected from the site specific </w:t>
      </w:r>
      <w:r w:rsidR="00501AF4">
        <w:t xml:space="preserve">project </w:t>
      </w:r>
      <w:r w:rsidR="00143EA3">
        <w:t xml:space="preserve">impact evaluations that form the basis of the impact evaluation reports reviewed for this paper </w:t>
      </w:r>
      <w:r w:rsidR="00F1635D">
        <w:t>(ADM et al.</w:t>
      </w:r>
      <w:r w:rsidR="00F1635D" w:rsidRPr="007539D7">
        <w:t xml:space="preserve"> 2010; </w:t>
      </w:r>
      <w:r w:rsidR="00F1635D">
        <w:t xml:space="preserve">Itron et al. 2010; SBW Consulting et al. 2010; </w:t>
      </w:r>
      <w:r w:rsidR="00F1635D" w:rsidRPr="007539D7">
        <w:t>Summit Blue et al. 2010)</w:t>
      </w:r>
    </w:p>
    <w:p w:rsidR="00F1635D" w:rsidRPr="007539D7" w:rsidRDefault="00F1635D" w:rsidP="007539D7"/>
    <w:p w:rsidR="005D798D" w:rsidRDefault="00D262B0" w:rsidP="007539D7">
      <w:pPr>
        <w:pStyle w:val="Heading1"/>
      </w:pPr>
      <w:r w:rsidRPr="007539D7">
        <w:t xml:space="preserve">Research Performed to Determine </w:t>
      </w:r>
      <w:r w:rsidR="00026237" w:rsidRPr="007539D7">
        <w:t>Factors for the Energy Savings Gap</w:t>
      </w:r>
    </w:p>
    <w:p w:rsidR="0025503D" w:rsidRPr="0025503D" w:rsidRDefault="0025503D" w:rsidP="0025503D"/>
    <w:p w:rsidR="00D262B0" w:rsidRPr="007539D7" w:rsidRDefault="00D262B0" w:rsidP="007539D7">
      <w:r w:rsidRPr="007539D7">
        <w:t xml:space="preserve">Gross impacts </w:t>
      </w:r>
      <w:r w:rsidR="00B276D0" w:rsidRPr="007539D7">
        <w:t xml:space="preserve">are typically </w:t>
      </w:r>
      <w:r w:rsidRPr="007539D7">
        <w:t>determined</w:t>
      </w:r>
      <w:r w:rsidR="00B276D0" w:rsidRPr="007539D7">
        <w:t xml:space="preserve"> for larger commercial </w:t>
      </w:r>
      <w:r w:rsidR="00501AF4">
        <w:t xml:space="preserve">energy </w:t>
      </w:r>
      <w:r w:rsidR="00B276D0" w:rsidRPr="007539D7">
        <w:t>projects</w:t>
      </w:r>
      <w:r w:rsidRPr="007539D7">
        <w:t xml:space="preserve"> </w:t>
      </w:r>
      <w:r w:rsidR="00143EA3">
        <w:t xml:space="preserve">through </w:t>
      </w:r>
      <w:r w:rsidRPr="007539D7">
        <w:t xml:space="preserve">application review, project documentation review, site visits, </w:t>
      </w:r>
      <w:r w:rsidR="00143EA3">
        <w:t>measurement and v</w:t>
      </w:r>
      <w:r w:rsidR="007857FF" w:rsidRPr="007539D7">
        <w:t>erification (</w:t>
      </w:r>
      <w:r w:rsidRPr="007539D7">
        <w:t>M&amp;V</w:t>
      </w:r>
      <w:r w:rsidR="007857FF" w:rsidRPr="007539D7">
        <w:t>)</w:t>
      </w:r>
      <w:r w:rsidRPr="007539D7">
        <w:t xml:space="preserve"> activities, and on-site interviews. Metering/monitoring </w:t>
      </w:r>
      <w:r w:rsidR="00B276D0" w:rsidRPr="007539D7">
        <w:t xml:space="preserve">may be </w:t>
      </w:r>
      <w:r w:rsidRPr="007539D7">
        <w:t>accomp</w:t>
      </w:r>
      <w:r w:rsidR="00B276D0" w:rsidRPr="007539D7">
        <w:t xml:space="preserve">anied by data collection of pre-retrofit </w:t>
      </w:r>
      <w:r w:rsidRPr="007539D7">
        <w:t>and post</w:t>
      </w:r>
      <w:r w:rsidR="00B276D0" w:rsidRPr="007539D7">
        <w:t>-retrofit</w:t>
      </w:r>
      <w:r w:rsidRPr="007539D7">
        <w:t xml:space="preserve"> operating conditions. The evaluators determine an ex</w:t>
      </w:r>
      <w:r w:rsidR="00026237" w:rsidRPr="007539D7">
        <w:t>-</w:t>
      </w:r>
      <w:r w:rsidRPr="007539D7">
        <w:t xml:space="preserve">post savings figure, reflecting the gross energy savings found based on actual </w:t>
      </w:r>
      <w:r w:rsidR="00026237" w:rsidRPr="007539D7">
        <w:t>‘</w:t>
      </w:r>
      <w:r w:rsidRPr="007539D7">
        <w:t>as found</w:t>
      </w:r>
      <w:r w:rsidR="00026237" w:rsidRPr="007539D7">
        <w:t>’</w:t>
      </w:r>
      <w:r w:rsidRPr="007539D7">
        <w:t xml:space="preserve"> operating conditions.</w:t>
      </w:r>
      <w:r w:rsidR="00C034E3" w:rsidRPr="007539D7">
        <w:t xml:space="preserve"> </w:t>
      </w:r>
      <w:r w:rsidRPr="007539D7">
        <w:t xml:space="preserve"> The evalua</w:t>
      </w:r>
      <w:r w:rsidR="00B276D0" w:rsidRPr="007539D7">
        <w:t>tors attempt to ascertain the most accurate</w:t>
      </w:r>
      <w:r w:rsidRPr="007539D7">
        <w:t xml:space="preserve"> baseline condition</w:t>
      </w:r>
      <w:r w:rsidR="00DA38B5" w:rsidRPr="007539D7">
        <w:t xml:space="preserve"> </w:t>
      </w:r>
      <w:r w:rsidR="0044458C" w:rsidRPr="007539D7">
        <w:t xml:space="preserve">to determine </w:t>
      </w:r>
      <w:r w:rsidR="00DA38B5" w:rsidRPr="007539D7">
        <w:t xml:space="preserve">actual grid-level impacts over the </w:t>
      </w:r>
      <w:r w:rsidR="0044458C" w:rsidRPr="007539D7">
        <w:t xml:space="preserve">life </w:t>
      </w:r>
      <w:r w:rsidR="00DA38B5" w:rsidRPr="007539D7">
        <w:t>of the installed measure</w:t>
      </w:r>
      <w:r w:rsidRPr="007539D7">
        <w:t>, reflecting the pre</w:t>
      </w:r>
      <w:r w:rsidR="00B276D0" w:rsidRPr="007539D7">
        <w:t xml:space="preserve">-retrofit </w:t>
      </w:r>
      <w:r w:rsidRPr="007539D7">
        <w:t xml:space="preserve">operating conditions which would have prevailed in the absence of the program. </w:t>
      </w:r>
      <w:r w:rsidR="0044458C" w:rsidRPr="007539D7">
        <w:t xml:space="preserve"> In some cases, a different or more accurate methodology for energy savings may be used, perhaps involving the knowledge of post installation energy use or other parameters not available during project implementation and ex-ante savings estimation. </w:t>
      </w:r>
      <w:r w:rsidR="004268DD" w:rsidRPr="007539D7">
        <w:t xml:space="preserve">Adjustments </w:t>
      </w:r>
      <w:r w:rsidR="00B276D0" w:rsidRPr="007539D7">
        <w:t>a</w:t>
      </w:r>
      <w:r w:rsidR="004268DD" w:rsidRPr="007539D7">
        <w:t xml:space="preserve">re included for occupancy, baseline, weather </w:t>
      </w:r>
      <w:r w:rsidR="00B276D0" w:rsidRPr="007539D7">
        <w:t>and</w:t>
      </w:r>
      <w:r w:rsidR="004268DD" w:rsidRPr="007539D7">
        <w:t xml:space="preserve"> other parameters that </w:t>
      </w:r>
      <w:r w:rsidR="00B276D0" w:rsidRPr="007539D7">
        <w:t xml:space="preserve">have </w:t>
      </w:r>
      <w:r w:rsidR="004268DD" w:rsidRPr="007539D7">
        <w:t>changed</w:t>
      </w:r>
      <w:r w:rsidR="00B276D0" w:rsidRPr="007539D7">
        <w:t xml:space="preserve"> from the pre-retrofit conditions to the post-retrofit conditions</w:t>
      </w:r>
      <w:r w:rsidR="004268DD" w:rsidRPr="007539D7">
        <w:t xml:space="preserve">.  </w:t>
      </w:r>
      <w:r w:rsidRPr="007539D7">
        <w:t xml:space="preserve">Information </w:t>
      </w:r>
      <w:r w:rsidR="00B276D0" w:rsidRPr="007539D7">
        <w:t xml:space="preserve">may be </w:t>
      </w:r>
      <w:r w:rsidRPr="007539D7">
        <w:t>collected on the remaining useful life (RUL) of the equipment</w:t>
      </w:r>
      <w:r w:rsidR="00880713" w:rsidRPr="007539D7">
        <w:t xml:space="preserve"> and the normal replacement schedule for equipment</w:t>
      </w:r>
      <w:r w:rsidRPr="007539D7">
        <w:t xml:space="preserve">, </w:t>
      </w:r>
      <w:r w:rsidR="00880713" w:rsidRPr="007539D7">
        <w:t xml:space="preserve">in order to differentiate retrofits where the program induced early </w:t>
      </w:r>
      <w:r w:rsidR="00006406" w:rsidRPr="007539D7">
        <w:t xml:space="preserve">equipment </w:t>
      </w:r>
      <w:r w:rsidR="00880713" w:rsidRPr="007539D7">
        <w:t>replacement</w:t>
      </w:r>
      <w:r w:rsidR="00B276D0" w:rsidRPr="007539D7">
        <w:t xml:space="preserve"> verses a normal replacement at the end of equipment life. In the case of early equipment replacement, dual baselines are appropriate</w:t>
      </w:r>
      <w:r w:rsidR="00880713" w:rsidRPr="007539D7">
        <w:t>.</w:t>
      </w:r>
      <w:r w:rsidR="00B276D0" w:rsidRPr="007539D7">
        <w:t xml:space="preserve"> The baseline until the end of the useful life of the equipment is the existing in-situ equipment; the baseline after the end of the remaining life is the code required or standard practice replacement equipmen</w:t>
      </w:r>
      <w:r w:rsidR="00B9313C" w:rsidRPr="007539D7">
        <w:t xml:space="preserve">t.  More details and a description of dual baseline are provided in </w:t>
      </w:r>
      <w:r w:rsidR="0025503D">
        <w:t xml:space="preserve">a </w:t>
      </w:r>
      <w:r w:rsidR="00F1635D">
        <w:t xml:space="preserve">recent </w:t>
      </w:r>
      <w:r w:rsidR="00B9313C" w:rsidRPr="007539D7">
        <w:t>decision</w:t>
      </w:r>
      <w:r w:rsidR="0025503D">
        <w:t xml:space="preserve"> </w:t>
      </w:r>
      <w:r w:rsidR="00501AF4">
        <w:t xml:space="preserve">for the CPUC addressing this and other topics </w:t>
      </w:r>
      <w:r w:rsidR="0025503D">
        <w:t>(ALJ 2011).</w:t>
      </w:r>
    </w:p>
    <w:p w:rsidR="00AC0FCA" w:rsidRDefault="00153993" w:rsidP="007539D7">
      <w:r w:rsidRPr="007539D7">
        <w:lastRenderedPageBreak/>
        <w:t>Site specific project reports for f</w:t>
      </w:r>
      <w:r w:rsidR="00DC6679" w:rsidRPr="007539D7">
        <w:t>our</w:t>
      </w:r>
      <w:r w:rsidR="00026237" w:rsidRPr="007539D7">
        <w:t xml:space="preserve"> </w:t>
      </w:r>
      <w:r w:rsidR="00427F0B" w:rsidRPr="007539D7">
        <w:t xml:space="preserve">contract groups </w:t>
      </w:r>
      <w:r w:rsidR="00026237" w:rsidRPr="007539D7">
        <w:t xml:space="preserve">in the CPUC funded energy evaluations </w:t>
      </w:r>
      <w:r w:rsidR="00427F0B" w:rsidRPr="007539D7">
        <w:t>for</w:t>
      </w:r>
      <w:r w:rsidR="00026237" w:rsidRPr="007539D7">
        <w:t xml:space="preserve"> the 2006-2008 cycle were analyzed</w:t>
      </w:r>
      <w:r w:rsidRPr="007539D7">
        <w:t xml:space="preserve">, </w:t>
      </w:r>
      <w:r w:rsidRPr="007539D7">
        <w:rPr>
          <w:i/>
        </w:rPr>
        <w:t>across contract groups</w:t>
      </w:r>
      <w:r w:rsidRPr="007539D7">
        <w:t>,</w:t>
      </w:r>
      <w:r w:rsidR="00026237" w:rsidRPr="007539D7">
        <w:t xml:space="preserve"> in order to compile a relatively large number of projects in each measure </w:t>
      </w:r>
      <w:r w:rsidR="00F1635D">
        <w:t xml:space="preserve">category; this was done </w:t>
      </w:r>
      <w:r w:rsidR="00026237" w:rsidRPr="007539D7">
        <w:t xml:space="preserve">to enable a </w:t>
      </w:r>
      <w:r w:rsidRPr="007539D7">
        <w:t>deeper</w:t>
      </w:r>
      <w:r w:rsidR="00026237" w:rsidRPr="007539D7">
        <w:t xml:space="preserve"> assessment of the possible reasons </w:t>
      </w:r>
      <w:r w:rsidR="00611632" w:rsidRPr="007539D7">
        <w:t>for the savings gap that existed between claimed and evaluated savings. The</w:t>
      </w:r>
      <w:r w:rsidR="00427F0B" w:rsidRPr="007539D7">
        <w:t xml:space="preserve"> evaluated contract groups </w:t>
      </w:r>
      <w:r w:rsidR="00611632" w:rsidRPr="007539D7">
        <w:t>included</w:t>
      </w:r>
      <w:r w:rsidRPr="007539D7">
        <w:t xml:space="preserve"> 129 projects</w:t>
      </w:r>
      <w:r w:rsidR="00F1635D">
        <w:t>.  P</w:t>
      </w:r>
      <w:r w:rsidRPr="007539D7">
        <w:t>ro</w:t>
      </w:r>
      <w:r w:rsidR="00F1635D">
        <w:t xml:space="preserve">gram </w:t>
      </w:r>
      <w:r w:rsidRPr="007539D7">
        <w:t xml:space="preserve">descriptions </w:t>
      </w:r>
      <w:r w:rsidR="00D56429">
        <w:t xml:space="preserve">from abstracts on the </w:t>
      </w:r>
      <w:r w:rsidR="00FD2903">
        <w:t>CALMAC</w:t>
      </w:r>
      <w:r w:rsidR="00D56429">
        <w:t xml:space="preserve"> website </w:t>
      </w:r>
      <w:r w:rsidRPr="007539D7">
        <w:t>and the number of projects per program are summarized as follows</w:t>
      </w:r>
      <w:r w:rsidR="00611632" w:rsidRPr="007539D7">
        <w:t>:</w:t>
      </w:r>
      <w:r w:rsidR="00026237" w:rsidRPr="007539D7">
        <w:t xml:space="preserve">  </w:t>
      </w:r>
    </w:p>
    <w:p w:rsidR="0025503D" w:rsidRPr="007539D7" w:rsidRDefault="0025503D" w:rsidP="007539D7"/>
    <w:p w:rsidR="00481548" w:rsidRPr="00F76D03" w:rsidRDefault="00611632" w:rsidP="00F76D03">
      <w:pPr>
        <w:numPr>
          <w:ilvl w:val="1"/>
          <w:numId w:val="9"/>
        </w:numPr>
        <w:tabs>
          <w:tab w:val="clear" w:pos="2160"/>
          <w:tab w:val="num" w:pos="720"/>
        </w:tabs>
        <w:ind w:left="720" w:hanging="720"/>
        <w:jc w:val="left"/>
        <w:rPr>
          <w:b/>
        </w:rPr>
      </w:pPr>
      <w:r w:rsidRPr="00F76D03">
        <w:rPr>
          <w:b/>
        </w:rPr>
        <w:t>Commercial Facilities</w:t>
      </w:r>
      <w:r w:rsidR="00481548" w:rsidRPr="00F76D03">
        <w:rPr>
          <w:b/>
        </w:rPr>
        <w:t xml:space="preserve"> [</w:t>
      </w:r>
      <w:r w:rsidR="00153993" w:rsidRPr="00F76D03">
        <w:rPr>
          <w:b/>
        </w:rPr>
        <w:t>67 projects</w:t>
      </w:r>
      <w:r w:rsidR="00481548" w:rsidRPr="00F76D03">
        <w:rPr>
          <w:b/>
        </w:rPr>
        <w:t>]</w:t>
      </w:r>
      <w:r w:rsidR="00153993" w:rsidRPr="00F76D03">
        <w:rPr>
          <w:b/>
        </w:rPr>
        <w:t xml:space="preserve"> </w:t>
      </w:r>
      <w:r w:rsidRPr="00F76D03">
        <w:rPr>
          <w:b/>
        </w:rPr>
        <w:t xml:space="preserve"> </w:t>
      </w:r>
      <w:r w:rsidR="009D117C" w:rsidRPr="00F76D03">
        <w:rPr>
          <w:b/>
        </w:rPr>
        <w:t>(ADM et al.</w:t>
      </w:r>
      <w:r w:rsidR="00481548" w:rsidRPr="00F76D03">
        <w:rPr>
          <w:b/>
        </w:rPr>
        <w:t xml:space="preserve"> 2010) </w:t>
      </w:r>
    </w:p>
    <w:p w:rsidR="00370536" w:rsidRDefault="00FD75CD" w:rsidP="00F76D03">
      <w:pPr>
        <w:pStyle w:val="ListParagraph"/>
        <w:spacing w:line="240" w:lineRule="auto"/>
        <w:ind w:left="720"/>
      </w:pPr>
      <w:r w:rsidRPr="007539D7">
        <w:t>The Commercial Facilities Contract Group evaluated two market-sector focused incentive</w:t>
      </w:r>
      <w:r w:rsidR="00D039EB" w:rsidRPr="007539D7">
        <w:t xml:space="preserve"> programs. </w:t>
      </w:r>
      <w:r w:rsidRPr="007539D7">
        <w:t>This report presents the energy impact results for</w:t>
      </w:r>
      <w:r w:rsidR="00782DE3" w:rsidRPr="007539D7">
        <w:t xml:space="preserve"> the </w:t>
      </w:r>
      <w:r w:rsidR="00776AAB" w:rsidRPr="007539D7">
        <w:t>Pacific Gas and Electric (PG&amp;E)</w:t>
      </w:r>
      <w:r w:rsidRPr="007539D7">
        <w:t xml:space="preserve"> High Tech and Large Commercial customer segments. The programs claimed savings through equipment retrofit, retrocommissioning and new construction activities with particular emphasis on providing design assistance for installing custom energy efficiency measures. </w:t>
      </w:r>
    </w:p>
    <w:p w:rsidR="00577C46" w:rsidRPr="00F76D03" w:rsidRDefault="00611632" w:rsidP="00F76D03">
      <w:pPr>
        <w:numPr>
          <w:ilvl w:val="1"/>
          <w:numId w:val="9"/>
        </w:numPr>
        <w:tabs>
          <w:tab w:val="clear" w:pos="2160"/>
          <w:tab w:val="num" w:pos="720"/>
        </w:tabs>
        <w:ind w:left="720" w:hanging="720"/>
        <w:jc w:val="left"/>
        <w:rPr>
          <w:b/>
        </w:rPr>
      </w:pPr>
      <w:r w:rsidRPr="00F76D03">
        <w:rPr>
          <w:b/>
        </w:rPr>
        <w:t>Major Commercial</w:t>
      </w:r>
      <w:r w:rsidR="00307A89" w:rsidRPr="00F76D03">
        <w:rPr>
          <w:b/>
        </w:rPr>
        <w:t xml:space="preserve"> </w:t>
      </w:r>
      <w:r w:rsidR="00481548" w:rsidRPr="00F76D03">
        <w:rPr>
          <w:b/>
        </w:rPr>
        <w:t>[</w:t>
      </w:r>
      <w:r w:rsidR="00153993" w:rsidRPr="00F76D03">
        <w:rPr>
          <w:b/>
        </w:rPr>
        <w:t>43 projects</w:t>
      </w:r>
      <w:r w:rsidR="00481548" w:rsidRPr="00F76D03">
        <w:rPr>
          <w:b/>
        </w:rPr>
        <w:t>]</w:t>
      </w:r>
      <w:r w:rsidR="00153993" w:rsidRPr="00F76D03">
        <w:rPr>
          <w:b/>
        </w:rPr>
        <w:t xml:space="preserve">  </w:t>
      </w:r>
      <w:r w:rsidR="009D117C" w:rsidRPr="00F76D03">
        <w:rPr>
          <w:b/>
        </w:rPr>
        <w:t>(SBW Consulting et al.</w:t>
      </w:r>
      <w:r w:rsidR="00481548" w:rsidRPr="00F76D03">
        <w:rPr>
          <w:b/>
        </w:rPr>
        <w:t xml:space="preserve"> 2010)</w:t>
      </w:r>
    </w:p>
    <w:p w:rsidR="00577C46" w:rsidRDefault="00FD75CD" w:rsidP="00F76D03">
      <w:pPr>
        <w:ind w:left="720" w:firstLine="0"/>
      </w:pPr>
      <w:r w:rsidRPr="007539D7">
        <w:t>The Major Commercia</w:t>
      </w:r>
      <w:r w:rsidR="00D56429">
        <w:t xml:space="preserve">l contract group includes four </w:t>
      </w:r>
      <w:r w:rsidRPr="007539D7">
        <w:t>measure</w:t>
      </w:r>
      <w:r w:rsidR="00782DE3" w:rsidRPr="007539D7">
        <w:t xml:space="preserve"> categories</w:t>
      </w:r>
      <w:r w:rsidRPr="007539D7">
        <w:t xml:space="preserve"> (Custom Lighting, Custom HVAC, Custom Other and Audit) within commercial, industrial, and agricultural programs that were implemented by Southern California Edison (SCE), Southern California Gas (SCG) and San Diego Gas and Electric (SDGE). </w:t>
      </w:r>
    </w:p>
    <w:p w:rsidR="0025503D" w:rsidRDefault="0025503D" w:rsidP="007539D7">
      <w:pPr>
        <w:ind w:left="360" w:firstLine="0"/>
      </w:pPr>
    </w:p>
    <w:p w:rsidR="00611632" w:rsidRPr="00F76D03" w:rsidRDefault="001968F0" w:rsidP="00F76D03">
      <w:pPr>
        <w:numPr>
          <w:ilvl w:val="1"/>
          <w:numId w:val="9"/>
        </w:numPr>
        <w:tabs>
          <w:tab w:val="clear" w:pos="2160"/>
          <w:tab w:val="num" w:pos="720"/>
        </w:tabs>
        <w:ind w:left="720" w:hanging="720"/>
        <w:jc w:val="left"/>
        <w:rPr>
          <w:b/>
        </w:rPr>
      </w:pPr>
      <w:r w:rsidRPr="00F76D03">
        <w:rPr>
          <w:b/>
        </w:rPr>
        <w:t>Govern</w:t>
      </w:r>
      <w:r w:rsidR="00611632" w:rsidRPr="00F76D03">
        <w:rPr>
          <w:b/>
        </w:rPr>
        <w:t>m</w:t>
      </w:r>
      <w:r w:rsidRPr="00F76D03">
        <w:rPr>
          <w:b/>
        </w:rPr>
        <w:t>e</w:t>
      </w:r>
      <w:r w:rsidR="00611632" w:rsidRPr="00F76D03">
        <w:rPr>
          <w:b/>
        </w:rPr>
        <w:t>nt Partnerships</w:t>
      </w:r>
      <w:r w:rsidR="00481548" w:rsidRPr="00F76D03">
        <w:rPr>
          <w:b/>
        </w:rPr>
        <w:t xml:space="preserve"> [</w:t>
      </w:r>
      <w:r w:rsidR="00153993" w:rsidRPr="00F76D03">
        <w:rPr>
          <w:b/>
        </w:rPr>
        <w:t>13 projects</w:t>
      </w:r>
      <w:r w:rsidR="00481548" w:rsidRPr="00F76D03">
        <w:rPr>
          <w:b/>
        </w:rPr>
        <w:t>]</w:t>
      </w:r>
      <w:r w:rsidR="00153993" w:rsidRPr="00F76D03">
        <w:rPr>
          <w:b/>
        </w:rPr>
        <w:t xml:space="preserve">   </w:t>
      </w:r>
      <w:r w:rsidR="009D117C" w:rsidRPr="00F76D03">
        <w:rPr>
          <w:b/>
        </w:rPr>
        <w:t>(Summit Blue et al.</w:t>
      </w:r>
      <w:r w:rsidR="00481548" w:rsidRPr="00F76D03">
        <w:rPr>
          <w:b/>
        </w:rPr>
        <w:t xml:space="preserve"> 2010)</w:t>
      </w:r>
    </w:p>
    <w:p w:rsidR="004F6B81" w:rsidRPr="00F76D03" w:rsidRDefault="004F6B81" w:rsidP="00F76D03">
      <w:pPr>
        <w:ind w:left="720" w:firstLine="0"/>
      </w:pPr>
      <w:r w:rsidRPr="00F76D03">
        <w:t>This report presents the evaluation results for the energy efficiency projects and programs</w:t>
      </w:r>
    </w:p>
    <w:p w:rsidR="004F6B81" w:rsidRPr="00F76D03" w:rsidRDefault="00370536" w:rsidP="00F76D03">
      <w:pPr>
        <w:ind w:left="720" w:firstLine="0"/>
      </w:pPr>
      <w:r w:rsidRPr="00F76D03">
        <w:t>in the governmental sector</w:t>
      </w:r>
      <w:r w:rsidR="004F6B81" w:rsidRPr="00F76D03">
        <w:t>.</w:t>
      </w:r>
      <w:r w:rsidR="009D4E48" w:rsidRPr="00F76D03">
        <w:t xml:space="preserve">  This report summarizes the impact evaluation activities related to following subset of partnerships: the University of California, California State University (UC/CSU) Partnership Program, the California Community Colleges (CCC) Partnership Program, and the Palm Desert Partnership Program.  The measures evaluated in this program include: early retirement of residential air conditioners, refrigerant charge and airflow (RCA) adjustment for both residential and commercial refrigerators.</w:t>
      </w:r>
    </w:p>
    <w:p w:rsidR="0025503D" w:rsidRPr="007539D7" w:rsidRDefault="0025503D" w:rsidP="007539D7">
      <w:pPr>
        <w:ind w:left="360" w:firstLine="0"/>
      </w:pPr>
    </w:p>
    <w:p w:rsidR="00611632" w:rsidRPr="00F76D03" w:rsidRDefault="00611632" w:rsidP="00F76D03">
      <w:pPr>
        <w:numPr>
          <w:ilvl w:val="1"/>
          <w:numId w:val="9"/>
        </w:numPr>
        <w:tabs>
          <w:tab w:val="clear" w:pos="2160"/>
          <w:tab w:val="num" w:pos="720"/>
        </w:tabs>
        <w:ind w:left="720" w:hanging="720"/>
        <w:jc w:val="left"/>
        <w:rPr>
          <w:b/>
        </w:rPr>
      </w:pPr>
      <w:r w:rsidRPr="00F76D03">
        <w:rPr>
          <w:b/>
        </w:rPr>
        <w:t>PG&amp;E Fabrication</w:t>
      </w:r>
      <w:r w:rsidR="001968F0" w:rsidRPr="00F76D03">
        <w:rPr>
          <w:b/>
        </w:rPr>
        <w:t>, Process and Man</w:t>
      </w:r>
      <w:r w:rsidRPr="00F76D03">
        <w:rPr>
          <w:b/>
        </w:rPr>
        <w:t>ufacturing</w:t>
      </w:r>
      <w:r w:rsidR="00153993" w:rsidRPr="00F76D03">
        <w:rPr>
          <w:b/>
        </w:rPr>
        <w:t xml:space="preserve">  </w:t>
      </w:r>
      <w:r w:rsidR="00481548" w:rsidRPr="00F76D03">
        <w:rPr>
          <w:b/>
        </w:rPr>
        <w:t>[</w:t>
      </w:r>
      <w:r w:rsidR="00153993" w:rsidRPr="00F76D03">
        <w:rPr>
          <w:b/>
        </w:rPr>
        <w:t>6 projects</w:t>
      </w:r>
      <w:r w:rsidR="00481548" w:rsidRPr="00F76D03">
        <w:rPr>
          <w:b/>
        </w:rPr>
        <w:t>]</w:t>
      </w:r>
      <w:r w:rsidR="00153993" w:rsidRPr="00F76D03">
        <w:rPr>
          <w:b/>
        </w:rPr>
        <w:t xml:space="preserve">  </w:t>
      </w:r>
      <w:r w:rsidR="00307A89" w:rsidRPr="00F76D03">
        <w:rPr>
          <w:b/>
        </w:rPr>
        <w:t xml:space="preserve"> </w:t>
      </w:r>
      <w:r w:rsidR="00481548" w:rsidRPr="00F76D03">
        <w:rPr>
          <w:b/>
        </w:rPr>
        <w:t>(I</w:t>
      </w:r>
      <w:r w:rsidR="009D117C" w:rsidRPr="00F76D03">
        <w:rPr>
          <w:b/>
        </w:rPr>
        <w:t>tron et al.</w:t>
      </w:r>
      <w:r w:rsidR="00481548" w:rsidRPr="00F76D03">
        <w:rPr>
          <w:b/>
        </w:rPr>
        <w:t xml:space="preserve"> 2010)</w:t>
      </w:r>
    </w:p>
    <w:p w:rsidR="004F6B81" w:rsidRPr="007539D7" w:rsidRDefault="004F6B81" w:rsidP="00F76D03">
      <w:pPr>
        <w:ind w:left="720" w:firstLine="0"/>
      </w:pPr>
      <w:r w:rsidRPr="007539D7">
        <w:t>This report presents the evaluation results for the energy efficiency projects and programs</w:t>
      </w:r>
    </w:p>
    <w:p w:rsidR="004F6B81" w:rsidRPr="007539D7" w:rsidRDefault="004F6B81" w:rsidP="00F76D03">
      <w:pPr>
        <w:ind w:left="720" w:firstLine="0"/>
      </w:pPr>
      <w:r w:rsidRPr="007539D7">
        <w:t>within the scope of the California Public Utilities Commission’s (CPUC) Pacific Gas and</w:t>
      </w:r>
    </w:p>
    <w:p w:rsidR="004F6B81" w:rsidRPr="007539D7" w:rsidRDefault="004F6B81" w:rsidP="00F76D03">
      <w:pPr>
        <w:ind w:left="720" w:firstLine="0"/>
      </w:pPr>
      <w:r w:rsidRPr="007539D7">
        <w:t>Electric Fabrication, Process, and Manufacturing (PG&amp;E Fab) evaluation contract group.</w:t>
      </w:r>
    </w:p>
    <w:p w:rsidR="00B9313C" w:rsidRPr="00D56429" w:rsidRDefault="004F6B81" w:rsidP="00F76D03">
      <w:pPr>
        <w:ind w:left="720" w:firstLine="0"/>
        <w:rPr>
          <w:szCs w:val="24"/>
        </w:rPr>
      </w:pPr>
      <w:r w:rsidRPr="007539D7">
        <w:t>PG&amp;E carried</w:t>
      </w:r>
      <w:r w:rsidR="00370536" w:rsidRPr="007539D7">
        <w:t xml:space="preserve"> </w:t>
      </w:r>
      <w:r w:rsidRPr="007539D7">
        <w:t>out a very large and extensive implementation effort in the industrial sector</w:t>
      </w:r>
      <w:r w:rsidR="00370536" w:rsidRPr="007539D7">
        <w:t>.</w:t>
      </w:r>
      <w:r w:rsidR="009D4E48">
        <w:t xml:space="preserve">  </w:t>
      </w:r>
      <w:r w:rsidR="009D4E48" w:rsidRPr="00D56429">
        <w:rPr>
          <w:szCs w:val="24"/>
        </w:rPr>
        <w:t>There are a number of specific findings that help to explain why the evaluated ex-post savings estimates are significantly below the ex-ante estimates. These include the following: errors in baseline determination; inadequate basis for claims of how some measures save energy; inadequate enforcement of program and policy rules; inadequate consideration of total system energy analysis; effect of the economic recession; and high free ridership</w:t>
      </w:r>
      <w:r w:rsidR="00D56429" w:rsidRPr="00D56429">
        <w:rPr>
          <w:szCs w:val="24"/>
        </w:rPr>
        <w:t>.   The evidence also indicates that program claims were made on some projects that customers initiated for non-energy savings reasons and for which there was no alternative ever considered.</w:t>
      </w:r>
    </w:p>
    <w:p w:rsidR="00AC0FCA" w:rsidRPr="007539D7" w:rsidRDefault="00AC0FCA" w:rsidP="007539D7">
      <w:pPr>
        <w:ind w:firstLine="0"/>
      </w:pPr>
    </w:p>
    <w:p w:rsidR="001968F0" w:rsidRPr="007539D7" w:rsidRDefault="00B9313C" w:rsidP="00F76D03">
      <w:r w:rsidRPr="007539D7">
        <w:t>The evaluation reports and</w:t>
      </w:r>
      <w:r w:rsidR="003168DC" w:rsidRPr="007539D7">
        <w:t xml:space="preserve"> site</w:t>
      </w:r>
      <w:r w:rsidR="00690227" w:rsidRPr="007539D7">
        <w:t>-</w:t>
      </w:r>
      <w:r w:rsidR="003168DC" w:rsidRPr="007539D7">
        <w:t>specific impact reports from the</w:t>
      </w:r>
      <w:r w:rsidR="00036833" w:rsidRPr="007539D7">
        <w:t>se programs</w:t>
      </w:r>
      <w:r w:rsidR="003168DC" w:rsidRPr="007539D7">
        <w:t xml:space="preserve"> were studied to provide the realization rates by project and to reveal the primary reasons for the difference </w:t>
      </w:r>
      <w:r w:rsidR="003168DC" w:rsidRPr="007539D7">
        <w:lastRenderedPageBreak/>
        <w:t xml:space="preserve">between claimed and verified energy savings.  </w:t>
      </w:r>
      <w:r w:rsidR="001968F0" w:rsidRPr="007539D7">
        <w:t>From this review, p</w:t>
      </w:r>
      <w:r w:rsidR="00611632" w:rsidRPr="007539D7">
        <w:t>rojects</w:t>
      </w:r>
      <w:r w:rsidR="00A75A57" w:rsidRPr="007539D7">
        <w:t xml:space="preserve"> from the </w:t>
      </w:r>
      <w:r w:rsidR="00924233" w:rsidRPr="007539D7">
        <w:t>four programs</w:t>
      </w:r>
      <w:r w:rsidR="001968F0" w:rsidRPr="007539D7">
        <w:t xml:space="preserve"> were segmented into end use and the major type of measure. These measure</w:t>
      </w:r>
      <w:r w:rsidR="009D117C">
        <w:t xml:space="preserve"> categories</w:t>
      </w:r>
      <w:r w:rsidR="001968F0" w:rsidRPr="007539D7">
        <w:t xml:space="preserve"> and a brief description are included in</w:t>
      </w:r>
      <w:r w:rsidR="006602DF" w:rsidRPr="007539D7">
        <w:t xml:space="preserve"> </w:t>
      </w:r>
      <w:fldSimple w:instr=" REF _Ref318962421 \h  \* MERGEFORMAT ">
        <w:r w:rsidR="006602DF" w:rsidRPr="007539D7">
          <w:t>Table 1</w:t>
        </w:r>
      </w:fldSimple>
      <w:r w:rsidR="001968F0" w:rsidRPr="007539D7">
        <w:t xml:space="preserve">. </w:t>
      </w:r>
    </w:p>
    <w:p w:rsidR="00D262B0" w:rsidRPr="007539D7" w:rsidRDefault="00D262B0" w:rsidP="007539D7">
      <w:pPr>
        <w:ind w:firstLine="360"/>
      </w:pPr>
    </w:p>
    <w:p w:rsidR="006602DF" w:rsidRPr="007539D7" w:rsidRDefault="006602DF" w:rsidP="005D3474">
      <w:pPr>
        <w:pStyle w:val="tabletitle"/>
        <w:ind w:firstLine="0"/>
      </w:pPr>
      <w:bookmarkStart w:id="0" w:name="_Ref318962421"/>
      <w:r w:rsidRPr="007539D7">
        <w:t xml:space="preserve">Table </w:t>
      </w:r>
      <w:r w:rsidR="00086524" w:rsidRPr="007539D7">
        <w:fldChar w:fldCharType="begin"/>
      </w:r>
      <w:r w:rsidR="00737C83" w:rsidRPr="007539D7">
        <w:instrText xml:space="preserve"> SEQ Table \* ARABIC \s 1 </w:instrText>
      </w:r>
      <w:r w:rsidR="00086524" w:rsidRPr="007539D7">
        <w:fldChar w:fldCharType="separate"/>
      </w:r>
      <w:r w:rsidRPr="007539D7">
        <w:t>1</w:t>
      </w:r>
      <w:r w:rsidR="00086524" w:rsidRPr="007539D7">
        <w:fldChar w:fldCharType="end"/>
      </w:r>
      <w:bookmarkEnd w:id="0"/>
      <w:r w:rsidRPr="007539D7">
        <w:t>:  End Use, Measure Ca</w:t>
      </w:r>
      <w:r w:rsidR="00C6659D" w:rsidRPr="007539D7">
        <w:t>tegory, and Measure Description</w:t>
      </w:r>
    </w:p>
    <w:tbl>
      <w:tblPr>
        <w:tblW w:w="475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4A0"/>
      </w:tblPr>
      <w:tblGrid>
        <w:gridCol w:w="2099"/>
        <w:gridCol w:w="2155"/>
        <w:gridCol w:w="4860"/>
      </w:tblGrid>
      <w:tr w:rsidR="001968F0" w:rsidRPr="007539D7" w:rsidTr="00D56429">
        <w:trPr>
          <w:trHeight w:val="618"/>
          <w:jc w:val="center"/>
        </w:trPr>
        <w:tc>
          <w:tcPr>
            <w:tcW w:w="1152" w:type="pct"/>
            <w:shd w:val="pct20" w:color="auto" w:fill="auto"/>
            <w:vAlign w:val="bottom"/>
          </w:tcPr>
          <w:p w:rsidR="001968F0" w:rsidRPr="007539D7" w:rsidRDefault="001968F0" w:rsidP="005D3474">
            <w:pPr>
              <w:pStyle w:val="tabletext"/>
              <w:keepNext/>
              <w:ind w:firstLine="0"/>
              <w:rPr>
                <w:b/>
              </w:rPr>
            </w:pPr>
            <w:r w:rsidRPr="007539D7">
              <w:rPr>
                <w:b/>
              </w:rPr>
              <w:t>End Use</w:t>
            </w:r>
          </w:p>
        </w:tc>
        <w:tc>
          <w:tcPr>
            <w:tcW w:w="1182" w:type="pct"/>
            <w:shd w:val="pct20" w:color="auto" w:fill="auto"/>
            <w:vAlign w:val="bottom"/>
          </w:tcPr>
          <w:p w:rsidR="001968F0" w:rsidRPr="007539D7" w:rsidRDefault="001968F0" w:rsidP="005D3474">
            <w:pPr>
              <w:pStyle w:val="tabletext"/>
              <w:keepNext/>
              <w:ind w:firstLine="0"/>
              <w:rPr>
                <w:b/>
              </w:rPr>
            </w:pPr>
            <w:r w:rsidRPr="007539D7">
              <w:rPr>
                <w:b/>
              </w:rPr>
              <w:t xml:space="preserve">Measure Category </w:t>
            </w:r>
          </w:p>
        </w:tc>
        <w:tc>
          <w:tcPr>
            <w:tcW w:w="2666" w:type="pct"/>
            <w:shd w:val="pct20" w:color="auto" w:fill="auto"/>
            <w:vAlign w:val="bottom"/>
          </w:tcPr>
          <w:p w:rsidR="001968F0" w:rsidRPr="007539D7" w:rsidRDefault="001968F0" w:rsidP="005D3474">
            <w:pPr>
              <w:pStyle w:val="tabletext"/>
              <w:keepNext/>
              <w:ind w:firstLine="0"/>
              <w:rPr>
                <w:b/>
              </w:rPr>
            </w:pPr>
            <w:r w:rsidRPr="007539D7">
              <w:rPr>
                <w:b/>
              </w:rPr>
              <w:t>Description</w:t>
            </w:r>
          </w:p>
        </w:tc>
      </w:tr>
      <w:tr w:rsidR="00051CCB" w:rsidRPr="007539D7" w:rsidTr="00D56429">
        <w:trPr>
          <w:jc w:val="center"/>
        </w:trPr>
        <w:tc>
          <w:tcPr>
            <w:tcW w:w="1152" w:type="pct"/>
            <w:vMerge w:val="restart"/>
            <w:shd w:val="clear" w:color="auto" w:fill="FFFFFF"/>
            <w:vAlign w:val="center"/>
          </w:tcPr>
          <w:p w:rsidR="00051CCB" w:rsidRPr="005D3474" w:rsidRDefault="00051CCB" w:rsidP="005D3474">
            <w:pPr>
              <w:pStyle w:val="tabletext"/>
              <w:keepNext/>
              <w:ind w:firstLine="0"/>
              <w:rPr>
                <w:b/>
              </w:rPr>
            </w:pPr>
            <w:r w:rsidRPr="005D3474">
              <w:rPr>
                <w:b/>
              </w:rPr>
              <w:t>Lighting</w:t>
            </w:r>
          </w:p>
        </w:tc>
        <w:tc>
          <w:tcPr>
            <w:tcW w:w="1182" w:type="pct"/>
            <w:shd w:val="clear" w:color="auto" w:fill="FFFFFF"/>
          </w:tcPr>
          <w:p w:rsidR="00051CCB" w:rsidRPr="005D3474" w:rsidRDefault="00051CCB" w:rsidP="005D3474">
            <w:pPr>
              <w:keepNext/>
              <w:keepLines/>
              <w:autoSpaceDE w:val="0"/>
              <w:autoSpaceDN w:val="0"/>
              <w:adjustRightInd w:val="0"/>
              <w:ind w:firstLine="0"/>
              <w:jc w:val="left"/>
              <w:rPr>
                <w:color w:val="000000"/>
                <w:sz w:val="20"/>
              </w:rPr>
            </w:pPr>
            <w:r w:rsidRPr="005D3474">
              <w:rPr>
                <w:color w:val="000000"/>
                <w:sz w:val="20"/>
              </w:rPr>
              <w:t>Fluorescent</w:t>
            </w:r>
          </w:p>
        </w:tc>
        <w:tc>
          <w:tcPr>
            <w:tcW w:w="2666" w:type="pct"/>
            <w:vAlign w:val="bottom"/>
          </w:tcPr>
          <w:p w:rsidR="00051CCB" w:rsidRPr="005D3474" w:rsidRDefault="00051CCB" w:rsidP="005D3474">
            <w:pPr>
              <w:pStyle w:val="tabletext"/>
              <w:keepNext/>
              <w:ind w:firstLine="64"/>
            </w:pPr>
            <w:r w:rsidRPr="005D3474">
              <w:t>Linear Fluorescent Replacements</w:t>
            </w:r>
            <w:r w:rsidR="009D117C" w:rsidRPr="005D3474">
              <w:t xml:space="preserve"> (Low Bay)</w:t>
            </w:r>
          </w:p>
        </w:tc>
      </w:tr>
      <w:tr w:rsidR="00051CCB" w:rsidRPr="007539D7" w:rsidTr="00D56429">
        <w:trPr>
          <w:jc w:val="center"/>
        </w:trPr>
        <w:tc>
          <w:tcPr>
            <w:tcW w:w="1152" w:type="pct"/>
            <w:vMerge/>
            <w:vAlign w:val="bottom"/>
          </w:tcPr>
          <w:p w:rsidR="00051CCB" w:rsidRPr="005D3474" w:rsidRDefault="00051CCB" w:rsidP="005D3474">
            <w:pPr>
              <w:pStyle w:val="tabletext"/>
              <w:keepNext/>
              <w:ind w:firstLine="0"/>
              <w:rPr>
                <w:b/>
              </w:rPr>
            </w:pPr>
          </w:p>
        </w:tc>
        <w:tc>
          <w:tcPr>
            <w:tcW w:w="1182" w:type="pct"/>
          </w:tcPr>
          <w:p w:rsidR="00051CCB" w:rsidRPr="005D3474" w:rsidRDefault="00051CCB" w:rsidP="005D3474">
            <w:pPr>
              <w:keepNext/>
              <w:keepLines/>
              <w:autoSpaceDE w:val="0"/>
              <w:autoSpaceDN w:val="0"/>
              <w:adjustRightInd w:val="0"/>
              <w:ind w:firstLine="0"/>
              <w:jc w:val="left"/>
              <w:rPr>
                <w:color w:val="000000"/>
                <w:sz w:val="20"/>
              </w:rPr>
            </w:pPr>
            <w:r w:rsidRPr="005D3474">
              <w:rPr>
                <w:color w:val="000000"/>
                <w:sz w:val="20"/>
              </w:rPr>
              <w:t>High Bay Fixtures</w:t>
            </w:r>
          </w:p>
        </w:tc>
        <w:tc>
          <w:tcPr>
            <w:tcW w:w="2666" w:type="pct"/>
            <w:vAlign w:val="bottom"/>
          </w:tcPr>
          <w:p w:rsidR="00051CCB" w:rsidRPr="005D3474" w:rsidRDefault="00051CCB" w:rsidP="005D3474">
            <w:pPr>
              <w:pStyle w:val="tabletext"/>
              <w:keepNext/>
              <w:ind w:firstLine="64"/>
            </w:pPr>
            <w:r w:rsidRPr="005D3474">
              <w:t xml:space="preserve">High Bay </w:t>
            </w:r>
            <w:r w:rsidR="00D921A9" w:rsidRPr="005D3474">
              <w:t>F</w:t>
            </w:r>
            <w:r w:rsidRPr="005D3474">
              <w:t>ixtures – HID and Fluorescent</w:t>
            </w:r>
          </w:p>
        </w:tc>
      </w:tr>
      <w:tr w:rsidR="00051CCB" w:rsidRPr="007539D7" w:rsidTr="00D56429">
        <w:trPr>
          <w:jc w:val="center"/>
        </w:trPr>
        <w:tc>
          <w:tcPr>
            <w:tcW w:w="1152" w:type="pct"/>
            <w:vMerge/>
            <w:vAlign w:val="bottom"/>
          </w:tcPr>
          <w:p w:rsidR="00051CCB" w:rsidRPr="005D3474" w:rsidRDefault="00051CCB" w:rsidP="005D3474">
            <w:pPr>
              <w:pStyle w:val="tabletext"/>
              <w:keepNext/>
              <w:ind w:firstLine="0"/>
              <w:rPr>
                <w:b/>
              </w:rPr>
            </w:pPr>
          </w:p>
        </w:tc>
        <w:tc>
          <w:tcPr>
            <w:tcW w:w="1182" w:type="pct"/>
          </w:tcPr>
          <w:p w:rsidR="00051CCB" w:rsidRPr="005D3474" w:rsidRDefault="00051CCB" w:rsidP="005D3474">
            <w:pPr>
              <w:keepNext/>
              <w:keepLines/>
              <w:autoSpaceDE w:val="0"/>
              <w:autoSpaceDN w:val="0"/>
              <w:adjustRightInd w:val="0"/>
              <w:ind w:firstLine="0"/>
              <w:jc w:val="left"/>
              <w:rPr>
                <w:color w:val="000000"/>
                <w:sz w:val="20"/>
              </w:rPr>
            </w:pPr>
            <w:r w:rsidRPr="005D3474">
              <w:rPr>
                <w:color w:val="000000"/>
                <w:sz w:val="20"/>
              </w:rPr>
              <w:t>Controls</w:t>
            </w:r>
          </w:p>
        </w:tc>
        <w:tc>
          <w:tcPr>
            <w:tcW w:w="2666" w:type="pct"/>
            <w:vAlign w:val="bottom"/>
          </w:tcPr>
          <w:p w:rsidR="00051CCB" w:rsidRPr="005D3474" w:rsidRDefault="00051CCB" w:rsidP="005D3474">
            <w:pPr>
              <w:pStyle w:val="tabletext"/>
              <w:keepNext/>
              <w:ind w:firstLine="64"/>
            </w:pPr>
            <w:r w:rsidRPr="005D3474">
              <w:t xml:space="preserve">Occupancy Sensors / Daylighting Control Systems </w:t>
            </w:r>
          </w:p>
        </w:tc>
      </w:tr>
      <w:tr w:rsidR="009D117C" w:rsidRPr="007539D7" w:rsidTr="00D56429">
        <w:trPr>
          <w:trHeight w:val="125"/>
          <w:jc w:val="center"/>
        </w:trPr>
        <w:tc>
          <w:tcPr>
            <w:tcW w:w="1152" w:type="pct"/>
            <w:vMerge/>
            <w:vAlign w:val="bottom"/>
          </w:tcPr>
          <w:p w:rsidR="009D117C" w:rsidRPr="005D3474" w:rsidRDefault="009D117C" w:rsidP="005D3474">
            <w:pPr>
              <w:pStyle w:val="tabletext"/>
              <w:keepNext/>
              <w:ind w:firstLine="0"/>
              <w:rPr>
                <w:b/>
              </w:rPr>
            </w:pPr>
          </w:p>
        </w:tc>
        <w:tc>
          <w:tcPr>
            <w:tcW w:w="1182" w:type="pct"/>
            <w:shd w:val="clear" w:color="auto" w:fill="FFFFFF" w:themeFill="background1"/>
          </w:tcPr>
          <w:p w:rsidR="009D117C" w:rsidRPr="005D3474" w:rsidRDefault="009D117C" w:rsidP="005D3474">
            <w:pPr>
              <w:keepNext/>
              <w:keepLines/>
              <w:autoSpaceDE w:val="0"/>
              <w:autoSpaceDN w:val="0"/>
              <w:adjustRightInd w:val="0"/>
              <w:ind w:firstLine="0"/>
              <w:jc w:val="left"/>
              <w:rPr>
                <w:color w:val="000000"/>
                <w:sz w:val="20"/>
              </w:rPr>
            </w:pPr>
            <w:r w:rsidRPr="005D3474">
              <w:rPr>
                <w:color w:val="000000"/>
                <w:sz w:val="20"/>
              </w:rPr>
              <w:t>Other</w:t>
            </w:r>
          </w:p>
        </w:tc>
        <w:tc>
          <w:tcPr>
            <w:tcW w:w="2666" w:type="pct"/>
            <w:shd w:val="clear" w:color="auto" w:fill="FFFFFF" w:themeFill="background1"/>
            <w:vAlign w:val="bottom"/>
          </w:tcPr>
          <w:p w:rsidR="009D117C" w:rsidRPr="005D3474" w:rsidRDefault="00187D1F" w:rsidP="005D3474">
            <w:pPr>
              <w:pStyle w:val="tabletext"/>
              <w:keepNext/>
              <w:ind w:firstLine="64"/>
            </w:pPr>
            <w:r w:rsidRPr="005D3474">
              <w:t>Other Fixtures – LED’s</w:t>
            </w:r>
          </w:p>
        </w:tc>
      </w:tr>
      <w:tr w:rsidR="009D117C" w:rsidRPr="007539D7" w:rsidTr="00D56429">
        <w:trPr>
          <w:jc w:val="center"/>
        </w:trPr>
        <w:tc>
          <w:tcPr>
            <w:tcW w:w="1152" w:type="pct"/>
            <w:vMerge w:val="restart"/>
            <w:vAlign w:val="center"/>
          </w:tcPr>
          <w:p w:rsidR="009D117C" w:rsidRPr="005D3474" w:rsidRDefault="009D117C" w:rsidP="005D3474">
            <w:pPr>
              <w:pStyle w:val="tabletext"/>
              <w:keepNext/>
              <w:ind w:firstLine="0"/>
              <w:rPr>
                <w:b/>
              </w:rPr>
            </w:pPr>
            <w:r w:rsidRPr="005D3474">
              <w:rPr>
                <w:b/>
              </w:rPr>
              <w:t>HVAC</w:t>
            </w:r>
          </w:p>
        </w:tc>
        <w:tc>
          <w:tcPr>
            <w:tcW w:w="1182" w:type="pct"/>
          </w:tcPr>
          <w:p w:rsidR="009D117C" w:rsidRPr="005D3474" w:rsidRDefault="009D117C" w:rsidP="005D3474">
            <w:pPr>
              <w:keepNext/>
              <w:keepLines/>
              <w:autoSpaceDE w:val="0"/>
              <w:autoSpaceDN w:val="0"/>
              <w:adjustRightInd w:val="0"/>
              <w:ind w:firstLine="0"/>
              <w:jc w:val="left"/>
              <w:rPr>
                <w:color w:val="000000"/>
                <w:sz w:val="20"/>
              </w:rPr>
            </w:pPr>
            <w:r w:rsidRPr="005D3474">
              <w:rPr>
                <w:color w:val="000000"/>
                <w:sz w:val="20"/>
              </w:rPr>
              <w:t>Chiller</w:t>
            </w:r>
          </w:p>
        </w:tc>
        <w:tc>
          <w:tcPr>
            <w:tcW w:w="2666" w:type="pct"/>
            <w:vAlign w:val="bottom"/>
          </w:tcPr>
          <w:p w:rsidR="009D117C" w:rsidRPr="005D3474" w:rsidRDefault="009D117C" w:rsidP="005D3474">
            <w:pPr>
              <w:pStyle w:val="tabletext"/>
              <w:keepNext/>
              <w:ind w:firstLine="64"/>
            </w:pPr>
            <w:r w:rsidRPr="005D3474">
              <w:t>Chiller Replacements / Major Modifications</w:t>
            </w:r>
          </w:p>
        </w:tc>
      </w:tr>
      <w:tr w:rsidR="009D117C" w:rsidRPr="007539D7" w:rsidTr="00D56429">
        <w:trPr>
          <w:jc w:val="center"/>
        </w:trPr>
        <w:tc>
          <w:tcPr>
            <w:tcW w:w="1152" w:type="pct"/>
            <w:vMerge/>
            <w:vAlign w:val="bottom"/>
          </w:tcPr>
          <w:p w:rsidR="009D117C" w:rsidRPr="005D3474" w:rsidRDefault="009D117C" w:rsidP="005D3474">
            <w:pPr>
              <w:pStyle w:val="tabletext"/>
              <w:keepNext/>
              <w:ind w:firstLine="0"/>
              <w:rPr>
                <w:b/>
              </w:rPr>
            </w:pPr>
          </w:p>
        </w:tc>
        <w:tc>
          <w:tcPr>
            <w:tcW w:w="1182" w:type="pct"/>
          </w:tcPr>
          <w:p w:rsidR="009D117C" w:rsidRPr="005D3474" w:rsidRDefault="009D117C" w:rsidP="005D3474">
            <w:pPr>
              <w:keepNext/>
              <w:keepLines/>
              <w:autoSpaceDE w:val="0"/>
              <w:autoSpaceDN w:val="0"/>
              <w:adjustRightInd w:val="0"/>
              <w:ind w:firstLine="0"/>
              <w:jc w:val="left"/>
              <w:rPr>
                <w:color w:val="000000"/>
                <w:sz w:val="20"/>
              </w:rPr>
            </w:pPr>
            <w:r w:rsidRPr="005D3474">
              <w:rPr>
                <w:color w:val="000000"/>
                <w:sz w:val="20"/>
              </w:rPr>
              <w:t>Controls</w:t>
            </w:r>
          </w:p>
        </w:tc>
        <w:tc>
          <w:tcPr>
            <w:tcW w:w="2666" w:type="pct"/>
            <w:vAlign w:val="bottom"/>
          </w:tcPr>
          <w:p w:rsidR="009D117C" w:rsidRPr="005D3474" w:rsidRDefault="009D117C" w:rsidP="005D3474">
            <w:pPr>
              <w:pStyle w:val="tabletext"/>
              <w:keepNext/>
              <w:ind w:firstLine="64"/>
            </w:pPr>
            <w:r w:rsidRPr="005D3474">
              <w:t>Simple Dedicated Controls and EMS/BAS Systems</w:t>
            </w:r>
          </w:p>
        </w:tc>
      </w:tr>
      <w:tr w:rsidR="009D117C" w:rsidRPr="007539D7" w:rsidTr="00D56429">
        <w:trPr>
          <w:jc w:val="center"/>
        </w:trPr>
        <w:tc>
          <w:tcPr>
            <w:tcW w:w="1152" w:type="pct"/>
            <w:vMerge/>
            <w:vAlign w:val="bottom"/>
          </w:tcPr>
          <w:p w:rsidR="009D117C" w:rsidRPr="005D3474" w:rsidRDefault="009D117C" w:rsidP="005D3474">
            <w:pPr>
              <w:pStyle w:val="tabletext"/>
              <w:keepNext/>
              <w:ind w:firstLine="0"/>
              <w:rPr>
                <w:b/>
              </w:rPr>
            </w:pPr>
          </w:p>
        </w:tc>
        <w:tc>
          <w:tcPr>
            <w:tcW w:w="1182" w:type="pct"/>
          </w:tcPr>
          <w:p w:rsidR="009D117C" w:rsidRPr="005D3474" w:rsidRDefault="009D117C" w:rsidP="005D3474">
            <w:pPr>
              <w:keepNext/>
              <w:keepLines/>
              <w:autoSpaceDE w:val="0"/>
              <w:autoSpaceDN w:val="0"/>
              <w:adjustRightInd w:val="0"/>
              <w:ind w:firstLine="0"/>
              <w:jc w:val="left"/>
              <w:rPr>
                <w:color w:val="000000"/>
                <w:sz w:val="20"/>
              </w:rPr>
            </w:pPr>
            <w:r w:rsidRPr="005D3474">
              <w:rPr>
                <w:color w:val="000000"/>
                <w:sz w:val="20"/>
              </w:rPr>
              <w:t>VFD</w:t>
            </w:r>
          </w:p>
        </w:tc>
        <w:tc>
          <w:tcPr>
            <w:tcW w:w="2666" w:type="pct"/>
            <w:vAlign w:val="bottom"/>
          </w:tcPr>
          <w:p w:rsidR="009D117C" w:rsidRPr="005D3474" w:rsidRDefault="009D117C" w:rsidP="005D3474">
            <w:pPr>
              <w:pStyle w:val="tabletext"/>
              <w:keepNext/>
              <w:ind w:firstLine="64"/>
            </w:pPr>
            <w:r w:rsidRPr="005D3474">
              <w:t xml:space="preserve">Air Side and Water Side Variable Speed Drives </w:t>
            </w:r>
          </w:p>
        </w:tc>
      </w:tr>
      <w:tr w:rsidR="009D117C" w:rsidRPr="007539D7" w:rsidTr="00D56429">
        <w:trPr>
          <w:jc w:val="center"/>
        </w:trPr>
        <w:tc>
          <w:tcPr>
            <w:tcW w:w="1152" w:type="pct"/>
            <w:vMerge/>
            <w:vAlign w:val="bottom"/>
          </w:tcPr>
          <w:p w:rsidR="009D117C" w:rsidRPr="005D3474" w:rsidRDefault="009D117C" w:rsidP="005D3474">
            <w:pPr>
              <w:pStyle w:val="tabletext"/>
              <w:keepNext/>
              <w:ind w:firstLine="0"/>
              <w:rPr>
                <w:b/>
              </w:rPr>
            </w:pPr>
          </w:p>
        </w:tc>
        <w:tc>
          <w:tcPr>
            <w:tcW w:w="1182" w:type="pct"/>
          </w:tcPr>
          <w:p w:rsidR="009D117C" w:rsidRPr="005D3474" w:rsidRDefault="009D117C" w:rsidP="005D3474">
            <w:pPr>
              <w:keepNext/>
              <w:keepLines/>
              <w:autoSpaceDE w:val="0"/>
              <w:autoSpaceDN w:val="0"/>
              <w:adjustRightInd w:val="0"/>
              <w:ind w:firstLine="0"/>
              <w:jc w:val="left"/>
              <w:rPr>
                <w:color w:val="000000"/>
                <w:sz w:val="20"/>
              </w:rPr>
            </w:pPr>
            <w:r w:rsidRPr="005D3474">
              <w:rPr>
                <w:color w:val="000000"/>
                <w:sz w:val="20"/>
              </w:rPr>
              <w:t>Boiler</w:t>
            </w:r>
          </w:p>
        </w:tc>
        <w:tc>
          <w:tcPr>
            <w:tcW w:w="2666" w:type="pct"/>
            <w:vAlign w:val="bottom"/>
          </w:tcPr>
          <w:p w:rsidR="009D117C" w:rsidRPr="005D3474" w:rsidRDefault="009D117C" w:rsidP="005D3474">
            <w:pPr>
              <w:pStyle w:val="tabletext"/>
              <w:keepNext/>
              <w:ind w:firstLine="64"/>
            </w:pPr>
            <w:r w:rsidRPr="005D3474">
              <w:t>Boiler Replacements / Major Modifications</w:t>
            </w:r>
          </w:p>
        </w:tc>
      </w:tr>
      <w:tr w:rsidR="009D117C" w:rsidRPr="007539D7" w:rsidTr="00D56429">
        <w:trPr>
          <w:jc w:val="center"/>
        </w:trPr>
        <w:tc>
          <w:tcPr>
            <w:tcW w:w="1152" w:type="pct"/>
            <w:vMerge/>
            <w:vAlign w:val="bottom"/>
          </w:tcPr>
          <w:p w:rsidR="009D117C" w:rsidRPr="005D3474" w:rsidRDefault="009D117C" w:rsidP="005D3474">
            <w:pPr>
              <w:pStyle w:val="tabletext"/>
              <w:keepNext/>
              <w:ind w:firstLine="0"/>
              <w:rPr>
                <w:b/>
              </w:rPr>
            </w:pPr>
          </w:p>
        </w:tc>
        <w:tc>
          <w:tcPr>
            <w:tcW w:w="1182" w:type="pct"/>
          </w:tcPr>
          <w:p w:rsidR="009D117C" w:rsidRPr="005D3474" w:rsidRDefault="009D117C" w:rsidP="005D3474">
            <w:pPr>
              <w:keepNext/>
              <w:keepLines/>
              <w:autoSpaceDE w:val="0"/>
              <w:autoSpaceDN w:val="0"/>
              <w:adjustRightInd w:val="0"/>
              <w:ind w:firstLine="0"/>
              <w:jc w:val="left"/>
              <w:rPr>
                <w:color w:val="000000"/>
                <w:sz w:val="20"/>
              </w:rPr>
            </w:pPr>
            <w:r w:rsidRPr="005D3474">
              <w:rPr>
                <w:color w:val="000000"/>
                <w:sz w:val="20"/>
              </w:rPr>
              <w:t>Other</w:t>
            </w:r>
          </w:p>
        </w:tc>
        <w:tc>
          <w:tcPr>
            <w:tcW w:w="2666" w:type="pct"/>
            <w:vAlign w:val="bottom"/>
          </w:tcPr>
          <w:p w:rsidR="009D117C" w:rsidRPr="005D3474" w:rsidRDefault="009D117C" w:rsidP="005D3474">
            <w:pPr>
              <w:pStyle w:val="tabletext"/>
              <w:keepNext/>
              <w:ind w:firstLine="64"/>
            </w:pPr>
            <w:r w:rsidRPr="005D3474">
              <w:t>Dx units, Economizers, Other Equipment</w:t>
            </w:r>
          </w:p>
        </w:tc>
      </w:tr>
      <w:tr w:rsidR="009D117C" w:rsidRPr="007539D7" w:rsidTr="00D56429">
        <w:trPr>
          <w:trHeight w:val="242"/>
          <w:jc w:val="center"/>
        </w:trPr>
        <w:tc>
          <w:tcPr>
            <w:tcW w:w="1152" w:type="pct"/>
            <w:vMerge/>
            <w:vAlign w:val="bottom"/>
          </w:tcPr>
          <w:p w:rsidR="009D117C" w:rsidRPr="005D3474" w:rsidRDefault="009D117C" w:rsidP="005D3474">
            <w:pPr>
              <w:pStyle w:val="tabletext"/>
              <w:keepNext/>
              <w:ind w:firstLine="0"/>
              <w:rPr>
                <w:b/>
              </w:rPr>
            </w:pPr>
          </w:p>
        </w:tc>
        <w:tc>
          <w:tcPr>
            <w:tcW w:w="1182" w:type="pct"/>
          </w:tcPr>
          <w:p w:rsidR="009D117C" w:rsidRPr="005D3474" w:rsidRDefault="009D117C" w:rsidP="005D3474">
            <w:pPr>
              <w:keepNext/>
              <w:keepLines/>
              <w:autoSpaceDE w:val="0"/>
              <w:autoSpaceDN w:val="0"/>
              <w:adjustRightInd w:val="0"/>
              <w:ind w:firstLine="0"/>
              <w:jc w:val="left"/>
              <w:rPr>
                <w:color w:val="000000"/>
                <w:sz w:val="20"/>
              </w:rPr>
            </w:pPr>
            <w:r w:rsidRPr="005D3474">
              <w:rPr>
                <w:color w:val="000000"/>
                <w:sz w:val="20"/>
              </w:rPr>
              <w:t>Data Centers</w:t>
            </w:r>
          </w:p>
        </w:tc>
        <w:tc>
          <w:tcPr>
            <w:tcW w:w="2666" w:type="pct"/>
            <w:vAlign w:val="bottom"/>
          </w:tcPr>
          <w:p w:rsidR="009D117C" w:rsidRPr="005D3474" w:rsidRDefault="009D117C" w:rsidP="005D3474">
            <w:pPr>
              <w:pStyle w:val="tabletext"/>
              <w:keepNext/>
              <w:ind w:firstLine="64"/>
            </w:pPr>
            <w:r w:rsidRPr="005D3474">
              <w:t xml:space="preserve">Data Center HVAC System Measures </w:t>
            </w:r>
          </w:p>
        </w:tc>
      </w:tr>
      <w:tr w:rsidR="009D117C" w:rsidRPr="007539D7" w:rsidTr="00D56429">
        <w:trPr>
          <w:trHeight w:val="269"/>
          <w:jc w:val="center"/>
        </w:trPr>
        <w:tc>
          <w:tcPr>
            <w:tcW w:w="1152" w:type="pct"/>
            <w:vMerge w:val="restart"/>
            <w:vAlign w:val="center"/>
          </w:tcPr>
          <w:p w:rsidR="009D117C" w:rsidRPr="005D3474" w:rsidRDefault="009D117C" w:rsidP="005D3474">
            <w:pPr>
              <w:keepNext/>
              <w:keepLines/>
              <w:ind w:firstLine="0"/>
              <w:jc w:val="left"/>
              <w:rPr>
                <w:b/>
                <w:sz w:val="20"/>
              </w:rPr>
            </w:pPr>
            <w:r w:rsidRPr="005D3474">
              <w:rPr>
                <w:b/>
                <w:sz w:val="20"/>
              </w:rPr>
              <w:t>Other</w:t>
            </w:r>
          </w:p>
        </w:tc>
        <w:tc>
          <w:tcPr>
            <w:tcW w:w="1182" w:type="pct"/>
          </w:tcPr>
          <w:p w:rsidR="009D117C" w:rsidRPr="005D3474" w:rsidRDefault="009D117C" w:rsidP="005D3474">
            <w:pPr>
              <w:keepNext/>
              <w:keepLines/>
              <w:autoSpaceDE w:val="0"/>
              <w:autoSpaceDN w:val="0"/>
              <w:adjustRightInd w:val="0"/>
              <w:ind w:firstLine="0"/>
              <w:jc w:val="left"/>
              <w:rPr>
                <w:color w:val="000000"/>
                <w:sz w:val="20"/>
              </w:rPr>
            </w:pPr>
            <w:r w:rsidRPr="005D3474">
              <w:rPr>
                <w:color w:val="000000"/>
                <w:sz w:val="20"/>
              </w:rPr>
              <w:t>Miscellaneous</w:t>
            </w:r>
          </w:p>
        </w:tc>
        <w:tc>
          <w:tcPr>
            <w:tcW w:w="2666" w:type="pct"/>
            <w:vAlign w:val="bottom"/>
          </w:tcPr>
          <w:p w:rsidR="009D117C" w:rsidRPr="005D3474" w:rsidRDefault="00194787" w:rsidP="005D3474">
            <w:pPr>
              <w:keepNext/>
              <w:keepLines/>
              <w:ind w:firstLine="64"/>
              <w:jc w:val="left"/>
              <w:rPr>
                <w:sz w:val="20"/>
              </w:rPr>
            </w:pPr>
            <w:r w:rsidRPr="005D3474">
              <w:rPr>
                <w:sz w:val="20"/>
              </w:rPr>
              <w:t>Domestic Water Booster P</w:t>
            </w:r>
            <w:r w:rsidR="009D117C" w:rsidRPr="005D3474">
              <w:rPr>
                <w:sz w:val="20"/>
              </w:rPr>
              <w:t>umps, Hot Water Systems, Pool Covers</w:t>
            </w:r>
          </w:p>
        </w:tc>
      </w:tr>
      <w:tr w:rsidR="009D117C" w:rsidRPr="007539D7" w:rsidTr="00D56429">
        <w:trPr>
          <w:trHeight w:val="269"/>
          <w:jc w:val="center"/>
        </w:trPr>
        <w:tc>
          <w:tcPr>
            <w:tcW w:w="1152" w:type="pct"/>
            <w:vMerge/>
            <w:vAlign w:val="center"/>
          </w:tcPr>
          <w:p w:rsidR="009D117C" w:rsidRPr="005D3474" w:rsidRDefault="009D117C" w:rsidP="005D3474">
            <w:pPr>
              <w:keepNext/>
              <w:keepLines/>
              <w:ind w:firstLine="0"/>
              <w:jc w:val="left"/>
              <w:rPr>
                <w:b/>
                <w:sz w:val="20"/>
              </w:rPr>
            </w:pPr>
          </w:p>
        </w:tc>
        <w:tc>
          <w:tcPr>
            <w:tcW w:w="1182" w:type="pct"/>
          </w:tcPr>
          <w:p w:rsidR="009D117C" w:rsidRPr="005D3474" w:rsidRDefault="009D117C" w:rsidP="005D3474">
            <w:pPr>
              <w:keepNext/>
              <w:keepLines/>
              <w:autoSpaceDE w:val="0"/>
              <w:autoSpaceDN w:val="0"/>
              <w:adjustRightInd w:val="0"/>
              <w:ind w:firstLine="0"/>
              <w:jc w:val="left"/>
              <w:rPr>
                <w:color w:val="000000"/>
                <w:sz w:val="20"/>
              </w:rPr>
            </w:pPr>
            <w:r w:rsidRPr="005D3474">
              <w:rPr>
                <w:color w:val="000000"/>
                <w:sz w:val="20"/>
              </w:rPr>
              <w:t>Servers</w:t>
            </w:r>
          </w:p>
        </w:tc>
        <w:tc>
          <w:tcPr>
            <w:tcW w:w="2666" w:type="pct"/>
            <w:vAlign w:val="bottom"/>
          </w:tcPr>
          <w:p w:rsidR="009D117C" w:rsidRPr="005D3474" w:rsidRDefault="009D117C" w:rsidP="005D3474">
            <w:pPr>
              <w:keepNext/>
              <w:keepLines/>
              <w:ind w:firstLine="64"/>
              <w:jc w:val="left"/>
              <w:rPr>
                <w:sz w:val="20"/>
              </w:rPr>
            </w:pPr>
            <w:r w:rsidRPr="005D3474">
              <w:rPr>
                <w:sz w:val="20"/>
              </w:rPr>
              <w:t xml:space="preserve">Replacement and Control of Servers </w:t>
            </w:r>
          </w:p>
        </w:tc>
      </w:tr>
    </w:tbl>
    <w:p w:rsidR="00BD0391" w:rsidRPr="007539D7" w:rsidRDefault="0082191E" w:rsidP="0082191E">
      <w:pPr>
        <w:pStyle w:val="tablenotes"/>
        <w:keepNext/>
      </w:pPr>
      <w:r>
        <w:t>Source:</w:t>
      </w:r>
      <w:r w:rsidR="00D56429" w:rsidRPr="00D56429">
        <w:t xml:space="preserve"> </w:t>
      </w:r>
      <w:r w:rsidR="00D56429" w:rsidRPr="007539D7">
        <w:t>ADM</w:t>
      </w:r>
      <w:r w:rsidR="00D56429">
        <w:t xml:space="preserve"> et al. 2010;</w:t>
      </w:r>
      <w:r>
        <w:t xml:space="preserve"> </w:t>
      </w:r>
      <w:r w:rsidR="009D117C">
        <w:t>Itron et al. 2010; SBW Consulting et al.</w:t>
      </w:r>
      <w:r w:rsidR="00D56429">
        <w:t xml:space="preserve"> 2010</w:t>
      </w:r>
      <w:r w:rsidR="009D117C">
        <w:t>; Summit Blue et al.</w:t>
      </w:r>
      <w:r w:rsidR="009E31D8" w:rsidRPr="007539D7">
        <w:t xml:space="preserve"> 2010</w:t>
      </w:r>
    </w:p>
    <w:p w:rsidR="00412599" w:rsidRDefault="00C412FB" w:rsidP="00412599">
      <w:pPr>
        <w:ind w:firstLine="0"/>
      </w:pPr>
      <w:r w:rsidRPr="007539D7">
        <w:tab/>
      </w:r>
      <w:r w:rsidR="00AE6674" w:rsidRPr="007539D7">
        <w:t>As discussed above, site reports were reviewed from the Commercial Facilities, Major Commercial, Gove</w:t>
      </w:r>
      <w:r w:rsidR="00051CCB" w:rsidRPr="007539D7">
        <w:t>rnment P</w:t>
      </w:r>
      <w:r w:rsidR="00AE6674" w:rsidRPr="007539D7">
        <w:t>artnerships and PGE Fab</w:t>
      </w:r>
      <w:r w:rsidR="00051CCB" w:rsidRPr="007539D7">
        <w:t>rication</w:t>
      </w:r>
      <w:r w:rsidR="00AE6674" w:rsidRPr="007539D7">
        <w:t xml:space="preserve"> programs. </w:t>
      </w:r>
      <w:r w:rsidR="00051CCB" w:rsidRPr="007539D7">
        <w:t xml:space="preserve">Only measures broadly applicable to commercial buildings were included. </w:t>
      </w:r>
      <w:r w:rsidR="00B1108F" w:rsidRPr="007539D7">
        <w:t>Any meas</w:t>
      </w:r>
      <w:r w:rsidR="00051CCB" w:rsidRPr="007539D7">
        <w:t>ures that were identified to be</w:t>
      </w:r>
      <w:r w:rsidR="00B1108F" w:rsidRPr="007539D7">
        <w:t xml:space="preserve"> industrial</w:t>
      </w:r>
      <w:r w:rsidR="00051CCB" w:rsidRPr="007539D7">
        <w:t>-focused</w:t>
      </w:r>
      <w:r w:rsidR="00B1108F" w:rsidRPr="007539D7">
        <w:t xml:space="preserve"> were not included in the analysis. A total of 129 projects were selected from the</w:t>
      </w:r>
      <w:r w:rsidR="00145A0A" w:rsidRPr="007539D7">
        <w:t>se programs for analyzing the reason for savings gap between the claimed and the evaluated savings.</w:t>
      </w:r>
      <w:r w:rsidR="00B1108F" w:rsidRPr="007539D7">
        <w:t xml:space="preserve"> F</w:t>
      </w:r>
      <w:r w:rsidR="00145A0A" w:rsidRPr="007539D7">
        <w:t xml:space="preserve">igure 1 below shows the measure type distribution based on the review of the 129 projects selected from these programs. </w:t>
      </w:r>
    </w:p>
    <w:p w:rsidR="00412599" w:rsidRDefault="00412599" w:rsidP="00412599">
      <w:pPr>
        <w:ind w:firstLine="0"/>
        <w:rPr>
          <w:b/>
          <w:bCs/>
        </w:rPr>
      </w:pPr>
    </w:p>
    <w:p w:rsidR="00B12238" w:rsidRDefault="00B12238" w:rsidP="00A10AF5">
      <w:pPr>
        <w:pStyle w:val="FigureTitle"/>
      </w:pPr>
      <w:r w:rsidRPr="00A10AF5">
        <w:t>Figure</w:t>
      </w:r>
      <w:r w:rsidR="00145A0A" w:rsidRPr="00A10AF5">
        <w:t xml:space="preserve"> 1</w:t>
      </w:r>
      <w:r w:rsidRPr="00A10AF5">
        <w:t>: Measure Type Distribution</w:t>
      </w:r>
    </w:p>
    <w:p w:rsidR="00412599" w:rsidRPr="00A10AF5" w:rsidRDefault="00412599" w:rsidP="00A10AF5">
      <w:pPr>
        <w:pStyle w:val="FigureTitle"/>
      </w:pPr>
      <w:r w:rsidRPr="00412599">
        <w:rPr>
          <w:noProof/>
          <w:bdr w:val="single" w:sz="8" w:space="0" w:color="auto"/>
        </w:rPr>
        <w:drawing>
          <wp:inline distT="0" distB="0" distL="0" distR="0">
            <wp:extent cx="5943600" cy="2720248"/>
            <wp:effectExtent l="1905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t="18736"/>
                    <a:stretch>
                      <a:fillRect/>
                    </a:stretch>
                  </pic:blipFill>
                  <pic:spPr bwMode="auto">
                    <a:xfrm>
                      <a:off x="0" y="0"/>
                      <a:ext cx="5943600" cy="2720248"/>
                    </a:xfrm>
                    <a:prstGeom prst="rect">
                      <a:avLst/>
                    </a:prstGeom>
                    <a:noFill/>
                    <a:ln w="9525">
                      <a:noFill/>
                      <a:miter lim="800000"/>
                      <a:headEnd/>
                      <a:tailEnd/>
                    </a:ln>
                  </pic:spPr>
                </pic:pic>
              </a:graphicData>
            </a:graphic>
          </wp:inline>
        </w:drawing>
      </w:r>
    </w:p>
    <w:p w:rsidR="00D56429" w:rsidRPr="007539D7" w:rsidRDefault="00D56429" w:rsidP="00412599">
      <w:pPr>
        <w:pStyle w:val="figurenotes"/>
      </w:pPr>
      <w:r>
        <w:t>Source: ADM et al.</w:t>
      </w:r>
      <w:r w:rsidRPr="007539D7">
        <w:t xml:space="preserve"> 2010; Itr</w:t>
      </w:r>
      <w:r>
        <w:t xml:space="preserve">on et al. 2010; SBW Consulting et al. 2010; </w:t>
      </w:r>
      <w:r w:rsidRPr="007539D7">
        <w:t>Summit Blue et al., 2010</w:t>
      </w:r>
    </w:p>
    <w:p w:rsidR="00C6659D" w:rsidRDefault="00E93157" w:rsidP="007539D7">
      <w:r w:rsidRPr="007539D7">
        <w:lastRenderedPageBreak/>
        <w:t xml:space="preserve">We calculated </w:t>
      </w:r>
      <w:r w:rsidR="00880600" w:rsidRPr="007539D7">
        <w:t>the average g</w:t>
      </w:r>
      <w:r w:rsidR="00EF1521" w:rsidRPr="007539D7">
        <w:t xml:space="preserve">ross realization rates for each of these measure </w:t>
      </w:r>
      <w:r w:rsidR="00194787">
        <w:t>categories (</w:t>
      </w:r>
      <w:r w:rsidR="00EF1521" w:rsidRPr="007539D7">
        <w:t>types</w:t>
      </w:r>
      <w:r w:rsidR="00194787">
        <w:t>)</w:t>
      </w:r>
      <w:r w:rsidR="00EF1521" w:rsidRPr="007539D7">
        <w:t xml:space="preserve"> based on site specific</w:t>
      </w:r>
      <w:r w:rsidR="009D117C">
        <w:t xml:space="preserve"> (project) </w:t>
      </w:r>
      <w:r w:rsidR="00880600" w:rsidRPr="007539D7">
        <w:t>gross</w:t>
      </w:r>
      <w:r w:rsidR="00EF1521" w:rsidRPr="007539D7">
        <w:t xml:space="preserve"> realization</w:t>
      </w:r>
      <w:r w:rsidR="00880600" w:rsidRPr="007539D7">
        <w:t xml:space="preserve"> rate obtained from the four evaluation programs for each measure type</w:t>
      </w:r>
      <w:r w:rsidR="00EF1521" w:rsidRPr="007539D7">
        <w:t xml:space="preserve">. The measure type </w:t>
      </w:r>
      <w:r w:rsidR="00B64A7C" w:rsidRPr="007539D7">
        <w:t xml:space="preserve">gross </w:t>
      </w:r>
      <w:r w:rsidR="00EF1521" w:rsidRPr="007539D7">
        <w:t xml:space="preserve">realization </w:t>
      </w:r>
      <w:r w:rsidR="00B64A7C" w:rsidRPr="007539D7">
        <w:t xml:space="preserve">rate </w:t>
      </w:r>
      <w:r w:rsidR="00EF1521" w:rsidRPr="007539D7">
        <w:t xml:space="preserve">was calculated as a simple average from the site specific realization rates collected from the site specific </w:t>
      </w:r>
      <w:r w:rsidR="00B64A7C" w:rsidRPr="007539D7">
        <w:t>impact evaluations in the four</w:t>
      </w:r>
      <w:r w:rsidR="004A5FFD" w:rsidRPr="007539D7">
        <w:t xml:space="preserve"> </w:t>
      </w:r>
      <w:r w:rsidR="00EF1521" w:rsidRPr="007539D7">
        <w:t>program reports.</w:t>
      </w:r>
      <w:r w:rsidR="00CE5826" w:rsidRPr="007539D7">
        <w:t xml:space="preserve"> Figure 2 </w:t>
      </w:r>
      <w:r w:rsidR="00426F7C" w:rsidRPr="007539D7">
        <w:t>displays t</w:t>
      </w:r>
      <w:r w:rsidR="00CE5826" w:rsidRPr="007539D7">
        <w:t xml:space="preserve">he </w:t>
      </w:r>
      <w:r w:rsidR="00426F7C" w:rsidRPr="007539D7">
        <w:t xml:space="preserve">average </w:t>
      </w:r>
      <w:r w:rsidR="00CE5826" w:rsidRPr="007539D7">
        <w:t xml:space="preserve">energy savings realization </w:t>
      </w:r>
      <w:r w:rsidR="00426F7C" w:rsidRPr="007539D7">
        <w:t xml:space="preserve">rates </w:t>
      </w:r>
      <w:r w:rsidR="00CE5826" w:rsidRPr="007539D7">
        <w:t>calculated for each of these measures. Note that for the boiler measure, savings realization rate reported is for gas savings.</w:t>
      </w:r>
    </w:p>
    <w:p w:rsidR="00171B42" w:rsidRPr="007539D7" w:rsidRDefault="00171B42" w:rsidP="007539D7"/>
    <w:p w:rsidR="004B4B73" w:rsidRDefault="004B4B73" w:rsidP="007539D7">
      <w:pPr>
        <w:jc w:val="center"/>
        <w:rPr>
          <w:b/>
        </w:rPr>
      </w:pPr>
      <w:r w:rsidRPr="007539D7">
        <w:rPr>
          <w:b/>
        </w:rPr>
        <w:t xml:space="preserve">Figure </w:t>
      </w:r>
      <w:r w:rsidR="00EF1521" w:rsidRPr="007539D7">
        <w:rPr>
          <w:b/>
        </w:rPr>
        <w:t>2</w:t>
      </w:r>
      <w:r w:rsidRPr="007539D7">
        <w:rPr>
          <w:b/>
        </w:rPr>
        <w:t xml:space="preserve">: </w:t>
      </w:r>
      <w:r w:rsidR="00051CCB" w:rsidRPr="007539D7">
        <w:rPr>
          <w:b/>
        </w:rPr>
        <w:t>Average</w:t>
      </w:r>
      <w:r w:rsidRPr="007539D7">
        <w:rPr>
          <w:b/>
        </w:rPr>
        <w:t xml:space="preserve"> </w:t>
      </w:r>
      <w:r w:rsidR="00EF1521" w:rsidRPr="007539D7">
        <w:rPr>
          <w:b/>
        </w:rPr>
        <w:t xml:space="preserve">Realization Rate </w:t>
      </w:r>
      <w:r w:rsidR="00051CCB" w:rsidRPr="007539D7">
        <w:rPr>
          <w:b/>
        </w:rPr>
        <w:t>by Measure for Energy S</w:t>
      </w:r>
      <w:r w:rsidR="00EF1521" w:rsidRPr="007539D7">
        <w:rPr>
          <w:b/>
        </w:rPr>
        <w:t>avings</w:t>
      </w:r>
    </w:p>
    <w:p w:rsidR="00227C94" w:rsidRDefault="00227C94" w:rsidP="00227C94">
      <w:pPr>
        <w:ind w:firstLine="0"/>
        <w:jc w:val="center"/>
        <w:rPr>
          <w:b/>
        </w:rPr>
      </w:pPr>
      <w:r w:rsidRPr="00227C94">
        <w:rPr>
          <w:noProof/>
        </w:rPr>
        <w:drawing>
          <wp:inline distT="0" distB="0" distL="0" distR="0">
            <wp:extent cx="5943600" cy="2461696"/>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943600" cy="2461696"/>
                    </a:xfrm>
                    <a:prstGeom prst="rect">
                      <a:avLst/>
                    </a:prstGeom>
                    <a:noFill/>
                    <a:ln w="9525">
                      <a:noFill/>
                      <a:miter lim="800000"/>
                      <a:headEnd/>
                      <a:tailEnd/>
                    </a:ln>
                  </pic:spPr>
                </pic:pic>
              </a:graphicData>
            </a:graphic>
          </wp:inline>
        </w:drawing>
      </w:r>
    </w:p>
    <w:p w:rsidR="00D56429" w:rsidRPr="007539D7" w:rsidRDefault="00D56429" w:rsidP="00412599">
      <w:pPr>
        <w:pStyle w:val="figurenotes"/>
      </w:pPr>
      <w:r>
        <w:t>Source: ADM et al.</w:t>
      </w:r>
      <w:r w:rsidRPr="007539D7">
        <w:t xml:space="preserve"> 2010; Itr</w:t>
      </w:r>
      <w:r>
        <w:t xml:space="preserve">on et al. 2010; SBW Consulting et al. 2010; </w:t>
      </w:r>
      <w:r w:rsidRPr="007539D7">
        <w:t>Summit Blue et al., 2010</w:t>
      </w:r>
    </w:p>
    <w:p w:rsidR="005C3486" w:rsidRDefault="00051CCB" w:rsidP="00412599">
      <w:r w:rsidRPr="007539D7">
        <w:t>F</w:t>
      </w:r>
      <w:r w:rsidR="00CE5826" w:rsidRPr="007539D7">
        <w:t>or each of the measure</w:t>
      </w:r>
      <w:r w:rsidR="00194787">
        <w:t xml:space="preserve"> type</w:t>
      </w:r>
      <w:r w:rsidR="00CE5826" w:rsidRPr="007539D7">
        <w:t xml:space="preserve">s identified in </w:t>
      </w:r>
      <w:fldSimple w:instr=" REF _Ref318962421 \h  \* MERGEFORMAT ">
        <w:r w:rsidR="00412599" w:rsidRPr="007539D7">
          <w:t xml:space="preserve">Table </w:t>
        </w:r>
        <w:r w:rsidR="00412599" w:rsidRPr="007539D7">
          <w:rPr>
            <w:noProof/>
          </w:rPr>
          <w:t>1</w:t>
        </w:r>
      </w:fldSimple>
      <w:r w:rsidR="00CE5826" w:rsidRPr="007539D7">
        <w:t>, the site specific</w:t>
      </w:r>
      <w:r w:rsidR="00194787">
        <w:t xml:space="preserve"> project </w:t>
      </w:r>
      <w:r w:rsidR="00CE5826" w:rsidRPr="007539D7">
        <w:t xml:space="preserve">impact </w:t>
      </w:r>
      <w:r w:rsidR="00194787">
        <w:t>evaluations for the projects in that measure type were</w:t>
      </w:r>
      <w:r w:rsidR="00CE5826" w:rsidRPr="007539D7">
        <w:t xml:space="preserve"> analyzed. </w:t>
      </w:r>
      <w:r w:rsidR="00194787">
        <w:t xml:space="preserve"> </w:t>
      </w:r>
      <w:r w:rsidR="00CE5826" w:rsidRPr="007539D7">
        <w:t>A primary reason for a gap in claimed and evaluated in energy savings was noted</w:t>
      </w:r>
      <w:r w:rsidR="00194787">
        <w:t xml:space="preserve"> for each project</w:t>
      </w:r>
      <w:r w:rsidR="00CE5826" w:rsidRPr="007539D7">
        <w:t xml:space="preserve">.  These reasons and a brief description of each reason </w:t>
      </w:r>
      <w:r w:rsidR="00194787">
        <w:t xml:space="preserve">along with the frequency of their occurrence </w:t>
      </w:r>
      <w:r w:rsidR="00CE5826" w:rsidRPr="007539D7">
        <w:t xml:space="preserve">are provided in </w:t>
      </w:r>
      <w:fldSimple w:instr=" REF _Ref318962786 \h  \* MERGEFORMAT ">
        <w:r w:rsidR="00412599" w:rsidRPr="007539D7">
          <w:t xml:space="preserve">Table </w:t>
        </w:r>
        <w:r w:rsidR="00412599" w:rsidRPr="007539D7">
          <w:rPr>
            <w:noProof/>
          </w:rPr>
          <w:t>2</w:t>
        </w:r>
      </w:fldSimple>
      <w:r w:rsidR="00CE5826" w:rsidRPr="007539D7">
        <w:t xml:space="preserve">.  </w:t>
      </w:r>
    </w:p>
    <w:p w:rsidR="00412599" w:rsidRPr="007539D7" w:rsidRDefault="00412599" w:rsidP="00412599"/>
    <w:p w:rsidR="006602DF" w:rsidRPr="007539D7" w:rsidRDefault="006602DF" w:rsidP="00F03441">
      <w:pPr>
        <w:pStyle w:val="FigureTitle"/>
      </w:pPr>
      <w:bookmarkStart w:id="1" w:name="_Ref318962786"/>
      <w:bookmarkStart w:id="2" w:name="_Ref318962758"/>
      <w:r w:rsidRPr="007539D7">
        <w:t xml:space="preserve">Table </w:t>
      </w:r>
      <w:r w:rsidR="00086524" w:rsidRPr="007539D7">
        <w:fldChar w:fldCharType="begin"/>
      </w:r>
      <w:r w:rsidR="00737C83" w:rsidRPr="007539D7">
        <w:instrText xml:space="preserve"> SEQ Table \* ARABIC \s 1 </w:instrText>
      </w:r>
      <w:r w:rsidR="00086524" w:rsidRPr="007539D7">
        <w:fldChar w:fldCharType="separate"/>
      </w:r>
      <w:r w:rsidRPr="007539D7">
        <w:rPr>
          <w:noProof/>
        </w:rPr>
        <w:t>2</w:t>
      </w:r>
      <w:r w:rsidR="00086524" w:rsidRPr="007539D7">
        <w:fldChar w:fldCharType="end"/>
      </w:r>
      <w:bookmarkEnd w:id="1"/>
      <w:r w:rsidRPr="007539D7">
        <w:t>:</w:t>
      </w:r>
      <w:bookmarkEnd w:id="2"/>
      <w:r w:rsidR="007E19E4" w:rsidRPr="007539D7">
        <w:t xml:space="preserve"> Description</w:t>
      </w:r>
      <w:r w:rsidR="00194787">
        <w:t xml:space="preserve"> and Frequency</w:t>
      </w:r>
      <w:r w:rsidR="007E19E4" w:rsidRPr="007539D7">
        <w:t xml:space="preserve"> of the Primary Reasons for Savings Gaps</w:t>
      </w:r>
    </w:p>
    <w:tbl>
      <w:tblPr>
        <w:tblStyle w:val="ItronBasic"/>
        <w:tblW w:w="9385" w:type="dxa"/>
        <w:jc w:val="center"/>
        <w:tblCellMar>
          <w:left w:w="115" w:type="dxa"/>
          <w:right w:w="115" w:type="dxa"/>
        </w:tblCellMar>
        <w:tblLook w:val="04A0"/>
      </w:tblPr>
      <w:tblGrid>
        <w:gridCol w:w="1915"/>
        <w:gridCol w:w="5310"/>
        <w:gridCol w:w="2160"/>
      </w:tblGrid>
      <w:tr w:rsidR="00EC0F08" w:rsidRPr="007539D7" w:rsidTr="00412599">
        <w:trPr>
          <w:cnfStyle w:val="100000000000"/>
          <w:jc w:val="center"/>
        </w:trPr>
        <w:tc>
          <w:tcPr>
            <w:tcW w:w="1915" w:type="dxa"/>
            <w:shd w:val="pct20" w:color="auto" w:fill="auto"/>
          </w:tcPr>
          <w:p w:rsidR="00EC0F08" w:rsidRPr="007539D7" w:rsidRDefault="00EC0F08" w:rsidP="00412599">
            <w:pPr>
              <w:pStyle w:val="columntitle"/>
              <w:ind w:firstLine="0"/>
              <w:jc w:val="left"/>
              <w:rPr>
                <w:rFonts w:ascii="Times New Roman" w:hAnsi="Times New Roman"/>
              </w:rPr>
            </w:pPr>
            <w:r w:rsidRPr="007539D7">
              <w:rPr>
                <w:rFonts w:ascii="Times New Roman" w:hAnsi="Times New Roman"/>
              </w:rPr>
              <w:t>Reason</w:t>
            </w:r>
          </w:p>
        </w:tc>
        <w:tc>
          <w:tcPr>
            <w:tcW w:w="5310" w:type="dxa"/>
            <w:shd w:val="pct20" w:color="auto" w:fill="auto"/>
          </w:tcPr>
          <w:p w:rsidR="00EC0F08" w:rsidRPr="007539D7" w:rsidRDefault="00B9313C" w:rsidP="00412599">
            <w:pPr>
              <w:pStyle w:val="columntitle"/>
              <w:ind w:firstLine="0"/>
              <w:jc w:val="left"/>
              <w:rPr>
                <w:rFonts w:ascii="Times New Roman" w:hAnsi="Times New Roman"/>
              </w:rPr>
            </w:pPr>
            <w:r w:rsidRPr="007539D7">
              <w:rPr>
                <w:rFonts w:ascii="Times New Roman" w:hAnsi="Times New Roman"/>
              </w:rPr>
              <w:t xml:space="preserve">      </w:t>
            </w:r>
            <w:r w:rsidR="00EC0F08" w:rsidRPr="007539D7">
              <w:rPr>
                <w:rFonts w:ascii="Times New Roman" w:hAnsi="Times New Roman"/>
              </w:rPr>
              <w:t>Description</w:t>
            </w:r>
          </w:p>
        </w:tc>
        <w:tc>
          <w:tcPr>
            <w:tcW w:w="2160" w:type="dxa"/>
            <w:shd w:val="pct20" w:color="auto" w:fill="auto"/>
          </w:tcPr>
          <w:p w:rsidR="00EC0F08" w:rsidRPr="007539D7" w:rsidRDefault="00B9313C" w:rsidP="00412599">
            <w:pPr>
              <w:pStyle w:val="columntitle"/>
              <w:ind w:firstLine="0"/>
              <w:jc w:val="left"/>
              <w:rPr>
                <w:rFonts w:ascii="Times New Roman" w:hAnsi="Times New Roman"/>
              </w:rPr>
            </w:pPr>
            <w:r w:rsidRPr="007539D7">
              <w:rPr>
                <w:rFonts w:ascii="Times New Roman" w:hAnsi="Times New Roman"/>
              </w:rPr>
              <w:t xml:space="preserve">Frequency of Primary Reason for Gap </w:t>
            </w:r>
          </w:p>
        </w:tc>
      </w:tr>
      <w:tr w:rsidR="00EC0F08" w:rsidRPr="007539D7" w:rsidTr="00412599">
        <w:trPr>
          <w:jc w:val="center"/>
        </w:trPr>
        <w:tc>
          <w:tcPr>
            <w:tcW w:w="1915" w:type="dxa"/>
            <w:vAlign w:val="center"/>
          </w:tcPr>
          <w:p w:rsidR="00EC0F08" w:rsidRPr="00412599" w:rsidRDefault="00EC0F08" w:rsidP="00412599">
            <w:pPr>
              <w:pStyle w:val="tabletext"/>
              <w:ind w:firstLine="0"/>
              <w:rPr>
                <w:rFonts w:ascii="Times New Roman" w:hAnsi="Times New Roman"/>
              </w:rPr>
            </w:pPr>
            <w:r w:rsidRPr="00412599">
              <w:rPr>
                <w:rFonts w:ascii="Times New Roman" w:hAnsi="Times New Roman"/>
              </w:rPr>
              <w:t>Ex ante calculations (RR &lt; 100%)</w:t>
            </w:r>
          </w:p>
        </w:tc>
        <w:tc>
          <w:tcPr>
            <w:tcW w:w="5310" w:type="dxa"/>
            <w:vAlign w:val="center"/>
          </w:tcPr>
          <w:p w:rsidR="00EC0F08" w:rsidRPr="007539D7" w:rsidRDefault="00EC0F08" w:rsidP="00412599">
            <w:pPr>
              <w:pStyle w:val="tabletext"/>
              <w:ind w:firstLine="0"/>
              <w:rPr>
                <w:rFonts w:ascii="Times New Roman" w:hAnsi="Times New Roman"/>
              </w:rPr>
            </w:pPr>
            <w:r w:rsidRPr="00412599">
              <w:rPr>
                <w:rFonts w:ascii="Times New Roman" w:hAnsi="Times New Roman"/>
              </w:rPr>
              <w:t xml:space="preserve">Ex ante calculations revised based on available information </w:t>
            </w:r>
          </w:p>
        </w:tc>
        <w:tc>
          <w:tcPr>
            <w:tcW w:w="2160" w:type="dxa"/>
            <w:vAlign w:val="center"/>
          </w:tcPr>
          <w:p w:rsidR="00BE1E98" w:rsidRPr="00412599" w:rsidRDefault="003A4374" w:rsidP="00412599">
            <w:pPr>
              <w:pStyle w:val="tabletext"/>
              <w:ind w:firstLine="0"/>
              <w:rPr>
                <w:rFonts w:ascii="Times New Roman" w:hAnsi="Times New Roman"/>
              </w:rPr>
            </w:pPr>
            <w:r w:rsidRPr="00412599">
              <w:rPr>
                <w:rFonts w:ascii="Times New Roman" w:hAnsi="Times New Roman"/>
              </w:rPr>
              <w:t>12%</w:t>
            </w:r>
          </w:p>
        </w:tc>
      </w:tr>
      <w:tr w:rsidR="00EC0F08" w:rsidRPr="007539D7" w:rsidTr="00412599">
        <w:trPr>
          <w:jc w:val="center"/>
        </w:trPr>
        <w:tc>
          <w:tcPr>
            <w:tcW w:w="1915" w:type="dxa"/>
            <w:vAlign w:val="center"/>
          </w:tcPr>
          <w:p w:rsidR="00EC0F08" w:rsidRPr="00412599" w:rsidRDefault="00EC0F08" w:rsidP="00412599">
            <w:pPr>
              <w:pStyle w:val="tabletext"/>
              <w:ind w:firstLine="0"/>
              <w:rPr>
                <w:rFonts w:ascii="Times New Roman" w:hAnsi="Times New Roman"/>
              </w:rPr>
            </w:pPr>
            <w:r w:rsidRPr="00412599">
              <w:rPr>
                <w:rFonts w:ascii="Times New Roman" w:hAnsi="Times New Roman"/>
              </w:rPr>
              <w:t>Ex ante input values (RR &lt; 100%)</w:t>
            </w:r>
          </w:p>
        </w:tc>
        <w:tc>
          <w:tcPr>
            <w:tcW w:w="5310" w:type="dxa"/>
            <w:vAlign w:val="center"/>
          </w:tcPr>
          <w:p w:rsidR="00EC0F08" w:rsidRPr="00412599" w:rsidRDefault="00EC0F08" w:rsidP="00412599">
            <w:pPr>
              <w:pStyle w:val="tabletext"/>
              <w:ind w:firstLine="0"/>
              <w:rPr>
                <w:rFonts w:ascii="Times New Roman" w:hAnsi="Times New Roman"/>
              </w:rPr>
            </w:pPr>
            <w:r w:rsidRPr="00412599">
              <w:rPr>
                <w:rFonts w:ascii="Times New Roman" w:hAnsi="Times New Roman"/>
              </w:rPr>
              <w:t>Estimates revised based on ex-post  values (excluding operating hours)</w:t>
            </w:r>
          </w:p>
        </w:tc>
        <w:tc>
          <w:tcPr>
            <w:tcW w:w="2160" w:type="dxa"/>
            <w:vAlign w:val="center"/>
          </w:tcPr>
          <w:p w:rsidR="00BE1E98" w:rsidRPr="00412599" w:rsidRDefault="003A4374" w:rsidP="00412599">
            <w:pPr>
              <w:pStyle w:val="tabletext"/>
              <w:ind w:firstLine="0"/>
              <w:rPr>
                <w:rFonts w:ascii="Times New Roman" w:hAnsi="Times New Roman"/>
              </w:rPr>
            </w:pPr>
            <w:r w:rsidRPr="00412599">
              <w:rPr>
                <w:rFonts w:ascii="Times New Roman" w:hAnsi="Times New Roman"/>
              </w:rPr>
              <w:t>16%</w:t>
            </w:r>
          </w:p>
        </w:tc>
      </w:tr>
      <w:tr w:rsidR="00EC0F08" w:rsidRPr="007539D7" w:rsidTr="00412599">
        <w:trPr>
          <w:jc w:val="center"/>
        </w:trPr>
        <w:tc>
          <w:tcPr>
            <w:tcW w:w="1915" w:type="dxa"/>
            <w:vAlign w:val="center"/>
          </w:tcPr>
          <w:p w:rsidR="00EC0F08" w:rsidRPr="00412599" w:rsidRDefault="00EC0F08" w:rsidP="00412599">
            <w:pPr>
              <w:pStyle w:val="tabletext"/>
              <w:ind w:firstLine="0"/>
              <w:rPr>
                <w:rFonts w:ascii="Times New Roman" w:hAnsi="Times New Roman"/>
              </w:rPr>
            </w:pPr>
            <w:r w:rsidRPr="00412599">
              <w:rPr>
                <w:rFonts w:ascii="Times New Roman" w:hAnsi="Times New Roman"/>
              </w:rPr>
              <w:t>Baseline selection</w:t>
            </w:r>
          </w:p>
        </w:tc>
        <w:tc>
          <w:tcPr>
            <w:tcW w:w="5310" w:type="dxa"/>
            <w:vAlign w:val="center"/>
          </w:tcPr>
          <w:p w:rsidR="00EC0F08" w:rsidRPr="00412599" w:rsidRDefault="00EC0F08" w:rsidP="00412599">
            <w:pPr>
              <w:pStyle w:val="tabletext"/>
              <w:ind w:firstLine="0"/>
              <w:rPr>
                <w:rFonts w:ascii="Times New Roman" w:hAnsi="Times New Roman"/>
              </w:rPr>
            </w:pPr>
            <w:r w:rsidRPr="00412599">
              <w:rPr>
                <w:rFonts w:ascii="Times New Roman" w:hAnsi="Times New Roman"/>
              </w:rPr>
              <w:t>Baseline selection modified based on code or standard practice</w:t>
            </w:r>
          </w:p>
        </w:tc>
        <w:tc>
          <w:tcPr>
            <w:tcW w:w="2160" w:type="dxa"/>
            <w:vAlign w:val="center"/>
          </w:tcPr>
          <w:p w:rsidR="00BE1E98" w:rsidRPr="00412599" w:rsidRDefault="003A4374" w:rsidP="00412599">
            <w:pPr>
              <w:pStyle w:val="tabletext"/>
              <w:ind w:firstLine="0"/>
              <w:rPr>
                <w:rFonts w:ascii="Times New Roman" w:hAnsi="Times New Roman"/>
              </w:rPr>
            </w:pPr>
            <w:r w:rsidRPr="00412599">
              <w:rPr>
                <w:rFonts w:ascii="Times New Roman" w:hAnsi="Times New Roman"/>
              </w:rPr>
              <w:t>17%</w:t>
            </w:r>
          </w:p>
        </w:tc>
      </w:tr>
      <w:tr w:rsidR="00EC0F08" w:rsidRPr="007539D7" w:rsidTr="00412599">
        <w:trPr>
          <w:jc w:val="center"/>
        </w:trPr>
        <w:tc>
          <w:tcPr>
            <w:tcW w:w="1915" w:type="dxa"/>
            <w:vAlign w:val="center"/>
          </w:tcPr>
          <w:p w:rsidR="00EC0F08" w:rsidRPr="00412599" w:rsidRDefault="00EC0F08" w:rsidP="00412599">
            <w:pPr>
              <w:pStyle w:val="tabletext"/>
              <w:ind w:firstLine="0"/>
              <w:rPr>
                <w:rFonts w:ascii="Times New Roman" w:hAnsi="Times New Roman"/>
              </w:rPr>
            </w:pPr>
            <w:r w:rsidRPr="00412599">
              <w:rPr>
                <w:rFonts w:ascii="Times New Roman" w:hAnsi="Times New Roman"/>
              </w:rPr>
              <w:t>Operating hours</w:t>
            </w:r>
          </w:p>
        </w:tc>
        <w:tc>
          <w:tcPr>
            <w:tcW w:w="5310" w:type="dxa"/>
            <w:vAlign w:val="center"/>
          </w:tcPr>
          <w:p w:rsidR="00EC0F08" w:rsidRPr="00412599" w:rsidRDefault="00EC0F08" w:rsidP="00412599">
            <w:pPr>
              <w:pStyle w:val="tabletext"/>
              <w:ind w:firstLine="0"/>
              <w:rPr>
                <w:rFonts w:ascii="Times New Roman" w:hAnsi="Times New Roman"/>
              </w:rPr>
            </w:pPr>
            <w:r w:rsidRPr="00412599">
              <w:rPr>
                <w:rFonts w:ascii="Times New Roman" w:hAnsi="Times New Roman"/>
              </w:rPr>
              <w:t>Operating hours revised based on more recent ex-post  values</w:t>
            </w:r>
          </w:p>
        </w:tc>
        <w:tc>
          <w:tcPr>
            <w:tcW w:w="2160" w:type="dxa"/>
            <w:vAlign w:val="center"/>
          </w:tcPr>
          <w:p w:rsidR="00BE1E98" w:rsidRPr="00412599" w:rsidRDefault="003A4374" w:rsidP="00412599">
            <w:pPr>
              <w:pStyle w:val="tabletext"/>
              <w:ind w:firstLine="0"/>
              <w:rPr>
                <w:rFonts w:ascii="Times New Roman" w:hAnsi="Times New Roman"/>
              </w:rPr>
            </w:pPr>
            <w:r w:rsidRPr="00412599">
              <w:rPr>
                <w:rFonts w:ascii="Times New Roman" w:hAnsi="Times New Roman"/>
              </w:rPr>
              <w:t>14%</w:t>
            </w:r>
          </w:p>
        </w:tc>
      </w:tr>
      <w:tr w:rsidR="00EC0F08" w:rsidRPr="007539D7" w:rsidTr="00412599">
        <w:trPr>
          <w:jc w:val="center"/>
        </w:trPr>
        <w:tc>
          <w:tcPr>
            <w:tcW w:w="1915" w:type="dxa"/>
            <w:vAlign w:val="center"/>
          </w:tcPr>
          <w:p w:rsidR="00EC0F08" w:rsidRPr="00412599" w:rsidRDefault="00EC0F08" w:rsidP="00412599">
            <w:pPr>
              <w:pStyle w:val="tabletext"/>
              <w:ind w:firstLine="0"/>
              <w:rPr>
                <w:rFonts w:ascii="Times New Roman" w:hAnsi="Times New Roman"/>
              </w:rPr>
            </w:pPr>
            <w:r w:rsidRPr="00412599">
              <w:rPr>
                <w:rFonts w:ascii="Times New Roman" w:hAnsi="Times New Roman"/>
              </w:rPr>
              <w:t>Lack of functioning equipment</w:t>
            </w:r>
          </w:p>
        </w:tc>
        <w:tc>
          <w:tcPr>
            <w:tcW w:w="5310" w:type="dxa"/>
            <w:vAlign w:val="center"/>
          </w:tcPr>
          <w:p w:rsidR="00EC0F08" w:rsidRPr="00412599" w:rsidRDefault="00EC0F08" w:rsidP="00412599">
            <w:pPr>
              <w:pStyle w:val="tabletext"/>
              <w:ind w:firstLine="0"/>
              <w:rPr>
                <w:rFonts w:ascii="Times New Roman" w:hAnsi="Times New Roman"/>
              </w:rPr>
            </w:pPr>
            <w:r w:rsidRPr="00412599">
              <w:rPr>
                <w:rFonts w:ascii="Times New Roman" w:hAnsi="Times New Roman"/>
              </w:rPr>
              <w:t>Lack of functioning or operable equipment or systems; equipment or system modifications not used</w:t>
            </w:r>
          </w:p>
        </w:tc>
        <w:tc>
          <w:tcPr>
            <w:tcW w:w="2160" w:type="dxa"/>
            <w:vAlign w:val="center"/>
          </w:tcPr>
          <w:p w:rsidR="00BE1E98" w:rsidRPr="00412599" w:rsidRDefault="003A4374" w:rsidP="00412599">
            <w:pPr>
              <w:pStyle w:val="tabletext"/>
              <w:ind w:firstLine="0"/>
              <w:rPr>
                <w:rFonts w:ascii="Times New Roman" w:hAnsi="Times New Roman"/>
              </w:rPr>
            </w:pPr>
            <w:r w:rsidRPr="00412599">
              <w:rPr>
                <w:rFonts w:ascii="Times New Roman" w:hAnsi="Times New Roman"/>
              </w:rPr>
              <w:t>6%</w:t>
            </w:r>
          </w:p>
        </w:tc>
      </w:tr>
      <w:tr w:rsidR="00EC0F08" w:rsidRPr="007539D7" w:rsidTr="00412599">
        <w:trPr>
          <w:jc w:val="center"/>
        </w:trPr>
        <w:tc>
          <w:tcPr>
            <w:tcW w:w="1915" w:type="dxa"/>
            <w:vAlign w:val="center"/>
          </w:tcPr>
          <w:p w:rsidR="00EC0F08" w:rsidRPr="00412599" w:rsidRDefault="00EC0F08" w:rsidP="00412599">
            <w:pPr>
              <w:pStyle w:val="tabletext"/>
              <w:ind w:firstLine="0"/>
              <w:rPr>
                <w:rFonts w:ascii="Times New Roman" w:hAnsi="Times New Roman"/>
              </w:rPr>
            </w:pPr>
            <w:r w:rsidRPr="00412599">
              <w:rPr>
                <w:rFonts w:ascii="Times New Roman" w:hAnsi="Times New Roman"/>
              </w:rPr>
              <w:t>Ex-ante input values (RR &gt; 100%)</w:t>
            </w:r>
          </w:p>
        </w:tc>
        <w:tc>
          <w:tcPr>
            <w:tcW w:w="5310" w:type="dxa"/>
            <w:vAlign w:val="center"/>
          </w:tcPr>
          <w:p w:rsidR="00EC0F08" w:rsidRPr="00412599" w:rsidRDefault="00EC0F08" w:rsidP="00412599">
            <w:pPr>
              <w:pStyle w:val="tabletext"/>
              <w:ind w:firstLine="0"/>
              <w:rPr>
                <w:rFonts w:ascii="Times New Roman" w:hAnsi="Times New Roman"/>
              </w:rPr>
            </w:pPr>
            <w:r w:rsidRPr="00412599">
              <w:rPr>
                <w:rFonts w:ascii="Times New Roman" w:hAnsi="Times New Roman"/>
              </w:rPr>
              <w:t xml:space="preserve">Realization rate greater than 100% due primarily to change in input values </w:t>
            </w:r>
          </w:p>
        </w:tc>
        <w:tc>
          <w:tcPr>
            <w:tcW w:w="2160" w:type="dxa"/>
            <w:vAlign w:val="center"/>
          </w:tcPr>
          <w:p w:rsidR="00BE1E98" w:rsidRPr="00412599" w:rsidRDefault="003A4374" w:rsidP="00412599">
            <w:pPr>
              <w:pStyle w:val="tabletext"/>
              <w:ind w:firstLine="0"/>
              <w:rPr>
                <w:rFonts w:ascii="Times New Roman" w:hAnsi="Times New Roman"/>
              </w:rPr>
            </w:pPr>
            <w:r w:rsidRPr="00412599">
              <w:rPr>
                <w:rFonts w:ascii="Times New Roman" w:hAnsi="Times New Roman"/>
              </w:rPr>
              <w:t>23%</w:t>
            </w:r>
          </w:p>
        </w:tc>
      </w:tr>
      <w:tr w:rsidR="00EC0F08" w:rsidRPr="007539D7" w:rsidTr="00412599">
        <w:trPr>
          <w:jc w:val="center"/>
        </w:trPr>
        <w:tc>
          <w:tcPr>
            <w:tcW w:w="1915" w:type="dxa"/>
            <w:vAlign w:val="center"/>
          </w:tcPr>
          <w:p w:rsidR="00EC0F08" w:rsidRPr="00412599" w:rsidRDefault="00EC0F08" w:rsidP="00412599">
            <w:pPr>
              <w:pStyle w:val="tabletext"/>
              <w:ind w:firstLine="0"/>
              <w:rPr>
                <w:rFonts w:ascii="Times New Roman" w:hAnsi="Times New Roman"/>
              </w:rPr>
            </w:pPr>
            <w:r w:rsidRPr="00412599">
              <w:rPr>
                <w:rFonts w:ascii="Times New Roman" w:hAnsi="Times New Roman"/>
              </w:rPr>
              <w:t>Ex-ante calculations (RR &gt; 100%)</w:t>
            </w:r>
          </w:p>
        </w:tc>
        <w:tc>
          <w:tcPr>
            <w:tcW w:w="5310" w:type="dxa"/>
            <w:vAlign w:val="center"/>
          </w:tcPr>
          <w:p w:rsidR="00EC0F08" w:rsidRPr="00412599" w:rsidRDefault="00EC0F08" w:rsidP="00412599">
            <w:pPr>
              <w:pStyle w:val="tabletext"/>
              <w:ind w:firstLine="0"/>
              <w:rPr>
                <w:rFonts w:ascii="Times New Roman" w:hAnsi="Times New Roman"/>
              </w:rPr>
            </w:pPr>
            <w:r w:rsidRPr="00412599">
              <w:rPr>
                <w:rFonts w:ascii="Times New Roman" w:hAnsi="Times New Roman"/>
              </w:rPr>
              <w:t>Realization rate greater than 100% due primarily to change in savings calculation  methodology</w:t>
            </w:r>
          </w:p>
        </w:tc>
        <w:tc>
          <w:tcPr>
            <w:tcW w:w="2160" w:type="dxa"/>
            <w:vAlign w:val="center"/>
          </w:tcPr>
          <w:p w:rsidR="00BE1E98" w:rsidRPr="00412599" w:rsidRDefault="003A4374" w:rsidP="00412599">
            <w:pPr>
              <w:pStyle w:val="tabletext"/>
              <w:ind w:firstLine="0"/>
              <w:rPr>
                <w:rFonts w:ascii="Times New Roman" w:hAnsi="Times New Roman"/>
              </w:rPr>
            </w:pPr>
            <w:r w:rsidRPr="00412599">
              <w:rPr>
                <w:rFonts w:ascii="Times New Roman" w:hAnsi="Times New Roman"/>
              </w:rPr>
              <w:t>12%</w:t>
            </w:r>
          </w:p>
        </w:tc>
      </w:tr>
    </w:tbl>
    <w:p w:rsidR="00D56429" w:rsidRPr="00412599" w:rsidRDefault="00A75A57" w:rsidP="00412599">
      <w:pPr>
        <w:pStyle w:val="figurenotes"/>
      </w:pPr>
      <w:r w:rsidRPr="00412599">
        <w:tab/>
      </w:r>
      <w:r w:rsidR="00D56429" w:rsidRPr="00412599">
        <w:t>Source: ADM et al. 2010; Itron et al. 2010; SBW Consulting et al. 2010; Summit Blue et al. 2010</w:t>
      </w:r>
    </w:p>
    <w:p w:rsidR="00F03441" w:rsidRDefault="00F03441" w:rsidP="00D708C3">
      <w:pPr>
        <w:pStyle w:val="Heading1"/>
        <w:jc w:val="left"/>
      </w:pPr>
    </w:p>
    <w:p w:rsidR="00BC6D00" w:rsidRDefault="006602DF" w:rsidP="00D708C3">
      <w:pPr>
        <w:pStyle w:val="Heading1"/>
        <w:jc w:val="left"/>
      </w:pPr>
      <w:r w:rsidRPr="007539D7">
        <w:t>Summarizing Measure Specific Reasons in the Gap between the Claimed and Evaluated Savings</w:t>
      </w:r>
    </w:p>
    <w:p w:rsidR="00171B42" w:rsidRPr="00171B42" w:rsidRDefault="00171B42" w:rsidP="00171B42"/>
    <w:p w:rsidR="004D76D3" w:rsidRPr="007539D7" w:rsidRDefault="00BC6D00" w:rsidP="004D76D3">
      <w:r w:rsidRPr="007539D7">
        <w:t xml:space="preserve">The following sections describe in more detail several key areas that contributed to the </w:t>
      </w:r>
      <w:r w:rsidR="00332DC6" w:rsidRPr="007539D7">
        <w:t xml:space="preserve">gap between </w:t>
      </w:r>
      <w:r w:rsidR="00A30A24" w:rsidRPr="007539D7">
        <w:t xml:space="preserve">gross impact </w:t>
      </w:r>
      <w:r w:rsidR="00332DC6" w:rsidRPr="007539D7">
        <w:t xml:space="preserve">claimed and evaluated </w:t>
      </w:r>
      <w:r w:rsidRPr="007539D7">
        <w:t>savings,</w:t>
      </w:r>
      <w:r w:rsidR="001018AC" w:rsidRPr="007539D7">
        <w:t xml:space="preserve"> i.e., the difference between</w:t>
      </w:r>
      <w:r w:rsidRPr="007539D7">
        <w:t xml:space="preserve"> the </w:t>
      </w:r>
      <w:r w:rsidR="00A30A24" w:rsidRPr="007539D7">
        <w:t xml:space="preserve">gross </w:t>
      </w:r>
      <w:r w:rsidR="00681628" w:rsidRPr="007539D7">
        <w:t>savings claimed in the ex-</w:t>
      </w:r>
      <w:r w:rsidRPr="007539D7">
        <w:t xml:space="preserve">ante case and the </w:t>
      </w:r>
      <w:r w:rsidR="00A30A24" w:rsidRPr="007539D7">
        <w:t xml:space="preserve">gross </w:t>
      </w:r>
      <w:r w:rsidRPr="007539D7">
        <w:t>savings found attributable to the energy e</w:t>
      </w:r>
      <w:r w:rsidR="00681628" w:rsidRPr="007539D7">
        <w:t>fficiency programs in the ex-</w:t>
      </w:r>
      <w:r w:rsidRPr="007539D7">
        <w:t xml:space="preserve">post case. </w:t>
      </w:r>
      <w:r w:rsidR="004D76D3">
        <w:t xml:space="preserve"> Other authors</w:t>
      </w:r>
      <w:r w:rsidR="004D76D3" w:rsidRPr="007539D7">
        <w:t xml:space="preserve"> have </w:t>
      </w:r>
      <w:r w:rsidR="004D76D3">
        <w:t xml:space="preserve">previously </w:t>
      </w:r>
      <w:r w:rsidR="004D76D3" w:rsidRPr="007539D7">
        <w:t xml:space="preserve">highlighted improper use of input values, simplified calculation methods, and improper </w:t>
      </w:r>
      <w:r w:rsidR="004D76D3">
        <w:t xml:space="preserve">equipment </w:t>
      </w:r>
      <w:r w:rsidR="004D76D3" w:rsidRPr="007539D7">
        <w:t>installation as causes of a gap in gross realization rates (Nadel &amp; Keating 1991).</w:t>
      </w:r>
      <w:r w:rsidR="004D76D3">
        <w:t xml:space="preserve"> In this section, we expand on these reasons and examine the frequency of their occurrence. </w:t>
      </w:r>
    </w:p>
    <w:p w:rsidR="00171B42" w:rsidRPr="007539D7" w:rsidRDefault="00171B42" w:rsidP="007539D7"/>
    <w:p w:rsidR="00681628" w:rsidRPr="007539D7" w:rsidRDefault="00681628" w:rsidP="00D708C3">
      <w:pPr>
        <w:pStyle w:val="Heading2"/>
        <w:jc w:val="left"/>
      </w:pPr>
      <w:r w:rsidRPr="007539D7">
        <w:t xml:space="preserve">Ex-ante Values Different than Ex-post Values (including Operating Hours) </w:t>
      </w:r>
    </w:p>
    <w:p w:rsidR="00D708C3" w:rsidRDefault="00D708C3" w:rsidP="007539D7"/>
    <w:p w:rsidR="00171B42" w:rsidRDefault="00681628" w:rsidP="007539D7">
      <w:r w:rsidRPr="007539D7">
        <w:t xml:space="preserve">One of the most significant reasons for differences between ex-ante and ex-post estimates of savings was a change in equipment operating parameters, schedules and profiles. The ex-ante calculations sometimes utilize overestimated or underestimated critical parameters such as operating hours or kW reductions; in such cases the ex-post savings were significantly different than the ex-ante claimed savings.  Such instances were found at </w:t>
      </w:r>
      <w:r w:rsidR="00125A8F" w:rsidRPr="007539D7">
        <w:t>53</w:t>
      </w:r>
      <w:r w:rsidRPr="007539D7">
        <w:t>% of the sites examined (</w:t>
      </w:r>
      <w:r w:rsidR="00125A8F" w:rsidRPr="007539D7">
        <w:t>68</w:t>
      </w:r>
      <w:r w:rsidRPr="007539D7">
        <w:t xml:space="preserve"> of 12</w:t>
      </w:r>
      <w:r w:rsidR="00CC6A22" w:rsidRPr="007539D7">
        <w:t>9</w:t>
      </w:r>
      <w:r w:rsidRPr="007539D7">
        <w:t xml:space="preserve"> sites). Of these </w:t>
      </w:r>
      <w:r w:rsidR="00125A8F" w:rsidRPr="007539D7">
        <w:t>68</w:t>
      </w:r>
      <w:r w:rsidRPr="007539D7">
        <w:t xml:space="preserve"> sites, a change in operating hours caused a lower realization rate in </w:t>
      </w:r>
      <w:r w:rsidR="001C5C83" w:rsidRPr="007539D7">
        <w:t>18</w:t>
      </w:r>
      <w:r w:rsidRPr="007539D7">
        <w:t xml:space="preserve"> cases. Changes in ex ante values caused an increase in realization rates (i.e., realization rates over 100%) at </w:t>
      </w:r>
      <w:r w:rsidR="00125A8F" w:rsidRPr="007539D7">
        <w:t>30 of</w:t>
      </w:r>
      <w:r w:rsidRPr="007539D7">
        <w:t xml:space="preserve"> the 12</w:t>
      </w:r>
      <w:r w:rsidR="001C5C83" w:rsidRPr="007539D7">
        <w:t>9</w:t>
      </w:r>
      <w:r w:rsidRPr="007539D7">
        <w:t xml:space="preserve"> sites examined, or about 23%. </w:t>
      </w:r>
      <w:r w:rsidR="00051CCB" w:rsidRPr="007539D7">
        <w:t>Also, changes in ex-</w:t>
      </w:r>
      <w:r w:rsidR="00125A8F" w:rsidRPr="007539D7">
        <w:t>ante values resulted in a decrease in realization rate at 20 of the 129 sites examined, or about 16%.</w:t>
      </w:r>
      <w:r w:rsidR="004A5FFD" w:rsidRPr="007539D7">
        <w:t xml:space="preserve">  </w:t>
      </w:r>
      <w:r w:rsidR="009E31D8" w:rsidRPr="007539D7">
        <w:t xml:space="preserve">One practitioner </w:t>
      </w:r>
      <w:r w:rsidR="004A5FFD" w:rsidRPr="007539D7">
        <w:t>indicates that the main challenge in determining the energy savings from an equipment retrofit is properly identifying the data (before and after a retrofit takes place) that is to be used in the analysis</w:t>
      </w:r>
      <w:r w:rsidR="009E31D8" w:rsidRPr="007539D7">
        <w:t xml:space="preserve"> (Yalcintas 20</w:t>
      </w:r>
      <w:r w:rsidR="00171B42">
        <w:t>08)</w:t>
      </w:r>
      <w:r w:rsidR="004A5FFD" w:rsidRPr="007539D7">
        <w:t>.</w:t>
      </w:r>
    </w:p>
    <w:p w:rsidR="00681628" w:rsidRPr="007539D7" w:rsidRDefault="004A5FFD" w:rsidP="007539D7">
      <w:r w:rsidRPr="007539D7">
        <w:t xml:space="preserve"> </w:t>
      </w:r>
    </w:p>
    <w:p w:rsidR="00BC6D00" w:rsidRPr="007539D7" w:rsidRDefault="00BC6D00" w:rsidP="00D708C3">
      <w:pPr>
        <w:pStyle w:val="Heading2"/>
        <w:jc w:val="left"/>
      </w:pPr>
      <w:r w:rsidRPr="007539D7">
        <w:t>Improper Baseline Sp</w:t>
      </w:r>
      <w:r w:rsidR="000B7F66" w:rsidRPr="007539D7">
        <w:t>ecification</w:t>
      </w:r>
    </w:p>
    <w:p w:rsidR="00D708C3" w:rsidRDefault="00D708C3" w:rsidP="007539D7"/>
    <w:p w:rsidR="00B12E2B" w:rsidRPr="007539D7" w:rsidRDefault="00681628" w:rsidP="007539D7">
      <w:r w:rsidRPr="007539D7">
        <w:t>Another significant reason</w:t>
      </w:r>
      <w:r w:rsidR="00B12E2B" w:rsidRPr="007539D7">
        <w:t xml:space="preserve"> for </w:t>
      </w:r>
      <w:r w:rsidR="004268DD" w:rsidRPr="007539D7">
        <w:t>differences between ex ante and ex post estimates of savings was</w:t>
      </w:r>
      <w:r w:rsidR="00B12E2B" w:rsidRPr="007539D7">
        <w:t xml:space="preserve"> improper baseline specification</w:t>
      </w:r>
      <w:r w:rsidR="0092601D" w:rsidRPr="007539D7">
        <w:t xml:space="preserve">.  </w:t>
      </w:r>
      <w:r w:rsidR="00B12E2B" w:rsidRPr="007539D7">
        <w:t xml:space="preserve">Often times, existing or in situ systems are used as the baseline, although </w:t>
      </w:r>
      <w:r w:rsidR="004268DD" w:rsidRPr="007539D7">
        <w:t xml:space="preserve">in </w:t>
      </w:r>
      <w:r w:rsidR="00B12E2B" w:rsidRPr="007539D7">
        <w:t xml:space="preserve">many </w:t>
      </w:r>
      <w:r w:rsidR="004268DD" w:rsidRPr="007539D7">
        <w:t xml:space="preserve">instances </w:t>
      </w:r>
      <w:r w:rsidR="00B12E2B" w:rsidRPr="007539D7">
        <w:t xml:space="preserve">this will not be </w:t>
      </w:r>
      <w:r w:rsidR="004268DD" w:rsidRPr="007539D7">
        <w:t>an appropriate</w:t>
      </w:r>
      <w:r w:rsidR="00B12E2B" w:rsidRPr="007539D7">
        <w:t xml:space="preserve"> baseline</w:t>
      </w:r>
      <w:r w:rsidR="004268DD" w:rsidRPr="007539D7">
        <w:t xml:space="preserve"> claim</w:t>
      </w:r>
      <w:r w:rsidR="00B12E2B" w:rsidRPr="007539D7">
        <w:t>. The correct baseline for energy evaluation purposes would be the operating system that would have been installed without the program. This is typically governed by</w:t>
      </w:r>
      <w:r w:rsidR="009552A7" w:rsidRPr="007539D7">
        <w:t xml:space="preserve"> codes,</w:t>
      </w:r>
      <w:r w:rsidR="00B12E2B" w:rsidRPr="007539D7">
        <w:t xml:space="preserve"> industry standards and common practices.  </w:t>
      </w:r>
    </w:p>
    <w:p w:rsidR="001C5C83" w:rsidRPr="007539D7" w:rsidRDefault="00B12E2B" w:rsidP="007539D7">
      <w:r w:rsidRPr="007539D7">
        <w:t xml:space="preserve">Consider a case where standard practice has changed the normal baseline for an energy end use. Commercial lighting has moved from standard electromagnetic ballasts to electronic ballasts and from T12 lamps to T8 lamps, with higher efficiency T5 lamps being a step above the industry standard or standard practice. For a new installation, the </w:t>
      </w:r>
      <w:r w:rsidR="009552A7" w:rsidRPr="007539D7">
        <w:t xml:space="preserve">more efficient T8 lighting system </w:t>
      </w:r>
      <w:r w:rsidRPr="007539D7">
        <w:t>would typically be an appropriate baseline. For a retrofit application, the</w:t>
      </w:r>
      <w:r w:rsidR="009552A7" w:rsidRPr="007539D7">
        <w:t xml:space="preserve"> T8 system </w:t>
      </w:r>
      <w:r w:rsidRPr="007539D7">
        <w:t xml:space="preserve">would also constitute the baseline if the </w:t>
      </w:r>
      <w:r w:rsidR="009552A7" w:rsidRPr="007539D7">
        <w:t>existing system w</w:t>
      </w:r>
      <w:r w:rsidRPr="007539D7">
        <w:t xml:space="preserve">as replaced </w:t>
      </w:r>
      <w:r w:rsidR="009552A7" w:rsidRPr="007539D7">
        <w:t>at the end of its useful life or on burnout</w:t>
      </w:r>
      <w:r w:rsidRPr="007539D7">
        <w:t xml:space="preserve"> (replace on burnout). </w:t>
      </w:r>
      <w:r w:rsidR="0092601D" w:rsidRPr="007539D7">
        <w:t xml:space="preserve"> If</w:t>
      </w:r>
      <w:r w:rsidR="009552A7" w:rsidRPr="007539D7">
        <w:t xml:space="preserve"> existing system</w:t>
      </w:r>
      <w:r w:rsidR="0092601D" w:rsidRPr="007539D7">
        <w:t>s have functional</w:t>
      </w:r>
      <w:r w:rsidRPr="007539D7">
        <w:t xml:space="preserve"> remaining useful life</w:t>
      </w:r>
      <w:r w:rsidR="000B7F66" w:rsidRPr="007539D7">
        <w:t xml:space="preserve"> (RUL) </w:t>
      </w:r>
      <w:r w:rsidR="0092601D" w:rsidRPr="007539D7">
        <w:t>and the retrofit was an early system replacement</w:t>
      </w:r>
      <w:r w:rsidRPr="007539D7">
        <w:t xml:space="preserve">, the </w:t>
      </w:r>
      <w:r w:rsidR="0092601D" w:rsidRPr="007539D7">
        <w:t>verified savings coul</w:t>
      </w:r>
      <w:r w:rsidR="000B7F66" w:rsidRPr="007539D7">
        <w:t>d be based on the existing equi</w:t>
      </w:r>
      <w:r w:rsidR="0092601D" w:rsidRPr="007539D7">
        <w:t>pment for the RUL period.</w:t>
      </w:r>
      <w:r w:rsidR="000B7F66" w:rsidRPr="007539D7">
        <w:t xml:space="preserve"> </w:t>
      </w:r>
    </w:p>
    <w:p w:rsidR="00423D1C" w:rsidRDefault="000B7F66" w:rsidP="007539D7">
      <w:r w:rsidRPr="007539D7">
        <w:t>A total of 2</w:t>
      </w:r>
      <w:r w:rsidR="001C5C83" w:rsidRPr="007539D7">
        <w:t>2</w:t>
      </w:r>
      <w:r w:rsidRPr="007539D7">
        <w:t xml:space="preserve"> of the 12</w:t>
      </w:r>
      <w:r w:rsidR="001C5C83" w:rsidRPr="007539D7">
        <w:t>9</w:t>
      </w:r>
      <w:r w:rsidRPr="007539D7">
        <w:t xml:space="preserve"> cases examined </w:t>
      </w:r>
      <w:r w:rsidR="00681628" w:rsidRPr="007539D7">
        <w:t xml:space="preserve">– about </w:t>
      </w:r>
      <w:r w:rsidR="001C5C83" w:rsidRPr="007539D7">
        <w:t>17</w:t>
      </w:r>
      <w:r w:rsidR="00681628" w:rsidRPr="007539D7">
        <w:t xml:space="preserve">% - </w:t>
      </w:r>
      <w:r w:rsidRPr="007539D7">
        <w:t>showed the baseline as a cause for claimed savings being greater than verified savings.</w:t>
      </w:r>
      <w:r w:rsidR="00681628" w:rsidRPr="007539D7">
        <w:t xml:space="preserve"> This percentage may understate the </w:t>
      </w:r>
      <w:r w:rsidR="00681628" w:rsidRPr="007539D7">
        <w:lastRenderedPageBreak/>
        <w:t>impo</w:t>
      </w:r>
      <w:r w:rsidR="001C5C83" w:rsidRPr="007539D7">
        <w:t xml:space="preserve">rtance of this factor, however, </w:t>
      </w:r>
      <w:r w:rsidR="00597F04" w:rsidRPr="007539D7">
        <w:t xml:space="preserve">as </w:t>
      </w:r>
      <w:r w:rsidR="00681628" w:rsidRPr="007539D7">
        <w:t>the lack of proper baseline specifications can lead to a complete disqualification of claimed energy savings</w:t>
      </w:r>
      <w:r w:rsidR="001C5C83" w:rsidRPr="007539D7">
        <w:t>.</w:t>
      </w:r>
    </w:p>
    <w:p w:rsidR="00171B42" w:rsidRPr="007539D7" w:rsidRDefault="00171B42" w:rsidP="007539D7"/>
    <w:p w:rsidR="00423D1C" w:rsidRPr="007539D7" w:rsidRDefault="00B12E2B" w:rsidP="00D708C3">
      <w:pPr>
        <w:pStyle w:val="Heading2"/>
        <w:jc w:val="left"/>
      </w:pPr>
      <w:r w:rsidRPr="007539D7">
        <w:t xml:space="preserve">Lack of Functioning Equipment </w:t>
      </w:r>
      <w:r w:rsidR="00B76DBD" w:rsidRPr="007539D7">
        <w:t xml:space="preserve">or Systems </w:t>
      </w:r>
    </w:p>
    <w:p w:rsidR="00D708C3" w:rsidRDefault="00D708C3" w:rsidP="007539D7"/>
    <w:p w:rsidR="009A1CA7" w:rsidRDefault="009A1CA7" w:rsidP="007539D7">
      <w:r w:rsidRPr="007539D7">
        <w:t xml:space="preserve">There were found to be instances where the retrofit failed to work as intended and the existing system </w:t>
      </w:r>
      <w:r w:rsidR="00565AF5" w:rsidRPr="007539D7">
        <w:t xml:space="preserve">condition </w:t>
      </w:r>
      <w:r w:rsidRPr="007539D7">
        <w:t xml:space="preserve">was reverted to immediately after the retrofit. </w:t>
      </w:r>
      <w:r w:rsidR="00175E74" w:rsidRPr="007539D7">
        <w:t xml:space="preserve"> </w:t>
      </w:r>
      <w:r w:rsidRPr="007539D7">
        <w:t xml:space="preserve">In one case, a high tech manufacturer </w:t>
      </w:r>
      <w:r w:rsidR="00175E74" w:rsidRPr="007539D7">
        <w:t xml:space="preserve">operating a commercial building </w:t>
      </w:r>
      <w:r w:rsidR="00B76DBD" w:rsidRPr="007539D7">
        <w:t xml:space="preserve">did not wish to risk any negative ramifications </w:t>
      </w:r>
      <w:r w:rsidR="00A540FD" w:rsidRPr="007539D7">
        <w:t>–</w:t>
      </w:r>
      <w:r w:rsidRPr="007539D7">
        <w:t xml:space="preserve"> and reverted to </w:t>
      </w:r>
      <w:r w:rsidR="00B64A7C" w:rsidRPr="007539D7">
        <w:t>Heating, Ventilati</w:t>
      </w:r>
      <w:r w:rsidR="00D921A9">
        <w:t>on</w:t>
      </w:r>
      <w:r w:rsidR="00B64A7C" w:rsidRPr="007539D7">
        <w:t xml:space="preserve"> and Air-Conditioning (HVAC)</w:t>
      </w:r>
      <w:r w:rsidRPr="007539D7">
        <w:t xml:space="preserve"> system operation</w:t>
      </w:r>
      <w:r w:rsidR="00B76DBD" w:rsidRPr="007539D7">
        <w:t xml:space="preserve"> and chiller variable speed pumping</w:t>
      </w:r>
      <w:r w:rsidRPr="007539D7">
        <w:t xml:space="preserve"> as had existed prior to the EMS control system installation</w:t>
      </w:r>
      <w:r w:rsidR="00B76DBD" w:rsidRPr="007539D7">
        <w:t>.</w:t>
      </w:r>
      <w:r w:rsidR="00681628" w:rsidRPr="007539D7">
        <w:t xml:space="preserve"> </w:t>
      </w:r>
      <w:r w:rsidRPr="007539D7">
        <w:t xml:space="preserve"> The recurrence of equipment </w:t>
      </w:r>
      <w:r w:rsidR="00B76DBD" w:rsidRPr="007539D7">
        <w:t xml:space="preserve">or systems </w:t>
      </w:r>
      <w:r w:rsidRPr="007539D7">
        <w:t>that w</w:t>
      </w:r>
      <w:r w:rsidR="00B76DBD" w:rsidRPr="007539D7">
        <w:t xml:space="preserve">ere </w:t>
      </w:r>
      <w:r w:rsidRPr="007539D7">
        <w:t>not installed</w:t>
      </w:r>
      <w:r w:rsidR="00175E74" w:rsidRPr="007539D7">
        <w:t>, w</w:t>
      </w:r>
      <w:r w:rsidR="00B76DBD" w:rsidRPr="007539D7">
        <w:t xml:space="preserve">ere </w:t>
      </w:r>
      <w:r w:rsidR="00175E74" w:rsidRPr="007539D7">
        <w:t xml:space="preserve">removed, </w:t>
      </w:r>
      <w:r w:rsidRPr="007539D7">
        <w:t xml:space="preserve">or did not function as intended highlights the importance of verification efforts. </w:t>
      </w:r>
      <w:r w:rsidR="00681628" w:rsidRPr="007539D7">
        <w:t>A total of 8 of the 12</w:t>
      </w:r>
      <w:r w:rsidR="00125A8F" w:rsidRPr="007539D7">
        <w:t>9</w:t>
      </w:r>
      <w:r w:rsidR="00681628" w:rsidRPr="007539D7">
        <w:t xml:space="preserve"> cases examined – about 6% - showed the lack of functioning systems to be a primary cause for claimed savings being lower than verified savings. This percentage again may understate the importance of this factor, however, since the lack of functional equipment and systems can lead to a complete disqualification of claimed energy savings.</w:t>
      </w:r>
    </w:p>
    <w:p w:rsidR="00171B42" w:rsidRPr="007539D7" w:rsidRDefault="00171B42" w:rsidP="007539D7"/>
    <w:p w:rsidR="00BD6BD6" w:rsidRPr="007539D7" w:rsidRDefault="00BD6BD6" w:rsidP="007539D7">
      <w:pPr>
        <w:pStyle w:val="Heading2"/>
      </w:pPr>
      <w:r w:rsidRPr="007539D7">
        <w:t>C</w:t>
      </w:r>
      <w:r w:rsidR="004D047F" w:rsidRPr="007539D7">
        <w:t xml:space="preserve">hange in Ex-ante Calculations </w:t>
      </w:r>
    </w:p>
    <w:p w:rsidR="00D708C3" w:rsidRDefault="00D708C3" w:rsidP="007539D7"/>
    <w:p w:rsidR="004D76D3" w:rsidRDefault="00D921A9" w:rsidP="007539D7">
      <w:r>
        <w:t xml:space="preserve">Interestingly, </w:t>
      </w:r>
      <w:r w:rsidR="004D047F" w:rsidRPr="007539D7">
        <w:t>a change from the ex-ante calculations employed in determining the claimed energy savings resulted in an almost equal number of</w:t>
      </w:r>
      <w:r w:rsidR="002E63A7" w:rsidRPr="007539D7">
        <w:t xml:space="preserve"> projects</w:t>
      </w:r>
      <w:r w:rsidR="004D047F" w:rsidRPr="007539D7">
        <w:t xml:space="preserve"> that showed </w:t>
      </w:r>
      <w:r w:rsidR="0034666E" w:rsidRPr="007539D7">
        <w:t>an increase and a decrease in realization rates. Of the 12</w:t>
      </w:r>
      <w:r w:rsidR="00125A8F" w:rsidRPr="007539D7">
        <w:t>9</w:t>
      </w:r>
      <w:r w:rsidR="0034666E" w:rsidRPr="007539D7">
        <w:t xml:space="preserve"> </w:t>
      </w:r>
      <w:r w:rsidR="002E63A7" w:rsidRPr="007539D7">
        <w:t>projects</w:t>
      </w:r>
      <w:r w:rsidR="0034666E" w:rsidRPr="007539D7">
        <w:t xml:space="preserve"> evaluated, the </w:t>
      </w:r>
      <w:r w:rsidR="0072515E" w:rsidRPr="007539D7">
        <w:t>verified</w:t>
      </w:r>
      <w:r w:rsidR="0034666E" w:rsidRPr="007539D7">
        <w:t xml:space="preserve"> savings at 1</w:t>
      </w:r>
      <w:r w:rsidR="00125A8F" w:rsidRPr="007539D7">
        <w:t>5</w:t>
      </w:r>
      <w:r w:rsidR="0034666E" w:rsidRPr="007539D7">
        <w:t xml:space="preserve"> sites increased as a result of different calculation method, while savings at 1</w:t>
      </w:r>
      <w:r w:rsidR="00125A8F" w:rsidRPr="007539D7">
        <w:t>6</w:t>
      </w:r>
      <w:r w:rsidR="0034666E" w:rsidRPr="007539D7">
        <w:t xml:space="preserve"> sites decreas</w:t>
      </w:r>
      <w:r w:rsidR="0072515E" w:rsidRPr="007539D7">
        <w:t xml:space="preserve">ed as a result of this change. </w:t>
      </w:r>
      <w:r w:rsidR="0034666E" w:rsidRPr="007539D7">
        <w:t>Overall, 2</w:t>
      </w:r>
      <w:r w:rsidR="00125A8F" w:rsidRPr="007539D7">
        <w:t>4</w:t>
      </w:r>
      <w:r w:rsidR="0034666E" w:rsidRPr="007539D7">
        <w:t>% of</w:t>
      </w:r>
      <w:r w:rsidR="0072515E" w:rsidRPr="007539D7">
        <w:t xml:space="preserve"> the examined </w:t>
      </w:r>
      <w:r w:rsidR="0034666E" w:rsidRPr="007539D7">
        <w:t xml:space="preserve">projects were affected. </w:t>
      </w:r>
      <w:r w:rsidR="001C2AB2" w:rsidRPr="007539D7">
        <w:t xml:space="preserve">Authors have demonstrated </w:t>
      </w:r>
      <w:r w:rsidR="007A1E05" w:rsidRPr="007539D7">
        <w:t>that the type of methods used for conducting M&amp;V on installed measures varies, with partially measured retrofit isolation producing realization rates closer to unity than other methods</w:t>
      </w:r>
      <w:r w:rsidR="001C2AB2" w:rsidRPr="007539D7">
        <w:t xml:space="preserve"> (Kaufman &amp; Palmer 2009, 19)</w:t>
      </w:r>
      <w:r>
        <w:t xml:space="preserve">. </w:t>
      </w:r>
    </w:p>
    <w:p w:rsidR="004D76D3" w:rsidRDefault="004D76D3" w:rsidP="007539D7"/>
    <w:p w:rsidR="00AC0FCA" w:rsidRDefault="007E3D45" w:rsidP="007539D7">
      <w:r w:rsidRPr="007539D7">
        <w:t xml:space="preserve">Figure </w:t>
      </w:r>
      <w:r w:rsidR="00597F04" w:rsidRPr="007539D7">
        <w:t>3</w:t>
      </w:r>
      <w:r w:rsidRPr="007539D7">
        <w:t xml:space="preserve"> summarizes the</w:t>
      </w:r>
      <w:r w:rsidR="00864DC0" w:rsidRPr="007539D7">
        <w:t xml:space="preserve"> </w:t>
      </w:r>
      <w:r w:rsidR="00597F04" w:rsidRPr="007539D7">
        <w:t xml:space="preserve">percentage for each primary </w:t>
      </w:r>
      <w:r w:rsidRPr="007539D7">
        <w:t xml:space="preserve">reason </w:t>
      </w:r>
      <w:r w:rsidR="00864DC0" w:rsidRPr="007539D7">
        <w:t>to</w:t>
      </w:r>
      <w:r w:rsidRPr="007539D7">
        <w:t xml:space="preserve"> the savings gap between the claimed savings and the evaluated savings discussed above.</w:t>
      </w:r>
      <w:r w:rsidR="00426F7C" w:rsidRPr="007539D7">
        <w:t xml:space="preserve"> The</w:t>
      </w:r>
      <w:r w:rsidR="00864DC0" w:rsidRPr="007539D7">
        <w:t xml:space="preserve"> large</w:t>
      </w:r>
      <w:r w:rsidR="00597F04" w:rsidRPr="007539D7">
        <w:t xml:space="preserve">st primary </w:t>
      </w:r>
      <w:r w:rsidR="00864DC0" w:rsidRPr="007539D7">
        <w:t xml:space="preserve">reason for the </w:t>
      </w:r>
      <w:r w:rsidR="00597F04" w:rsidRPr="007539D7">
        <w:t>savings gap was changed input values and operating hours (53%)</w:t>
      </w:r>
      <w:r w:rsidR="00864DC0" w:rsidRPr="007539D7">
        <w:t xml:space="preserve">, while next in importance was </w:t>
      </w:r>
      <w:r w:rsidR="00AC0FCA" w:rsidRPr="007539D7">
        <w:t>baseline selection (17%).</w:t>
      </w:r>
    </w:p>
    <w:p w:rsidR="00171B42" w:rsidRPr="007539D7" w:rsidRDefault="00171B42" w:rsidP="007539D7"/>
    <w:p w:rsidR="00F03441" w:rsidRDefault="00F03441">
      <w:pPr>
        <w:ind w:firstLine="0"/>
        <w:jc w:val="left"/>
        <w:rPr>
          <w:b/>
        </w:rPr>
      </w:pPr>
      <w:r>
        <w:rPr>
          <w:bCs/>
        </w:rPr>
        <w:br w:type="page"/>
      </w:r>
    </w:p>
    <w:p w:rsidR="00AC0FCA" w:rsidRDefault="007E3D45" w:rsidP="00F03441">
      <w:pPr>
        <w:pStyle w:val="FigureTitle"/>
        <w:rPr>
          <w:bCs w:val="0"/>
        </w:rPr>
      </w:pPr>
      <w:r w:rsidRPr="00F03441">
        <w:rPr>
          <w:bCs w:val="0"/>
        </w:rPr>
        <w:lastRenderedPageBreak/>
        <w:t xml:space="preserve">Figure </w:t>
      </w:r>
      <w:r w:rsidR="00864DC0" w:rsidRPr="00F03441">
        <w:rPr>
          <w:bCs w:val="0"/>
        </w:rPr>
        <w:t>3</w:t>
      </w:r>
      <w:r w:rsidRPr="00F03441">
        <w:rPr>
          <w:bCs w:val="0"/>
        </w:rPr>
        <w:t xml:space="preserve">:  Reasons for the Variation on Realization Rates across </w:t>
      </w:r>
      <w:r w:rsidR="00426F7C" w:rsidRPr="00F03441">
        <w:rPr>
          <w:bCs w:val="0"/>
        </w:rPr>
        <w:t>A</w:t>
      </w:r>
      <w:r w:rsidRPr="00F03441">
        <w:rPr>
          <w:bCs w:val="0"/>
        </w:rPr>
        <w:t>l</w:t>
      </w:r>
      <w:r w:rsidR="00426F7C" w:rsidRPr="00F03441">
        <w:rPr>
          <w:bCs w:val="0"/>
        </w:rPr>
        <w:t>l M</w:t>
      </w:r>
      <w:r w:rsidRPr="00F03441">
        <w:rPr>
          <w:bCs w:val="0"/>
        </w:rPr>
        <w:t>easures</w:t>
      </w:r>
    </w:p>
    <w:p w:rsidR="002B3415" w:rsidRPr="00F03441" w:rsidRDefault="002B3415" w:rsidP="00F03441">
      <w:pPr>
        <w:pStyle w:val="FigureTitle"/>
        <w:rPr>
          <w:bCs w:val="0"/>
        </w:rPr>
      </w:pPr>
      <w:r w:rsidRPr="002B3415">
        <w:rPr>
          <w:noProof/>
          <w:bdr w:val="single" w:sz="8" w:space="0" w:color="auto"/>
        </w:rPr>
        <w:drawing>
          <wp:inline distT="0" distB="0" distL="0" distR="0">
            <wp:extent cx="6040354" cy="4713270"/>
            <wp:effectExtent l="19050" t="0" r="0"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l="9512" r="9512"/>
                    <a:stretch>
                      <a:fillRect/>
                    </a:stretch>
                  </pic:blipFill>
                  <pic:spPr bwMode="auto">
                    <a:xfrm>
                      <a:off x="0" y="0"/>
                      <a:ext cx="6040354" cy="4713270"/>
                    </a:xfrm>
                    <a:prstGeom prst="rect">
                      <a:avLst/>
                    </a:prstGeom>
                    <a:noFill/>
                    <a:ln w="9525">
                      <a:noFill/>
                      <a:miter lim="800000"/>
                      <a:headEnd/>
                      <a:tailEnd/>
                    </a:ln>
                  </pic:spPr>
                </pic:pic>
              </a:graphicData>
            </a:graphic>
          </wp:inline>
        </w:drawing>
      </w:r>
    </w:p>
    <w:p w:rsidR="0082191E" w:rsidRPr="007539D7" w:rsidRDefault="0082191E" w:rsidP="00412599">
      <w:pPr>
        <w:pStyle w:val="figurenotes"/>
      </w:pPr>
      <w:r>
        <w:t xml:space="preserve">Source: </w:t>
      </w:r>
      <w:r w:rsidR="00D56429">
        <w:t>ADM et al.</w:t>
      </w:r>
      <w:r w:rsidR="00D56429" w:rsidRPr="007539D7">
        <w:t xml:space="preserve"> 2010; </w:t>
      </w:r>
      <w:r w:rsidRPr="007539D7">
        <w:t>Itr</w:t>
      </w:r>
      <w:r w:rsidR="009D117C">
        <w:t xml:space="preserve">on et al. 2010; SBW Consulting et al. 2010; </w:t>
      </w:r>
      <w:r w:rsidRPr="007539D7">
        <w:t>Summit Blue et al., 2010</w:t>
      </w:r>
    </w:p>
    <w:p w:rsidR="009E31D8" w:rsidRPr="007539D7" w:rsidRDefault="009E31D8" w:rsidP="007539D7">
      <w:pPr>
        <w:pStyle w:val="tabletitle"/>
        <w:ind w:firstLine="0"/>
        <w:jc w:val="both"/>
      </w:pPr>
    </w:p>
    <w:p w:rsidR="00DF7463" w:rsidRDefault="00DF7463" w:rsidP="007539D7">
      <w:pPr>
        <w:pStyle w:val="Heading1"/>
      </w:pPr>
      <w:r w:rsidRPr="007539D7">
        <w:t>Measure-Specific</w:t>
      </w:r>
      <w:r w:rsidR="00864DC0" w:rsidRPr="007539D7">
        <w:t xml:space="preserve"> Realization Rates and</w:t>
      </w:r>
      <w:r w:rsidRPr="007539D7">
        <w:t xml:space="preserve"> Reasons for Differences between Claimed and Evaluated Savings</w:t>
      </w:r>
    </w:p>
    <w:p w:rsidR="004D76D3" w:rsidRPr="004D76D3" w:rsidRDefault="004D76D3" w:rsidP="004D76D3"/>
    <w:p w:rsidR="008C11C8" w:rsidRDefault="008C11C8" w:rsidP="007539D7">
      <w:r w:rsidRPr="007539D7">
        <w:t xml:space="preserve">The various end use categories and measure types along with the average realization rates and the primary reasons for any savings gaps are shown in Table 3. The realization rates are averages across sites only and not weighted by energy savings; these rates are meant to </w:t>
      </w:r>
      <w:r w:rsidR="00597F04" w:rsidRPr="007539D7">
        <w:t xml:space="preserve">highlight </w:t>
      </w:r>
      <w:r w:rsidR="004D76D3">
        <w:t>the relevance of reasons to measure types</w:t>
      </w:r>
      <w:r w:rsidR="00597F04" w:rsidRPr="007539D7">
        <w:t xml:space="preserve">.  </w:t>
      </w:r>
      <w:r w:rsidRPr="007539D7">
        <w:t xml:space="preserve">This parameter helps to pinpoint measure categories that estimators may want to focus on to achieve higher realization rates and better estimates.  The prevalence of each primary reason is instructive across end uses and measure categories. </w:t>
      </w:r>
    </w:p>
    <w:p w:rsidR="00171B42" w:rsidRPr="007539D7" w:rsidRDefault="00171B42" w:rsidP="007539D7"/>
    <w:p w:rsidR="00171B42" w:rsidRDefault="00171B42">
      <w:pPr>
        <w:ind w:firstLine="0"/>
        <w:jc w:val="left"/>
        <w:rPr>
          <w:b/>
          <w:bCs/>
          <w:szCs w:val="24"/>
        </w:rPr>
      </w:pPr>
      <w:r>
        <w:br w:type="page"/>
      </w:r>
    </w:p>
    <w:p w:rsidR="00F03441" w:rsidRDefault="0091226C" w:rsidP="00F03441">
      <w:pPr>
        <w:pStyle w:val="FigureTitle"/>
        <w:rPr>
          <w:bCs w:val="0"/>
        </w:rPr>
      </w:pPr>
      <w:r w:rsidRPr="00F03441">
        <w:rPr>
          <w:bCs w:val="0"/>
        </w:rPr>
        <w:lastRenderedPageBreak/>
        <w:t xml:space="preserve">Table 3: </w:t>
      </w:r>
      <w:r w:rsidR="008C11C8" w:rsidRPr="00F03441">
        <w:rPr>
          <w:bCs w:val="0"/>
        </w:rPr>
        <w:t>Prevalence of Reasons and Realization Rates across Measure Types</w:t>
      </w:r>
    </w:p>
    <w:tbl>
      <w:tblPr>
        <w:tblpPr w:leftFromText="180" w:rightFromText="180" w:vertAnchor="text" w:horzAnchor="margin" w:tblpXSpec="center" w:tblpY="315"/>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4A0"/>
      </w:tblPr>
      <w:tblGrid>
        <w:gridCol w:w="943"/>
        <w:gridCol w:w="1102"/>
        <w:gridCol w:w="643"/>
        <w:gridCol w:w="635"/>
        <w:gridCol w:w="637"/>
        <w:gridCol w:w="629"/>
        <w:gridCol w:w="727"/>
        <w:gridCol w:w="995"/>
        <w:gridCol w:w="547"/>
        <w:gridCol w:w="733"/>
        <w:gridCol w:w="637"/>
        <w:gridCol w:w="545"/>
        <w:gridCol w:w="817"/>
      </w:tblGrid>
      <w:tr w:rsidR="00F03441" w:rsidRPr="007539D7" w:rsidTr="00F03441">
        <w:trPr>
          <w:cantSplit/>
          <w:trHeight w:val="1230"/>
        </w:trPr>
        <w:tc>
          <w:tcPr>
            <w:tcW w:w="492" w:type="pct"/>
            <w:shd w:val="pct20" w:color="auto" w:fill="auto"/>
            <w:vAlign w:val="bottom"/>
          </w:tcPr>
          <w:p w:rsidR="00F03441" w:rsidRPr="007539D7" w:rsidRDefault="00F03441" w:rsidP="00F03441">
            <w:pPr>
              <w:pStyle w:val="tabletext"/>
              <w:ind w:firstLine="0"/>
              <w:jc w:val="center"/>
              <w:rPr>
                <w:b/>
                <w:sz w:val="18"/>
                <w:szCs w:val="18"/>
              </w:rPr>
            </w:pPr>
            <w:r w:rsidRPr="007539D7">
              <w:rPr>
                <w:b/>
                <w:sz w:val="18"/>
                <w:szCs w:val="18"/>
              </w:rPr>
              <w:t>End Use</w:t>
            </w:r>
          </w:p>
        </w:tc>
        <w:tc>
          <w:tcPr>
            <w:tcW w:w="575" w:type="pct"/>
            <w:shd w:val="pct20" w:color="auto" w:fill="auto"/>
            <w:textDirection w:val="btLr"/>
            <w:vAlign w:val="center"/>
          </w:tcPr>
          <w:p w:rsidR="00F03441" w:rsidRPr="007539D7" w:rsidRDefault="00F03441" w:rsidP="00F03441">
            <w:pPr>
              <w:pStyle w:val="tabletext"/>
              <w:ind w:left="113" w:right="113" w:firstLine="0"/>
              <w:jc w:val="center"/>
              <w:rPr>
                <w:b/>
                <w:sz w:val="18"/>
                <w:szCs w:val="18"/>
              </w:rPr>
            </w:pPr>
            <w:r w:rsidRPr="007539D7">
              <w:rPr>
                <w:b/>
                <w:sz w:val="18"/>
                <w:szCs w:val="18"/>
              </w:rPr>
              <w:t>Measure</w:t>
            </w:r>
          </w:p>
          <w:p w:rsidR="00F03441" w:rsidRPr="007539D7" w:rsidRDefault="00F03441" w:rsidP="00F03441">
            <w:pPr>
              <w:pStyle w:val="tabletext"/>
              <w:ind w:left="113" w:right="113" w:firstLine="0"/>
              <w:jc w:val="center"/>
              <w:rPr>
                <w:b/>
                <w:sz w:val="18"/>
                <w:szCs w:val="18"/>
              </w:rPr>
            </w:pPr>
            <w:r w:rsidRPr="007539D7">
              <w:rPr>
                <w:b/>
                <w:sz w:val="18"/>
                <w:szCs w:val="18"/>
              </w:rPr>
              <w:t>Type</w:t>
            </w:r>
          </w:p>
        </w:tc>
        <w:tc>
          <w:tcPr>
            <w:tcW w:w="335" w:type="pct"/>
            <w:shd w:val="pct20" w:color="auto" w:fill="auto"/>
            <w:textDirection w:val="btLr"/>
            <w:vAlign w:val="bottom"/>
          </w:tcPr>
          <w:p w:rsidR="00F03441" w:rsidRPr="007539D7" w:rsidRDefault="00F03441" w:rsidP="00F03441">
            <w:pPr>
              <w:pStyle w:val="tabletext"/>
              <w:ind w:left="113" w:right="113" w:firstLine="0"/>
              <w:jc w:val="center"/>
              <w:rPr>
                <w:b/>
                <w:sz w:val="18"/>
                <w:szCs w:val="18"/>
              </w:rPr>
            </w:pPr>
            <w:r w:rsidRPr="007539D7">
              <w:rPr>
                <w:b/>
                <w:sz w:val="18"/>
                <w:szCs w:val="18"/>
              </w:rPr>
              <w:t>No. of Sites</w:t>
            </w:r>
          </w:p>
        </w:tc>
        <w:tc>
          <w:tcPr>
            <w:tcW w:w="331" w:type="pct"/>
            <w:shd w:val="pct20" w:color="auto" w:fill="auto"/>
            <w:textDirection w:val="btLr"/>
            <w:vAlign w:val="bottom"/>
          </w:tcPr>
          <w:p w:rsidR="00F03441" w:rsidRPr="007539D7" w:rsidRDefault="00F03441" w:rsidP="00F03441">
            <w:pPr>
              <w:pStyle w:val="tabletext"/>
              <w:ind w:left="113" w:right="113" w:firstLine="0"/>
              <w:jc w:val="center"/>
              <w:rPr>
                <w:b/>
                <w:sz w:val="18"/>
                <w:szCs w:val="18"/>
              </w:rPr>
            </w:pPr>
            <w:r w:rsidRPr="007539D7">
              <w:rPr>
                <w:b/>
                <w:sz w:val="18"/>
                <w:szCs w:val="18"/>
              </w:rPr>
              <w:t>RR</w:t>
            </w:r>
          </w:p>
          <w:p w:rsidR="00F03441" w:rsidRPr="007539D7" w:rsidRDefault="00F03441" w:rsidP="00F03441">
            <w:pPr>
              <w:pStyle w:val="tabletext"/>
              <w:ind w:left="113" w:right="113" w:firstLine="0"/>
              <w:jc w:val="center"/>
              <w:rPr>
                <w:b/>
                <w:sz w:val="18"/>
                <w:szCs w:val="18"/>
              </w:rPr>
            </w:pPr>
            <w:r w:rsidRPr="007539D7">
              <w:rPr>
                <w:b/>
                <w:sz w:val="18"/>
                <w:szCs w:val="18"/>
              </w:rPr>
              <w:t>kWh</w:t>
            </w:r>
          </w:p>
        </w:tc>
        <w:tc>
          <w:tcPr>
            <w:tcW w:w="332" w:type="pct"/>
            <w:shd w:val="pct20" w:color="auto" w:fill="auto"/>
            <w:textDirection w:val="btLr"/>
            <w:vAlign w:val="bottom"/>
          </w:tcPr>
          <w:p w:rsidR="00F03441" w:rsidRPr="007539D7" w:rsidRDefault="00F03441" w:rsidP="00F03441">
            <w:pPr>
              <w:pStyle w:val="tabletext"/>
              <w:ind w:left="113" w:right="113" w:firstLine="0"/>
              <w:jc w:val="center"/>
              <w:rPr>
                <w:b/>
                <w:sz w:val="18"/>
                <w:szCs w:val="18"/>
              </w:rPr>
            </w:pPr>
            <w:r w:rsidRPr="007539D7">
              <w:rPr>
                <w:b/>
                <w:sz w:val="18"/>
                <w:szCs w:val="18"/>
              </w:rPr>
              <w:t>RR</w:t>
            </w:r>
          </w:p>
          <w:p w:rsidR="00F03441" w:rsidRPr="007539D7" w:rsidRDefault="00F03441" w:rsidP="00F03441">
            <w:pPr>
              <w:pStyle w:val="tabletext"/>
              <w:ind w:left="113" w:right="113" w:firstLine="0"/>
              <w:jc w:val="center"/>
              <w:rPr>
                <w:b/>
                <w:sz w:val="18"/>
                <w:szCs w:val="18"/>
              </w:rPr>
            </w:pPr>
            <w:r w:rsidRPr="007539D7">
              <w:rPr>
                <w:b/>
                <w:sz w:val="18"/>
                <w:szCs w:val="18"/>
              </w:rPr>
              <w:t>kW</w:t>
            </w:r>
          </w:p>
        </w:tc>
        <w:tc>
          <w:tcPr>
            <w:tcW w:w="328" w:type="pct"/>
            <w:shd w:val="pct20" w:color="auto" w:fill="auto"/>
            <w:textDirection w:val="btLr"/>
            <w:vAlign w:val="bottom"/>
          </w:tcPr>
          <w:p w:rsidR="00F03441" w:rsidRPr="007539D7" w:rsidRDefault="00F03441" w:rsidP="00F03441">
            <w:pPr>
              <w:pStyle w:val="tabletext"/>
              <w:ind w:left="113" w:right="113" w:firstLine="0"/>
              <w:jc w:val="center"/>
              <w:rPr>
                <w:b/>
                <w:sz w:val="18"/>
                <w:szCs w:val="18"/>
              </w:rPr>
            </w:pPr>
            <w:r w:rsidRPr="007539D7">
              <w:rPr>
                <w:b/>
                <w:sz w:val="18"/>
                <w:szCs w:val="18"/>
              </w:rPr>
              <w:t>RR</w:t>
            </w:r>
          </w:p>
          <w:p w:rsidR="00F03441" w:rsidRPr="007539D7" w:rsidRDefault="00F03441" w:rsidP="00F03441">
            <w:pPr>
              <w:pStyle w:val="tabletext"/>
              <w:ind w:left="113" w:right="113" w:firstLine="0"/>
              <w:jc w:val="center"/>
              <w:rPr>
                <w:b/>
                <w:sz w:val="18"/>
                <w:szCs w:val="18"/>
              </w:rPr>
            </w:pPr>
            <w:r w:rsidRPr="007539D7">
              <w:rPr>
                <w:b/>
                <w:sz w:val="18"/>
                <w:szCs w:val="18"/>
              </w:rPr>
              <w:t>Therms</w:t>
            </w:r>
          </w:p>
        </w:tc>
        <w:tc>
          <w:tcPr>
            <w:tcW w:w="379" w:type="pct"/>
            <w:shd w:val="pct20" w:color="auto" w:fill="auto"/>
            <w:textDirection w:val="btLr"/>
            <w:vAlign w:val="bottom"/>
          </w:tcPr>
          <w:p w:rsidR="00F03441" w:rsidRPr="007539D7" w:rsidRDefault="00F03441" w:rsidP="00F03441">
            <w:pPr>
              <w:pStyle w:val="tabletext"/>
              <w:ind w:left="113" w:right="113" w:firstLine="0"/>
              <w:jc w:val="center"/>
              <w:rPr>
                <w:b/>
                <w:sz w:val="18"/>
                <w:szCs w:val="18"/>
              </w:rPr>
            </w:pPr>
            <w:r w:rsidRPr="007539D7">
              <w:rPr>
                <w:b/>
                <w:sz w:val="18"/>
                <w:szCs w:val="18"/>
              </w:rPr>
              <w:t>Ex- ante calcs RR&lt;1</w:t>
            </w:r>
          </w:p>
        </w:tc>
        <w:tc>
          <w:tcPr>
            <w:tcW w:w="519" w:type="pct"/>
            <w:shd w:val="pct20" w:color="auto" w:fill="auto"/>
            <w:textDirection w:val="btLr"/>
            <w:vAlign w:val="bottom"/>
          </w:tcPr>
          <w:p w:rsidR="00F03441" w:rsidRPr="007539D7" w:rsidRDefault="00F03441" w:rsidP="00F03441">
            <w:pPr>
              <w:pStyle w:val="tabletext"/>
              <w:ind w:left="113" w:right="113" w:firstLine="0"/>
              <w:jc w:val="center"/>
              <w:rPr>
                <w:b/>
                <w:sz w:val="18"/>
                <w:szCs w:val="18"/>
              </w:rPr>
            </w:pPr>
            <w:r w:rsidRPr="007539D7">
              <w:rPr>
                <w:b/>
                <w:sz w:val="18"/>
                <w:szCs w:val="18"/>
              </w:rPr>
              <w:t>Ex- ante input values RR&lt;1</w:t>
            </w:r>
          </w:p>
        </w:tc>
        <w:tc>
          <w:tcPr>
            <w:tcW w:w="285" w:type="pct"/>
            <w:shd w:val="pct20" w:color="auto" w:fill="auto"/>
            <w:textDirection w:val="btLr"/>
            <w:vAlign w:val="bottom"/>
          </w:tcPr>
          <w:p w:rsidR="00F03441" w:rsidRPr="007539D7" w:rsidRDefault="00F03441" w:rsidP="00F03441">
            <w:pPr>
              <w:pStyle w:val="tabletext"/>
              <w:ind w:left="113" w:right="113" w:firstLine="0"/>
              <w:jc w:val="center"/>
              <w:rPr>
                <w:b/>
                <w:sz w:val="18"/>
                <w:szCs w:val="18"/>
              </w:rPr>
            </w:pPr>
          </w:p>
          <w:p w:rsidR="00F03441" w:rsidRPr="007539D7" w:rsidRDefault="00F03441" w:rsidP="00F03441">
            <w:pPr>
              <w:pStyle w:val="tabletext"/>
              <w:ind w:left="113" w:right="113" w:firstLine="0"/>
              <w:jc w:val="center"/>
              <w:rPr>
                <w:b/>
                <w:sz w:val="18"/>
                <w:szCs w:val="18"/>
              </w:rPr>
            </w:pPr>
            <w:r w:rsidRPr="007539D7">
              <w:rPr>
                <w:b/>
                <w:sz w:val="18"/>
                <w:szCs w:val="18"/>
              </w:rPr>
              <w:t>Baseline selection</w:t>
            </w:r>
          </w:p>
        </w:tc>
        <w:tc>
          <w:tcPr>
            <w:tcW w:w="382" w:type="pct"/>
            <w:shd w:val="pct20" w:color="auto" w:fill="auto"/>
            <w:textDirection w:val="btLr"/>
            <w:vAlign w:val="bottom"/>
          </w:tcPr>
          <w:p w:rsidR="00F03441" w:rsidRPr="007539D7" w:rsidRDefault="00F03441" w:rsidP="00F03441">
            <w:pPr>
              <w:pStyle w:val="tabletext"/>
              <w:ind w:left="113" w:right="113" w:firstLine="0"/>
              <w:jc w:val="center"/>
              <w:rPr>
                <w:b/>
                <w:sz w:val="18"/>
                <w:szCs w:val="18"/>
              </w:rPr>
            </w:pPr>
          </w:p>
          <w:p w:rsidR="00F03441" w:rsidRPr="007539D7" w:rsidRDefault="00F03441" w:rsidP="00F03441">
            <w:pPr>
              <w:pStyle w:val="tabletext"/>
              <w:ind w:left="113" w:right="113" w:firstLine="0"/>
              <w:jc w:val="center"/>
              <w:rPr>
                <w:b/>
                <w:sz w:val="18"/>
                <w:szCs w:val="18"/>
              </w:rPr>
            </w:pPr>
            <w:r w:rsidRPr="007539D7">
              <w:rPr>
                <w:b/>
                <w:sz w:val="18"/>
                <w:szCs w:val="18"/>
              </w:rPr>
              <w:t>Operating hours</w:t>
            </w:r>
          </w:p>
        </w:tc>
        <w:tc>
          <w:tcPr>
            <w:tcW w:w="332" w:type="pct"/>
            <w:shd w:val="pct20" w:color="auto" w:fill="auto"/>
            <w:textDirection w:val="btLr"/>
            <w:vAlign w:val="bottom"/>
          </w:tcPr>
          <w:p w:rsidR="00F03441" w:rsidRPr="007539D7" w:rsidRDefault="00F03441" w:rsidP="00F03441">
            <w:pPr>
              <w:pStyle w:val="tabletext"/>
              <w:ind w:left="113" w:right="113" w:firstLine="0"/>
              <w:jc w:val="center"/>
              <w:rPr>
                <w:b/>
                <w:sz w:val="18"/>
                <w:szCs w:val="18"/>
              </w:rPr>
            </w:pPr>
            <w:r w:rsidRPr="007539D7">
              <w:rPr>
                <w:b/>
                <w:sz w:val="18"/>
                <w:szCs w:val="18"/>
              </w:rPr>
              <w:t>Non Functional</w:t>
            </w:r>
          </w:p>
        </w:tc>
        <w:tc>
          <w:tcPr>
            <w:tcW w:w="284" w:type="pct"/>
            <w:shd w:val="pct20" w:color="auto" w:fill="auto"/>
            <w:textDirection w:val="btLr"/>
            <w:vAlign w:val="bottom"/>
          </w:tcPr>
          <w:p w:rsidR="00F03441" w:rsidRPr="007539D7" w:rsidRDefault="00F03441" w:rsidP="00F03441">
            <w:pPr>
              <w:pStyle w:val="tabletext"/>
              <w:ind w:left="113" w:right="113" w:firstLine="0"/>
              <w:jc w:val="center"/>
              <w:rPr>
                <w:b/>
                <w:sz w:val="18"/>
                <w:szCs w:val="18"/>
              </w:rPr>
            </w:pPr>
            <w:r w:rsidRPr="007539D7">
              <w:rPr>
                <w:b/>
                <w:sz w:val="18"/>
                <w:szCs w:val="18"/>
              </w:rPr>
              <w:t>RR&gt;1 Ex-ante calcs</w:t>
            </w:r>
          </w:p>
        </w:tc>
        <w:tc>
          <w:tcPr>
            <w:tcW w:w="426" w:type="pct"/>
            <w:shd w:val="pct20" w:color="auto" w:fill="auto"/>
            <w:textDirection w:val="btLr"/>
          </w:tcPr>
          <w:p w:rsidR="00F03441" w:rsidRPr="007539D7" w:rsidRDefault="00F03441" w:rsidP="00F03441">
            <w:pPr>
              <w:pStyle w:val="tabletext"/>
              <w:ind w:left="113" w:right="113" w:firstLine="0"/>
              <w:jc w:val="center"/>
              <w:rPr>
                <w:b/>
                <w:sz w:val="18"/>
                <w:szCs w:val="18"/>
              </w:rPr>
            </w:pPr>
            <w:r w:rsidRPr="007539D7">
              <w:rPr>
                <w:b/>
                <w:sz w:val="18"/>
                <w:szCs w:val="18"/>
              </w:rPr>
              <w:t>RR&gt;1 Ex-ante input values</w:t>
            </w:r>
          </w:p>
        </w:tc>
      </w:tr>
      <w:tr w:rsidR="00F03441" w:rsidRPr="007539D7" w:rsidTr="00F03441">
        <w:trPr>
          <w:trHeight w:val="422"/>
        </w:trPr>
        <w:tc>
          <w:tcPr>
            <w:tcW w:w="492" w:type="pct"/>
            <w:vMerge w:val="restart"/>
            <w:vAlign w:val="center"/>
          </w:tcPr>
          <w:p w:rsidR="00F03441" w:rsidRPr="007539D7" w:rsidRDefault="00F03441" w:rsidP="00F03441">
            <w:pPr>
              <w:pStyle w:val="tabletext"/>
              <w:ind w:firstLine="0"/>
              <w:jc w:val="center"/>
              <w:rPr>
                <w:b/>
                <w:sz w:val="18"/>
                <w:szCs w:val="18"/>
              </w:rPr>
            </w:pPr>
            <w:r w:rsidRPr="007539D7">
              <w:rPr>
                <w:b/>
                <w:sz w:val="18"/>
                <w:szCs w:val="18"/>
              </w:rPr>
              <w:t>Lighting</w:t>
            </w:r>
          </w:p>
        </w:tc>
        <w:tc>
          <w:tcPr>
            <w:tcW w:w="575" w:type="pct"/>
            <w:vAlign w:val="center"/>
          </w:tcPr>
          <w:p w:rsidR="00F03441" w:rsidRPr="007539D7" w:rsidRDefault="00F03441" w:rsidP="00F03441">
            <w:pPr>
              <w:autoSpaceDE w:val="0"/>
              <w:autoSpaceDN w:val="0"/>
              <w:adjustRightInd w:val="0"/>
              <w:ind w:firstLine="0"/>
              <w:jc w:val="left"/>
              <w:rPr>
                <w:color w:val="000000"/>
                <w:sz w:val="18"/>
                <w:szCs w:val="18"/>
              </w:rPr>
            </w:pPr>
            <w:r w:rsidRPr="007539D7">
              <w:rPr>
                <w:color w:val="000000"/>
                <w:sz w:val="18"/>
                <w:szCs w:val="18"/>
              </w:rPr>
              <w:t>Fluorescent</w:t>
            </w:r>
          </w:p>
        </w:tc>
        <w:tc>
          <w:tcPr>
            <w:tcW w:w="335"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22</w:t>
            </w:r>
          </w:p>
        </w:tc>
        <w:tc>
          <w:tcPr>
            <w:tcW w:w="331"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0.93</w:t>
            </w:r>
          </w:p>
        </w:tc>
        <w:tc>
          <w:tcPr>
            <w:tcW w:w="33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0.77</w:t>
            </w:r>
          </w:p>
        </w:tc>
        <w:tc>
          <w:tcPr>
            <w:tcW w:w="328"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w:t>
            </w:r>
          </w:p>
        </w:tc>
        <w:tc>
          <w:tcPr>
            <w:tcW w:w="379"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2</w:t>
            </w:r>
          </w:p>
        </w:tc>
        <w:tc>
          <w:tcPr>
            <w:tcW w:w="519"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w:t>
            </w:r>
          </w:p>
        </w:tc>
        <w:tc>
          <w:tcPr>
            <w:tcW w:w="285"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w:t>
            </w:r>
          </w:p>
        </w:tc>
        <w:tc>
          <w:tcPr>
            <w:tcW w:w="38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5</w:t>
            </w:r>
          </w:p>
        </w:tc>
        <w:tc>
          <w:tcPr>
            <w:tcW w:w="33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w:t>
            </w:r>
          </w:p>
        </w:tc>
        <w:tc>
          <w:tcPr>
            <w:tcW w:w="284"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w:t>
            </w:r>
          </w:p>
        </w:tc>
        <w:tc>
          <w:tcPr>
            <w:tcW w:w="426"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13</w:t>
            </w:r>
          </w:p>
        </w:tc>
      </w:tr>
      <w:tr w:rsidR="00F03441" w:rsidRPr="007539D7" w:rsidTr="00F03441">
        <w:trPr>
          <w:trHeight w:val="151"/>
        </w:trPr>
        <w:tc>
          <w:tcPr>
            <w:tcW w:w="492" w:type="pct"/>
            <w:vMerge/>
            <w:vAlign w:val="bottom"/>
          </w:tcPr>
          <w:p w:rsidR="00F03441" w:rsidRPr="007539D7" w:rsidRDefault="00F03441" w:rsidP="00F03441">
            <w:pPr>
              <w:pStyle w:val="tabletext"/>
              <w:ind w:firstLine="0"/>
              <w:jc w:val="center"/>
              <w:rPr>
                <w:b/>
                <w:sz w:val="18"/>
                <w:szCs w:val="18"/>
              </w:rPr>
            </w:pPr>
          </w:p>
        </w:tc>
        <w:tc>
          <w:tcPr>
            <w:tcW w:w="575" w:type="pct"/>
            <w:vAlign w:val="center"/>
          </w:tcPr>
          <w:p w:rsidR="00F03441" w:rsidRPr="007539D7" w:rsidRDefault="00F03441" w:rsidP="00F03441">
            <w:pPr>
              <w:autoSpaceDE w:val="0"/>
              <w:autoSpaceDN w:val="0"/>
              <w:adjustRightInd w:val="0"/>
              <w:ind w:firstLine="0"/>
              <w:jc w:val="left"/>
              <w:rPr>
                <w:color w:val="000000"/>
                <w:sz w:val="18"/>
                <w:szCs w:val="18"/>
              </w:rPr>
            </w:pPr>
            <w:r w:rsidRPr="007539D7">
              <w:rPr>
                <w:color w:val="000000"/>
                <w:sz w:val="18"/>
                <w:szCs w:val="18"/>
              </w:rPr>
              <w:t>High Bay</w:t>
            </w:r>
          </w:p>
        </w:tc>
        <w:tc>
          <w:tcPr>
            <w:tcW w:w="335"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8</w:t>
            </w:r>
          </w:p>
        </w:tc>
        <w:tc>
          <w:tcPr>
            <w:tcW w:w="331"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0.81</w:t>
            </w:r>
          </w:p>
        </w:tc>
        <w:tc>
          <w:tcPr>
            <w:tcW w:w="33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0.89</w:t>
            </w:r>
          </w:p>
        </w:tc>
        <w:tc>
          <w:tcPr>
            <w:tcW w:w="328"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w:t>
            </w:r>
          </w:p>
        </w:tc>
        <w:tc>
          <w:tcPr>
            <w:tcW w:w="379"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w:t>
            </w:r>
          </w:p>
        </w:tc>
        <w:tc>
          <w:tcPr>
            <w:tcW w:w="519"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w:t>
            </w:r>
          </w:p>
        </w:tc>
        <w:tc>
          <w:tcPr>
            <w:tcW w:w="285"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w:t>
            </w:r>
          </w:p>
        </w:tc>
        <w:tc>
          <w:tcPr>
            <w:tcW w:w="38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5</w:t>
            </w:r>
          </w:p>
        </w:tc>
        <w:tc>
          <w:tcPr>
            <w:tcW w:w="33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w:t>
            </w:r>
          </w:p>
        </w:tc>
        <w:tc>
          <w:tcPr>
            <w:tcW w:w="284"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w:t>
            </w:r>
          </w:p>
        </w:tc>
        <w:tc>
          <w:tcPr>
            <w:tcW w:w="426"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3</w:t>
            </w:r>
          </w:p>
        </w:tc>
      </w:tr>
      <w:tr w:rsidR="00F03441" w:rsidRPr="007539D7" w:rsidTr="00F03441">
        <w:trPr>
          <w:trHeight w:val="151"/>
        </w:trPr>
        <w:tc>
          <w:tcPr>
            <w:tcW w:w="492" w:type="pct"/>
            <w:vMerge/>
            <w:vAlign w:val="bottom"/>
          </w:tcPr>
          <w:p w:rsidR="00F03441" w:rsidRPr="007539D7" w:rsidRDefault="00F03441" w:rsidP="00F03441">
            <w:pPr>
              <w:pStyle w:val="tabletext"/>
              <w:ind w:firstLine="0"/>
              <w:jc w:val="center"/>
              <w:rPr>
                <w:b/>
                <w:sz w:val="18"/>
                <w:szCs w:val="18"/>
              </w:rPr>
            </w:pPr>
          </w:p>
        </w:tc>
        <w:tc>
          <w:tcPr>
            <w:tcW w:w="575" w:type="pct"/>
            <w:vAlign w:val="center"/>
          </w:tcPr>
          <w:p w:rsidR="00F03441" w:rsidRPr="007539D7" w:rsidRDefault="00F03441" w:rsidP="00F03441">
            <w:pPr>
              <w:autoSpaceDE w:val="0"/>
              <w:autoSpaceDN w:val="0"/>
              <w:adjustRightInd w:val="0"/>
              <w:ind w:firstLine="0"/>
              <w:jc w:val="left"/>
              <w:rPr>
                <w:color w:val="000000"/>
                <w:sz w:val="18"/>
                <w:szCs w:val="18"/>
              </w:rPr>
            </w:pPr>
            <w:r w:rsidRPr="007539D7">
              <w:rPr>
                <w:color w:val="000000"/>
                <w:sz w:val="18"/>
                <w:szCs w:val="18"/>
              </w:rPr>
              <w:t>Controls</w:t>
            </w:r>
          </w:p>
        </w:tc>
        <w:tc>
          <w:tcPr>
            <w:tcW w:w="335"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4</w:t>
            </w:r>
          </w:p>
        </w:tc>
        <w:tc>
          <w:tcPr>
            <w:tcW w:w="331"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0.87</w:t>
            </w:r>
          </w:p>
        </w:tc>
        <w:tc>
          <w:tcPr>
            <w:tcW w:w="33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0.57</w:t>
            </w:r>
          </w:p>
        </w:tc>
        <w:tc>
          <w:tcPr>
            <w:tcW w:w="328"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w:t>
            </w:r>
          </w:p>
        </w:tc>
        <w:tc>
          <w:tcPr>
            <w:tcW w:w="379"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w:t>
            </w:r>
          </w:p>
        </w:tc>
        <w:tc>
          <w:tcPr>
            <w:tcW w:w="519"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w:t>
            </w:r>
          </w:p>
        </w:tc>
        <w:tc>
          <w:tcPr>
            <w:tcW w:w="285"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w:t>
            </w:r>
          </w:p>
        </w:tc>
        <w:tc>
          <w:tcPr>
            <w:tcW w:w="38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2</w:t>
            </w:r>
          </w:p>
        </w:tc>
        <w:tc>
          <w:tcPr>
            <w:tcW w:w="33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w:t>
            </w:r>
          </w:p>
        </w:tc>
        <w:tc>
          <w:tcPr>
            <w:tcW w:w="284"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w:t>
            </w:r>
          </w:p>
        </w:tc>
        <w:tc>
          <w:tcPr>
            <w:tcW w:w="426"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w:t>
            </w:r>
          </w:p>
        </w:tc>
      </w:tr>
      <w:tr w:rsidR="00F03441" w:rsidRPr="007539D7" w:rsidTr="00F03441">
        <w:trPr>
          <w:trHeight w:val="151"/>
        </w:trPr>
        <w:tc>
          <w:tcPr>
            <w:tcW w:w="492" w:type="pct"/>
            <w:vMerge/>
            <w:vAlign w:val="bottom"/>
          </w:tcPr>
          <w:p w:rsidR="00F03441" w:rsidRPr="007539D7" w:rsidRDefault="00F03441" w:rsidP="00F03441">
            <w:pPr>
              <w:pStyle w:val="tabletext"/>
              <w:ind w:firstLine="0"/>
              <w:jc w:val="center"/>
              <w:rPr>
                <w:b/>
                <w:sz w:val="18"/>
                <w:szCs w:val="18"/>
              </w:rPr>
            </w:pPr>
          </w:p>
        </w:tc>
        <w:tc>
          <w:tcPr>
            <w:tcW w:w="575" w:type="pct"/>
            <w:vAlign w:val="center"/>
          </w:tcPr>
          <w:p w:rsidR="00F03441" w:rsidRPr="007539D7" w:rsidRDefault="00F03441" w:rsidP="00F03441">
            <w:pPr>
              <w:autoSpaceDE w:val="0"/>
              <w:autoSpaceDN w:val="0"/>
              <w:adjustRightInd w:val="0"/>
              <w:ind w:firstLine="0"/>
              <w:jc w:val="left"/>
              <w:rPr>
                <w:color w:val="000000"/>
                <w:sz w:val="18"/>
                <w:szCs w:val="18"/>
              </w:rPr>
            </w:pPr>
            <w:r w:rsidRPr="007539D7">
              <w:rPr>
                <w:color w:val="000000"/>
                <w:sz w:val="18"/>
                <w:szCs w:val="18"/>
              </w:rPr>
              <w:t>Other</w:t>
            </w:r>
          </w:p>
        </w:tc>
        <w:tc>
          <w:tcPr>
            <w:tcW w:w="335"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w:t>
            </w:r>
          </w:p>
        </w:tc>
        <w:tc>
          <w:tcPr>
            <w:tcW w:w="331"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1.05</w:t>
            </w:r>
          </w:p>
        </w:tc>
        <w:tc>
          <w:tcPr>
            <w:tcW w:w="33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0.93</w:t>
            </w:r>
          </w:p>
        </w:tc>
        <w:tc>
          <w:tcPr>
            <w:tcW w:w="328"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w:t>
            </w:r>
          </w:p>
        </w:tc>
        <w:tc>
          <w:tcPr>
            <w:tcW w:w="379"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w:t>
            </w:r>
          </w:p>
        </w:tc>
        <w:tc>
          <w:tcPr>
            <w:tcW w:w="519"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w:t>
            </w:r>
          </w:p>
        </w:tc>
        <w:tc>
          <w:tcPr>
            <w:tcW w:w="285"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w:t>
            </w:r>
          </w:p>
        </w:tc>
        <w:tc>
          <w:tcPr>
            <w:tcW w:w="38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w:t>
            </w:r>
          </w:p>
        </w:tc>
        <w:tc>
          <w:tcPr>
            <w:tcW w:w="33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w:t>
            </w:r>
          </w:p>
        </w:tc>
        <w:tc>
          <w:tcPr>
            <w:tcW w:w="284"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w:t>
            </w:r>
          </w:p>
        </w:tc>
        <w:tc>
          <w:tcPr>
            <w:tcW w:w="426"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w:t>
            </w:r>
          </w:p>
        </w:tc>
      </w:tr>
      <w:tr w:rsidR="00F03441" w:rsidRPr="007539D7" w:rsidTr="00F03441">
        <w:trPr>
          <w:trHeight w:val="422"/>
        </w:trPr>
        <w:tc>
          <w:tcPr>
            <w:tcW w:w="492" w:type="pct"/>
            <w:vMerge w:val="restart"/>
            <w:vAlign w:val="center"/>
          </w:tcPr>
          <w:p w:rsidR="00F03441" w:rsidRPr="007539D7" w:rsidRDefault="00F03441" w:rsidP="00F03441">
            <w:pPr>
              <w:pStyle w:val="tabletext"/>
              <w:ind w:firstLine="0"/>
              <w:jc w:val="center"/>
              <w:rPr>
                <w:b/>
                <w:sz w:val="18"/>
                <w:szCs w:val="18"/>
              </w:rPr>
            </w:pPr>
            <w:r w:rsidRPr="007539D7">
              <w:rPr>
                <w:b/>
                <w:sz w:val="18"/>
                <w:szCs w:val="18"/>
              </w:rPr>
              <w:t>HVAC</w:t>
            </w:r>
          </w:p>
        </w:tc>
        <w:tc>
          <w:tcPr>
            <w:tcW w:w="575" w:type="pct"/>
            <w:vAlign w:val="center"/>
          </w:tcPr>
          <w:p w:rsidR="00F03441" w:rsidRPr="007539D7" w:rsidRDefault="00F03441" w:rsidP="00F03441">
            <w:pPr>
              <w:autoSpaceDE w:val="0"/>
              <w:autoSpaceDN w:val="0"/>
              <w:adjustRightInd w:val="0"/>
              <w:ind w:firstLine="0"/>
              <w:jc w:val="left"/>
              <w:rPr>
                <w:color w:val="000000"/>
                <w:sz w:val="18"/>
                <w:szCs w:val="18"/>
              </w:rPr>
            </w:pPr>
            <w:r w:rsidRPr="007539D7">
              <w:rPr>
                <w:color w:val="000000"/>
                <w:sz w:val="18"/>
                <w:szCs w:val="18"/>
              </w:rPr>
              <w:t>Chiller</w:t>
            </w:r>
          </w:p>
        </w:tc>
        <w:tc>
          <w:tcPr>
            <w:tcW w:w="335"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11</w:t>
            </w:r>
          </w:p>
        </w:tc>
        <w:tc>
          <w:tcPr>
            <w:tcW w:w="331"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0.92</w:t>
            </w:r>
          </w:p>
        </w:tc>
        <w:tc>
          <w:tcPr>
            <w:tcW w:w="33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0.67</w:t>
            </w:r>
          </w:p>
        </w:tc>
        <w:tc>
          <w:tcPr>
            <w:tcW w:w="328"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w:t>
            </w:r>
          </w:p>
        </w:tc>
        <w:tc>
          <w:tcPr>
            <w:tcW w:w="379"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w:t>
            </w:r>
          </w:p>
        </w:tc>
        <w:tc>
          <w:tcPr>
            <w:tcW w:w="519"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2</w:t>
            </w:r>
          </w:p>
        </w:tc>
        <w:tc>
          <w:tcPr>
            <w:tcW w:w="285"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4</w:t>
            </w:r>
          </w:p>
        </w:tc>
        <w:tc>
          <w:tcPr>
            <w:tcW w:w="38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w:t>
            </w:r>
          </w:p>
        </w:tc>
        <w:tc>
          <w:tcPr>
            <w:tcW w:w="33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w:t>
            </w:r>
          </w:p>
        </w:tc>
        <w:tc>
          <w:tcPr>
            <w:tcW w:w="284"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2</w:t>
            </w:r>
          </w:p>
        </w:tc>
        <w:tc>
          <w:tcPr>
            <w:tcW w:w="426"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w:t>
            </w:r>
          </w:p>
        </w:tc>
      </w:tr>
      <w:tr w:rsidR="00F03441" w:rsidRPr="007539D7" w:rsidTr="00F03441">
        <w:trPr>
          <w:trHeight w:val="151"/>
        </w:trPr>
        <w:tc>
          <w:tcPr>
            <w:tcW w:w="492" w:type="pct"/>
            <w:vMerge/>
            <w:vAlign w:val="bottom"/>
          </w:tcPr>
          <w:p w:rsidR="00F03441" w:rsidRPr="007539D7" w:rsidRDefault="00F03441" w:rsidP="00F03441">
            <w:pPr>
              <w:pStyle w:val="tabletext"/>
              <w:ind w:firstLine="0"/>
              <w:jc w:val="center"/>
              <w:rPr>
                <w:b/>
                <w:sz w:val="18"/>
                <w:szCs w:val="18"/>
              </w:rPr>
            </w:pPr>
          </w:p>
        </w:tc>
        <w:tc>
          <w:tcPr>
            <w:tcW w:w="575" w:type="pct"/>
            <w:vAlign w:val="center"/>
          </w:tcPr>
          <w:p w:rsidR="00F03441" w:rsidRPr="007539D7" w:rsidRDefault="00F03441" w:rsidP="00F03441">
            <w:pPr>
              <w:autoSpaceDE w:val="0"/>
              <w:autoSpaceDN w:val="0"/>
              <w:adjustRightInd w:val="0"/>
              <w:ind w:firstLine="0"/>
              <w:jc w:val="left"/>
              <w:rPr>
                <w:color w:val="000000"/>
                <w:sz w:val="18"/>
                <w:szCs w:val="18"/>
              </w:rPr>
            </w:pPr>
            <w:r w:rsidRPr="007539D7">
              <w:rPr>
                <w:color w:val="000000"/>
                <w:sz w:val="18"/>
                <w:szCs w:val="18"/>
              </w:rPr>
              <w:t>Controls</w:t>
            </w:r>
          </w:p>
        </w:tc>
        <w:tc>
          <w:tcPr>
            <w:tcW w:w="335"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25</w:t>
            </w:r>
          </w:p>
        </w:tc>
        <w:tc>
          <w:tcPr>
            <w:tcW w:w="331"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0.57</w:t>
            </w:r>
          </w:p>
        </w:tc>
        <w:tc>
          <w:tcPr>
            <w:tcW w:w="33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1.44</w:t>
            </w:r>
          </w:p>
        </w:tc>
        <w:tc>
          <w:tcPr>
            <w:tcW w:w="328"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0.80</w:t>
            </w:r>
          </w:p>
        </w:tc>
        <w:tc>
          <w:tcPr>
            <w:tcW w:w="379"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5</w:t>
            </w:r>
          </w:p>
        </w:tc>
        <w:tc>
          <w:tcPr>
            <w:tcW w:w="519"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w:t>
            </w:r>
          </w:p>
        </w:tc>
        <w:tc>
          <w:tcPr>
            <w:tcW w:w="285"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w:t>
            </w:r>
          </w:p>
        </w:tc>
        <w:tc>
          <w:tcPr>
            <w:tcW w:w="38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3</w:t>
            </w:r>
          </w:p>
        </w:tc>
        <w:tc>
          <w:tcPr>
            <w:tcW w:w="33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w:t>
            </w:r>
          </w:p>
        </w:tc>
        <w:tc>
          <w:tcPr>
            <w:tcW w:w="284"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6</w:t>
            </w:r>
          </w:p>
        </w:tc>
        <w:tc>
          <w:tcPr>
            <w:tcW w:w="426"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8</w:t>
            </w:r>
          </w:p>
        </w:tc>
      </w:tr>
      <w:tr w:rsidR="00F03441" w:rsidRPr="007539D7" w:rsidTr="00F03441">
        <w:trPr>
          <w:trHeight w:val="151"/>
        </w:trPr>
        <w:tc>
          <w:tcPr>
            <w:tcW w:w="492" w:type="pct"/>
            <w:vMerge/>
            <w:vAlign w:val="bottom"/>
          </w:tcPr>
          <w:p w:rsidR="00F03441" w:rsidRPr="007539D7" w:rsidRDefault="00F03441" w:rsidP="00F03441">
            <w:pPr>
              <w:pStyle w:val="tabletext"/>
              <w:ind w:firstLine="0"/>
              <w:jc w:val="center"/>
              <w:rPr>
                <w:b/>
                <w:sz w:val="18"/>
                <w:szCs w:val="18"/>
              </w:rPr>
            </w:pPr>
          </w:p>
        </w:tc>
        <w:tc>
          <w:tcPr>
            <w:tcW w:w="575" w:type="pct"/>
            <w:vAlign w:val="center"/>
          </w:tcPr>
          <w:p w:rsidR="00F03441" w:rsidRPr="007539D7" w:rsidRDefault="00F03441" w:rsidP="00F03441">
            <w:pPr>
              <w:autoSpaceDE w:val="0"/>
              <w:autoSpaceDN w:val="0"/>
              <w:adjustRightInd w:val="0"/>
              <w:ind w:firstLine="0"/>
              <w:jc w:val="left"/>
              <w:rPr>
                <w:color w:val="000000"/>
                <w:sz w:val="18"/>
                <w:szCs w:val="18"/>
              </w:rPr>
            </w:pPr>
            <w:r w:rsidRPr="007539D7">
              <w:rPr>
                <w:color w:val="000000"/>
                <w:sz w:val="18"/>
                <w:szCs w:val="18"/>
              </w:rPr>
              <w:t>VFD</w:t>
            </w:r>
          </w:p>
        </w:tc>
        <w:tc>
          <w:tcPr>
            <w:tcW w:w="335"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10</w:t>
            </w:r>
          </w:p>
        </w:tc>
        <w:tc>
          <w:tcPr>
            <w:tcW w:w="331"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0.79</w:t>
            </w:r>
          </w:p>
        </w:tc>
        <w:tc>
          <w:tcPr>
            <w:tcW w:w="33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0.85</w:t>
            </w:r>
          </w:p>
        </w:tc>
        <w:tc>
          <w:tcPr>
            <w:tcW w:w="328"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w:t>
            </w:r>
          </w:p>
        </w:tc>
        <w:tc>
          <w:tcPr>
            <w:tcW w:w="379"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3</w:t>
            </w:r>
          </w:p>
        </w:tc>
        <w:tc>
          <w:tcPr>
            <w:tcW w:w="519"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w:t>
            </w:r>
          </w:p>
        </w:tc>
        <w:tc>
          <w:tcPr>
            <w:tcW w:w="285"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w:t>
            </w:r>
          </w:p>
        </w:tc>
        <w:tc>
          <w:tcPr>
            <w:tcW w:w="38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w:t>
            </w:r>
          </w:p>
        </w:tc>
        <w:tc>
          <w:tcPr>
            <w:tcW w:w="33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2</w:t>
            </w:r>
          </w:p>
        </w:tc>
        <w:tc>
          <w:tcPr>
            <w:tcW w:w="284"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3</w:t>
            </w:r>
          </w:p>
        </w:tc>
        <w:tc>
          <w:tcPr>
            <w:tcW w:w="426"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w:t>
            </w:r>
          </w:p>
        </w:tc>
      </w:tr>
      <w:tr w:rsidR="00F03441" w:rsidRPr="007539D7" w:rsidTr="00F03441">
        <w:trPr>
          <w:trHeight w:val="151"/>
        </w:trPr>
        <w:tc>
          <w:tcPr>
            <w:tcW w:w="492" w:type="pct"/>
            <w:vMerge/>
            <w:vAlign w:val="bottom"/>
          </w:tcPr>
          <w:p w:rsidR="00F03441" w:rsidRPr="007539D7" w:rsidRDefault="00F03441" w:rsidP="00F03441">
            <w:pPr>
              <w:pStyle w:val="tabletext"/>
              <w:ind w:firstLine="0"/>
              <w:jc w:val="center"/>
              <w:rPr>
                <w:b/>
                <w:sz w:val="18"/>
                <w:szCs w:val="18"/>
              </w:rPr>
            </w:pPr>
          </w:p>
        </w:tc>
        <w:tc>
          <w:tcPr>
            <w:tcW w:w="575" w:type="pct"/>
            <w:vAlign w:val="center"/>
          </w:tcPr>
          <w:p w:rsidR="00F03441" w:rsidRPr="007539D7" w:rsidRDefault="00F03441" w:rsidP="00F03441">
            <w:pPr>
              <w:autoSpaceDE w:val="0"/>
              <w:autoSpaceDN w:val="0"/>
              <w:adjustRightInd w:val="0"/>
              <w:ind w:firstLine="0"/>
              <w:jc w:val="left"/>
              <w:rPr>
                <w:color w:val="000000"/>
                <w:sz w:val="18"/>
                <w:szCs w:val="18"/>
              </w:rPr>
            </w:pPr>
            <w:r w:rsidRPr="007539D7">
              <w:rPr>
                <w:color w:val="000000"/>
                <w:sz w:val="18"/>
                <w:szCs w:val="18"/>
              </w:rPr>
              <w:t>Boiler</w:t>
            </w:r>
          </w:p>
        </w:tc>
        <w:tc>
          <w:tcPr>
            <w:tcW w:w="335"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9</w:t>
            </w:r>
          </w:p>
        </w:tc>
        <w:tc>
          <w:tcPr>
            <w:tcW w:w="331" w:type="pct"/>
            <w:vAlign w:val="center"/>
          </w:tcPr>
          <w:p w:rsidR="00F03441" w:rsidRPr="007539D7" w:rsidRDefault="00F03441" w:rsidP="00F03441">
            <w:pPr>
              <w:autoSpaceDE w:val="0"/>
              <w:autoSpaceDN w:val="0"/>
              <w:adjustRightInd w:val="0"/>
              <w:ind w:firstLine="0"/>
              <w:jc w:val="center"/>
              <w:rPr>
                <w:color w:val="000000"/>
                <w:sz w:val="18"/>
                <w:szCs w:val="18"/>
              </w:rPr>
            </w:pPr>
          </w:p>
        </w:tc>
        <w:tc>
          <w:tcPr>
            <w:tcW w:w="332" w:type="pct"/>
            <w:vAlign w:val="center"/>
          </w:tcPr>
          <w:p w:rsidR="00F03441" w:rsidRPr="007539D7" w:rsidRDefault="00F03441" w:rsidP="00F03441">
            <w:pPr>
              <w:autoSpaceDE w:val="0"/>
              <w:autoSpaceDN w:val="0"/>
              <w:adjustRightInd w:val="0"/>
              <w:ind w:firstLine="0"/>
              <w:jc w:val="center"/>
              <w:rPr>
                <w:color w:val="000000"/>
                <w:sz w:val="18"/>
                <w:szCs w:val="18"/>
              </w:rPr>
            </w:pPr>
          </w:p>
        </w:tc>
        <w:tc>
          <w:tcPr>
            <w:tcW w:w="328"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0.40</w:t>
            </w:r>
          </w:p>
        </w:tc>
        <w:tc>
          <w:tcPr>
            <w:tcW w:w="379"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w:t>
            </w:r>
          </w:p>
        </w:tc>
        <w:tc>
          <w:tcPr>
            <w:tcW w:w="519"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w:t>
            </w:r>
          </w:p>
        </w:tc>
        <w:tc>
          <w:tcPr>
            <w:tcW w:w="285"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3</w:t>
            </w:r>
          </w:p>
        </w:tc>
        <w:tc>
          <w:tcPr>
            <w:tcW w:w="38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w:t>
            </w:r>
          </w:p>
        </w:tc>
        <w:tc>
          <w:tcPr>
            <w:tcW w:w="33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w:t>
            </w:r>
          </w:p>
        </w:tc>
        <w:tc>
          <w:tcPr>
            <w:tcW w:w="284"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3</w:t>
            </w:r>
          </w:p>
        </w:tc>
        <w:tc>
          <w:tcPr>
            <w:tcW w:w="426"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w:t>
            </w:r>
          </w:p>
        </w:tc>
      </w:tr>
      <w:tr w:rsidR="00F03441" w:rsidRPr="007539D7" w:rsidTr="00F03441">
        <w:trPr>
          <w:trHeight w:val="151"/>
        </w:trPr>
        <w:tc>
          <w:tcPr>
            <w:tcW w:w="492" w:type="pct"/>
            <w:vMerge/>
            <w:vAlign w:val="bottom"/>
          </w:tcPr>
          <w:p w:rsidR="00F03441" w:rsidRPr="007539D7" w:rsidRDefault="00F03441" w:rsidP="00F03441">
            <w:pPr>
              <w:pStyle w:val="tabletext"/>
              <w:ind w:firstLine="0"/>
              <w:jc w:val="center"/>
              <w:rPr>
                <w:b/>
                <w:sz w:val="18"/>
                <w:szCs w:val="18"/>
              </w:rPr>
            </w:pPr>
          </w:p>
        </w:tc>
        <w:tc>
          <w:tcPr>
            <w:tcW w:w="575" w:type="pct"/>
            <w:vAlign w:val="center"/>
          </w:tcPr>
          <w:p w:rsidR="00F03441" w:rsidRPr="007539D7" w:rsidRDefault="00F03441" w:rsidP="00F03441">
            <w:pPr>
              <w:autoSpaceDE w:val="0"/>
              <w:autoSpaceDN w:val="0"/>
              <w:adjustRightInd w:val="0"/>
              <w:ind w:firstLine="0"/>
              <w:jc w:val="left"/>
              <w:rPr>
                <w:color w:val="000000"/>
                <w:sz w:val="18"/>
                <w:szCs w:val="18"/>
              </w:rPr>
            </w:pPr>
            <w:r w:rsidRPr="007539D7">
              <w:rPr>
                <w:color w:val="000000"/>
                <w:sz w:val="18"/>
                <w:szCs w:val="18"/>
              </w:rPr>
              <w:t>Other</w:t>
            </w:r>
          </w:p>
        </w:tc>
        <w:tc>
          <w:tcPr>
            <w:tcW w:w="335"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12</w:t>
            </w:r>
          </w:p>
        </w:tc>
        <w:tc>
          <w:tcPr>
            <w:tcW w:w="331"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0.41</w:t>
            </w:r>
          </w:p>
        </w:tc>
        <w:tc>
          <w:tcPr>
            <w:tcW w:w="33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6.52</w:t>
            </w:r>
          </w:p>
        </w:tc>
        <w:tc>
          <w:tcPr>
            <w:tcW w:w="328"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w:t>
            </w:r>
          </w:p>
        </w:tc>
        <w:tc>
          <w:tcPr>
            <w:tcW w:w="379"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w:t>
            </w:r>
          </w:p>
        </w:tc>
        <w:tc>
          <w:tcPr>
            <w:tcW w:w="519"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6</w:t>
            </w:r>
          </w:p>
        </w:tc>
        <w:tc>
          <w:tcPr>
            <w:tcW w:w="285"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4</w:t>
            </w:r>
          </w:p>
        </w:tc>
        <w:tc>
          <w:tcPr>
            <w:tcW w:w="38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w:t>
            </w:r>
          </w:p>
        </w:tc>
        <w:tc>
          <w:tcPr>
            <w:tcW w:w="33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w:t>
            </w:r>
          </w:p>
        </w:tc>
        <w:tc>
          <w:tcPr>
            <w:tcW w:w="284"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w:t>
            </w:r>
          </w:p>
        </w:tc>
        <w:tc>
          <w:tcPr>
            <w:tcW w:w="426"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w:t>
            </w:r>
          </w:p>
        </w:tc>
      </w:tr>
      <w:tr w:rsidR="00F03441" w:rsidRPr="007539D7" w:rsidTr="00F03441">
        <w:trPr>
          <w:trHeight w:val="151"/>
        </w:trPr>
        <w:tc>
          <w:tcPr>
            <w:tcW w:w="492" w:type="pct"/>
            <w:vMerge/>
            <w:vAlign w:val="bottom"/>
          </w:tcPr>
          <w:p w:rsidR="00F03441" w:rsidRPr="007539D7" w:rsidRDefault="00F03441" w:rsidP="00F03441">
            <w:pPr>
              <w:pStyle w:val="tabletext"/>
              <w:ind w:firstLine="0"/>
              <w:jc w:val="center"/>
              <w:rPr>
                <w:b/>
                <w:sz w:val="18"/>
                <w:szCs w:val="18"/>
              </w:rPr>
            </w:pPr>
          </w:p>
        </w:tc>
        <w:tc>
          <w:tcPr>
            <w:tcW w:w="575" w:type="pct"/>
            <w:vAlign w:val="center"/>
          </w:tcPr>
          <w:p w:rsidR="00F03441" w:rsidRPr="007539D7" w:rsidRDefault="00F03441" w:rsidP="00F03441">
            <w:pPr>
              <w:autoSpaceDE w:val="0"/>
              <w:autoSpaceDN w:val="0"/>
              <w:adjustRightInd w:val="0"/>
              <w:ind w:firstLine="0"/>
              <w:jc w:val="left"/>
              <w:rPr>
                <w:color w:val="000000"/>
                <w:sz w:val="18"/>
                <w:szCs w:val="18"/>
              </w:rPr>
            </w:pPr>
            <w:r w:rsidRPr="007539D7">
              <w:rPr>
                <w:color w:val="000000"/>
                <w:sz w:val="18"/>
                <w:szCs w:val="18"/>
              </w:rPr>
              <w:t>Data Centers</w:t>
            </w:r>
          </w:p>
        </w:tc>
        <w:tc>
          <w:tcPr>
            <w:tcW w:w="335"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14</w:t>
            </w:r>
          </w:p>
        </w:tc>
        <w:tc>
          <w:tcPr>
            <w:tcW w:w="331"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0.79</w:t>
            </w:r>
          </w:p>
        </w:tc>
        <w:tc>
          <w:tcPr>
            <w:tcW w:w="33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0.47</w:t>
            </w:r>
          </w:p>
        </w:tc>
        <w:tc>
          <w:tcPr>
            <w:tcW w:w="328"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1.32</w:t>
            </w:r>
          </w:p>
        </w:tc>
        <w:tc>
          <w:tcPr>
            <w:tcW w:w="379"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2</w:t>
            </w:r>
          </w:p>
        </w:tc>
        <w:tc>
          <w:tcPr>
            <w:tcW w:w="519"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5</w:t>
            </w:r>
          </w:p>
        </w:tc>
        <w:tc>
          <w:tcPr>
            <w:tcW w:w="285"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5</w:t>
            </w:r>
          </w:p>
        </w:tc>
        <w:tc>
          <w:tcPr>
            <w:tcW w:w="38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w:t>
            </w:r>
          </w:p>
        </w:tc>
        <w:tc>
          <w:tcPr>
            <w:tcW w:w="33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w:t>
            </w:r>
          </w:p>
        </w:tc>
        <w:tc>
          <w:tcPr>
            <w:tcW w:w="284"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w:t>
            </w:r>
          </w:p>
        </w:tc>
        <w:tc>
          <w:tcPr>
            <w:tcW w:w="426"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w:t>
            </w:r>
          </w:p>
        </w:tc>
      </w:tr>
      <w:tr w:rsidR="00F03441" w:rsidRPr="007539D7" w:rsidTr="00F03441">
        <w:trPr>
          <w:trHeight w:val="254"/>
        </w:trPr>
        <w:tc>
          <w:tcPr>
            <w:tcW w:w="492" w:type="pct"/>
            <w:vMerge w:val="restart"/>
            <w:vAlign w:val="center"/>
          </w:tcPr>
          <w:p w:rsidR="00F03441" w:rsidRPr="007539D7" w:rsidRDefault="00F03441" w:rsidP="00F03441">
            <w:pPr>
              <w:pStyle w:val="tabletext"/>
              <w:ind w:firstLine="0"/>
              <w:jc w:val="center"/>
              <w:rPr>
                <w:b/>
                <w:bCs/>
                <w:sz w:val="18"/>
                <w:szCs w:val="18"/>
              </w:rPr>
            </w:pPr>
            <w:r w:rsidRPr="007539D7">
              <w:rPr>
                <w:b/>
                <w:sz w:val="18"/>
                <w:szCs w:val="18"/>
              </w:rPr>
              <w:t>Other</w:t>
            </w:r>
          </w:p>
        </w:tc>
        <w:tc>
          <w:tcPr>
            <w:tcW w:w="575" w:type="pct"/>
            <w:vAlign w:val="center"/>
          </w:tcPr>
          <w:p w:rsidR="00F03441" w:rsidRPr="007539D7" w:rsidRDefault="00F03441" w:rsidP="00F03441">
            <w:pPr>
              <w:autoSpaceDE w:val="0"/>
              <w:autoSpaceDN w:val="0"/>
              <w:adjustRightInd w:val="0"/>
              <w:ind w:firstLine="0"/>
              <w:jc w:val="left"/>
              <w:rPr>
                <w:color w:val="000000"/>
                <w:sz w:val="18"/>
                <w:szCs w:val="18"/>
              </w:rPr>
            </w:pPr>
            <w:r w:rsidRPr="007539D7">
              <w:rPr>
                <w:color w:val="000000"/>
                <w:sz w:val="18"/>
                <w:szCs w:val="18"/>
              </w:rPr>
              <w:t>Misc</w:t>
            </w:r>
          </w:p>
        </w:tc>
        <w:tc>
          <w:tcPr>
            <w:tcW w:w="335"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7</w:t>
            </w:r>
          </w:p>
        </w:tc>
        <w:tc>
          <w:tcPr>
            <w:tcW w:w="331"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0.66</w:t>
            </w:r>
          </w:p>
        </w:tc>
        <w:tc>
          <w:tcPr>
            <w:tcW w:w="33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1.03</w:t>
            </w:r>
          </w:p>
        </w:tc>
        <w:tc>
          <w:tcPr>
            <w:tcW w:w="328"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0.44</w:t>
            </w:r>
          </w:p>
        </w:tc>
        <w:tc>
          <w:tcPr>
            <w:tcW w:w="379"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w:t>
            </w:r>
          </w:p>
        </w:tc>
        <w:tc>
          <w:tcPr>
            <w:tcW w:w="519"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w:t>
            </w:r>
          </w:p>
        </w:tc>
        <w:tc>
          <w:tcPr>
            <w:tcW w:w="285"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2</w:t>
            </w:r>
          </w:p>
        </w:tc>
        <w:tc>
          <w:tcPr>
            <w:tcW w:w="38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w:t>
            </w:r>
          </w:p>
        </w:tc>
        <w:tc>
          <w:tcPr>
            <w:tcW w:w="33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w:t>
            </w:r>
          </w:p>
        </w:tc>
        <w:tc>
          <w:tcPr>
            <w:tcW w:w="284"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w:t>
            </w:r>
          </w:p>
        </w:tc>
        <w:tc>
          <w:tcPr>
            <w:tcW w:w="426"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2</w:t>
            </w:r>
          </w:p>
        </w:tc>
      </w:tr>
      <w:tr w:rsidR="00F03441" w:rsidRPr="007539D7" w:rsidTr="00F03441">
        <w:trPr>
          <w:trHeight w:val="254"/>
        </w:trPr>
        <w:tc>
          <w:tcPr>
            <w:tcW w:w="492" w:type="pct"/>
            <w:vMerge/>
            <w:vAlign w:val="bottom"/>
          </w:tcPr>
          <w:p w:rsidR="00F03441" w:rsidRPr="007539D7" w:rsidRDefault="00F03441" w:rsidP="00F03441">
            <w:pPr>
              <w:pStyle w:val="tabletext"/>
              <w:ind w:firstLine="0"/>
              <w:jc w:val="center"/>
              <w:rPr>
                <w:b/>
                <w:sz w:val="18"/>
                <w:szCs w:val="18"/>
              </w:rPr>
            </w:pPr>
          </w:p>
        </w:tc>
        <w:tc>
          <w:tcPr>
            <w:tcW w:w="575" w:type="pct"/>
            <w:vAlign w:val="center"/>
          </w:tcPr>
          <w:p w:rsidR="00F03441" w:rsidRPr="007539D7" w:rsidRDefault="00F03441" w:rsidP="00F03441">
            <w:pPr>
              <w:autoSpaceDE w:val="0"/>
              <w:autoSpaceDN w:val="0"/>
              <w:adjustRightInd w:val="0"/>
              <w:ind w:firstLine="0"/>
              <w:jc w:val="left"/>
              <w:rPr>
                <w:color w:val="000000"/>
                <w:sz w:val="18"/>
                <w:szCs w:val="18"/>
              </w:rPr>
            </w:pPr>
            <w:r w:rsidRPr="007539D7">
              <w:rPr>
                <w:color w:val="000000"/>
                <w:sz w:val="18"/>
                <w:szCs w:val="18"/>
              </w:rPr>
              <w:t>Servers</w:t>
            </w:r>
          </w:p>
        </w:tc>
        <w:tc>
          <w:tcPr>
            <w:tcW w:w="335"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6</w:t>
            </w:r>
          </w:p>
        </w:tc>
        <w:tc>
          <w:tcPr>
            <w:tcW w:w="331"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0.68</w:t>
            </w:r>
          </w:p>
        </w:tc>
        <w:tc>
          <w:tcPr>
            <w:tcW w:w="33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0.63</w:t>
            </w:r>
          </w:p>
        </w:tc>
        <w:tc>
          <w:tcPr>
            <w:tcW w:w="328"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w:t>
            </w:r>
          </w:p>
        </w:tc>
        <w:tc>
          <w:tcPr>
            <w:tcW w:w="379"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w:t>
            </w:r>
          </w:p>
        </w:tc>
        <w:tc>
          <w:tcPr>
            <w:tcW w:w="519"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3</w:t>
            </w:r>
          </w:p>
        </w:tc>
        <w:tc>
          <w:tcPr>
            <w:tcW w:w="285"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1</w:t>
            </w:r>
          </w:p>
        </w:tc>
        <w:tc>
          <w:tcPr>
            <w:tcW w:w="38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w:t>
            </w:r>
          </w:p>
        </w:tc>
        <w:tc>
          <w:tcPr>
            <w:tcW w:w="332"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w:t>
            </w:r>
          </w:p>
        </w:tc>
        <w:tc>
          <w:tcPr>
            <w:tcW w:w="284"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0</w:t>
            </w:r>
          </w:p>
        </w:tc>
        <w:tc>
          <w:tcPr>
            <w:tcW w:w="426" w:type="pct"/>
            <w:vAlign w:val="center"/>
          </w:tcPr>
          <w:p w:rsidR="00F03441" w:rsidRPr="007539D7" w:rsidRDefault="00F03441" w:rsidP="00F03441">
            <w:pPr>
              <w:autoSpaceDE w:val="0"/>
              <w:autoSpaceDN w:val="0"/>
              <w:adjustRightInd w:val="0"/>
              <w:ind w:firstLine="0"/>
              <w:jc w:val="center"/>
              <w:rPr>
                <w:color w:val="000000"/>
                <w:sz w:val="18"/>
                <w:szCs w:val="18"/>
              </w:rPr>
            </w:pPr>
            <w:r w:rsidRPr="007539D7">
              <w:rPr>
                <w:color w:val="000000"/>
                <w:sz w:val="18"/>
                <w:szCs w:val="18"/>
              </w:rPr>
              <w:t>2</w:t>
            </w:r>
          </w:p>
        </w:tc>
      </w:tr>
      <w:tr w:rsidR="00F03441" w:rsidRPr="007539D7" w:rsidTr="00F03441">
        <w:trPr>
          <w:trHeight w:val="254"/>
        </w:trPr>
        <w:tc>
          <w:tcPr>
            <w:tcW w:w="492" w:type="pct"/>
            <w:vAlign w:val="bottom"/>
          </w:tcPr>
          <w:p w:rsidR="00F03441" w:rsidRPr="007539D7" w:rsidRDefault="00F03441" w:rsidP="00F03441">
            <w:pPr>
              <w:pStyle w:val="tabletext"/>
              <w:ind w:firstLine="0"/>
              <w:jc w:val="center"/>
              <w:rPr>
                <w:b/>
                <w:sz w:val="18"/>
                <w:szCs w:val="18"/>
              </w:rPr>
            </w:pPr>
            <w:r w:rsidRPr="007539D7">
              <w:rPr>
                <w:b/>
                <w:sz w:val="18"/>
                <w:szCs w:val="18"/>
              </w:rPr>
              <w:t>Total</w:t>
            </w:r>
          </w:p>
        </w:tc>
        <w:tc>
          <w:tcPr>
            <w:tcW w:w="575" w:type="pct"/>
          </w:tcPr>
          <w:p w:rsidR="00F03441" w:rsidRPr="007539D7" w:rsidRDefault="00F03441" w:rsidP="00F03441">
            <w:pPr>
              <w:autoSpaceDE w:val="0"/>
              <w:autoSpaceDN w:val="0"/>
              <w:adjustRightInd w:val="0"/>
              <w:ind w:firstLine="0"/>
              <w:jc w:val="left"/>
              <w:rPr>
                <w:color w:val="000000"/>
                <w:sz w:val="18"/>
                <w:szCs w:val="18"/>
              </w:rPr>
            </w:pPr>
          </w:p>
        </w:tc>
        <w:tc>
          <w:tcPr>
            <w:tcW w:w="335" w:type="pct"/>
            <w:vAlign w:val="center"/>
          </w:tcPr>
          <w:p w:rsidR="00F03441" w:rsidRPr="007539D7" w:rsidRDefault="00F03441" w:rsidP="00F03441">
            <w:pPr>
              <w:autoSpaceDE w:val="0"/>
              <w:autoSpaceDN w:val="0"/>
              <w:adjustRightInd w:val="0"/>
              <w:ind w:firstLine="0"/>
              <w:jc w:val="center"/>
              <w:rPr>
                <w:b/>
                <w:color w:val="000000"/>
                <w:sz w:val="18"/>
                <w:szCs w:val="18"/>
              </w:rPr>
            </w:pPr>
            <w:r w:rsidRPr="007539D7">
              <w:rPr>
                <w:b/>
                <w:color w:val="000000"/>
                <w:sz w:val="18"/>
                <w:szCs w:val="18"/>
              </w:rPr>
              <w:t>129</w:t>
            </w:r>
          </w:p>
        </w:tc>
        <w:tc>
          <w:tcPr>
            <w:tcW w:w="331" w:type="pct"/>
            <w:vAlign w:val="center"/>
          </w:tcPr>
          <w:p w:rsidR="00F03441" w:rsidRPr="007539D7" w:rsidRDefault="00F03441" w:rsidP="00F03441">
            <w:pPr>
              <w:autoSpaceDE w:val="0"/>
              <w:autoSpaceDN w:val="0"/>
              <w:adjustRightInd w:val="0"/>
              <w:ind w:firstLine="0"/>
              <w:jc w:val="center"/>
              <w:rPr>
                <w:b/>
                <w:color w:val="000000"/>
                <w:sz w:val="18"/>
                <w:szCs w:val="18"/>
              </w:rPr>
            </w:pPr>
          </w:p>
        </w:tc>
        <w:tc>
          <w:tcPr>
            <w:tcW w:w="332" w:type="pct"/>
            <w:vAlign w:val="center"/>
          </w:tcPr>
          <w:p w:rsidR="00F03441" w:rsidRPr="007539D7" w:rsidRDefault="00F03441" w:rsidP="00F03441">
            <w:pPr>
              <w:autoSpaceDE w:val="0"/>
              <w:autoSpaceDN w:val="0"/>
              <w:adjustRightInd w:val="0"/>
              <w:ind w:firstLine="0"/>
              <w:jc w:val="center"/>
              <w:rPr>
                <w:b/>
                <w:color w:val="000000"/>
                <w:sz w:val="18"/>
                <w:szCs w:val="18"/>
              </w:rPr>
            </w:pPr>
          </w:p>
        </w:tc>
        <w:tc>
          <w:tcPr>
            <w:tcW w:w="328" w:type="pct"/>
            <w:vAlign w:val="center"/>
          </w:tcPr>
          <w:p w:rsidR="00F03441" w:rsidRPr="007539D7" w:rsidRDefault="00F03441" w:rsidP="00F03441">
            <w:pPr>
              <w:autoSpaceDE w:val="0"/>
              <w:autoSpaceDN w:val="0"/>
              <w:adjustRightInd w:val="0"/>
              <w:ind w:firstLine="0"/>
              <w:jc w:val="center"/>
              <w:rPr>
                <w:b/>
                <w:color w:val="000000"/>
                <w:sz w:val="18"/>
                <w:szCs w:val="18"/>
              </w:rPr>
            </w:pPr>
          </w:p>
        </w:tc>
        <w:tc>
          <w:tcPr>
            <w:tcW w:w="379" w:type="pct"/>
            <w:vAlign w:val="center"/>
          </w:tcPr>
          <w:p w:rsidR="00F03441" w:rsidRPr="007539D7" w:rsidRDefault="00F03441" w:rsidP="00F03441">
            <w:pPr>
              <w:autoSpaceDE w:val="0"/>
              <w:autoSpaceDN w:val="0"/>
              <w:adjustRightInd w:val="0"/>
              <w:ind w:firstLine="0"/>
              <w:jc w:val="center"/>
              <w:rPr>
                <w:b/>
                <w:color w:val="000000"/>
                <w:sz w:val="18"/>
                <w:szCs w:val="18"/>
              </w:rPr>
            </w:pPr>
            <w:r w:rsidRPr="007539D7">
              <w:rPr>
                <w:b/>
                <w:color w:val="000000"/>
                <w:sz w:val="18"/>
                <w:szCs w:val="18"/>
              </w:rPr>
              <w:t>16</w:t>
            </w:r>
          </w:p>
        </w:tc>
        <w:tc>
          <w:tcPr>
            <w:tcW w:w="519" w:type="pct"/>
            <w:vAlign w:val="center"/>
          </w:tcPr>
          <w:p w:rsidR="00F03441" w:rsidRPr="007539D7" w:rsidRDefault="00F03441" w:rsidP="00F03441">
            <w:pPr>
              <w:autoSpaceDE w:val="0"/>
              <w:autoSpaceDN w:val="0"/>
              <w:adjustRightInd w:val="0"/>
              <w:ind w:firstLine="0"/>
              <w:jc w:val="center"/>
              <w:rPr>
                <w:b/>
                <w:color w:val="000000"/>
                <w:sz w:val="18"/>
                <w:szCs w:val="18"/>
              </w:rPr>
            </w:pPr>
            <w:r w:rsidRPr="007539D7">
              <w:rPr>
                <w:b/>
                <w:color w:val="000000"/>
                <w:sz w:val="18"/>
                <w:szCs w:val="18"/>
              </w:rPr>
              <w:t>20</w:t>
            </w:r>
          </w:p>
        </w:tc>
        <w:tc>
          <w:tcPr>
            <w:tcW w:w="285" w:type="pct"/>
            <w:vAlign w:val="center"/>
          </w:tcPr>
          <w:p w:rsidR="00F03441" w:rsidRPr="007539D7" w:rsidRDefault="00F03441" w:rsidP="00F03441">
            <w:pPr>
              <w:autoSpaceDE w:val="0"/>
              <w:autoSpaceDN w:val="0"/>
              <w:adjustRightInd w:val="0"/>
              <w:ind w:firstLine="0"/>
              <w:jc w:val="center"/>
              <w:rPr>
                <w:b/>
                <w:color w:val="000000"/>
                <w:sz w:val="18"/>
                <w:szCs w:val="18"/>
              </w:rPr>
            </w:pPr>
            <w:r w:rsidRPr="007539D7">
              <w:rPr>
                <w:b/>
                <w:color w:val="000000"/>
                <w:sz w:val="18"/>
                <w:szCs w:val="18"/>
              </w:rPr>
              <w:t>22</w:t>
            </w:r>
          </w:p>
        </w:tc>
        <w:tc>
          <w:tcPr>
            <w:tcW w:w="382" w:type="pct"/>
            <w:vAlign w:val="center"/>
          </w:tcPr>
          <w:p w:rsidR="00F03441" w:rsidRPr="007539D7" w:rsidRDefault="00F03441" w:rsidP="00F03441">
            <w:pPr>
              <w:autoSpaceDE w:val="0"/>
              <w:autoSpaceDN w:val="0"/>
              <w:adjustRightInd w:val="0"/>
              <w:ind w:firstLine="0"/>
              <w:jc w:val="center"/>
              <w:rPr>
                <w:b/>
                <w:color w:val="000000"/>
                <w:sz w:val="18"/>
                <w:szCs w:val="18"/>
              </w:rPr>
            </w:pPr>
            <w:r w:rsidRPr="007539D7">
              <w:rPr>
                <w:b/>
                <w:color w:val="000000"/>
                <w:sz w:val="18"/>
                <w:szCs w:val="18"/>
              </w:rPr>
              <w:t>18</w:t>
            </w:r>
          </w:p>
        </w:tc>
        <w:tc>
          <w:tcPr>
            <w:tcW w:w="332" w:type="pct"/>
            <w:vAlign w:val="center"/>
          </w:tcPr>
          <w:p w:rsidR="00F03441" w:rsidRPr="007539D7" w:rsidRDefault="00F03441" w:rsidP="00F03441">
            <w:pPr>
              <w:autoSpaceDE w:val="0"/>
              <w:autoSpaceDN w:val="0"/>
              <w:adjustRightInd w:val="0"/>
              <w:ind w:firstLine="0"/>
              <w:jc w:val="center"/>
              <w:rPr>
                <w:b/>
                <w:color w:val="000000"/>
                <w:sz w:val="18"/>
                <w:szCs w:val="18"/>
              </w:rPr>
            </w:pPr>
            <w:r w:rsidRPr="007539D7">
              <w:rPr>
                <w:b/>
                <w:color w:val="000000"/>
                <w:sz w:val="18"/>
                <w:szCs w:val="18"/>
              </w:rPr>
              <w:t>8</w:t>
            </w:r>
          </w:p>
        </w:tc>
        <w:tc>
          <w:tcPr>
            <w:tcW w:w="284" w:type="pct"/>
            <w:vAlign w:val="center"/>
          </w:tcPr>
          <w:p w:rsidR="00F03441" w:rsidRPr="007539D7" w:rsidRDefault="00F03441" w:rsidP="00F03441">
            <w:pPr>
              <w:autoSpaceDE w:val="0"/>
              <w:autoSpaceDN w:val="0"/>
              <w:adjustRightInd w:val="0"/>
              <w:ind w:firstLine="0"/>
              <w:jc w:val="center"/>
              <w:rPr>
                <w:b/>
                <w:color w:val="000000"/>
                <w:sz w:val="18"/>
                <w:szCs w:val="18"/>
              </w:rPr>
            </w:pPr>
            <w:r w:rsidRPr="007539D7">
              <w:rPr>
                <w:b/>
                <w:color w:val="000000"/>
                <w:sz w:val="18"/>
                <w:szCs w:val="18"/>
              </w:rPr>
              <w:t>15</w:t>
            </w:r>
          </w:p>
        </w:tc>
        <w:tc>
          <w:tcPr>
            <w:tcW w:w="426" w:type="pct"/>
            <w:vAlign w:val="center"/>
          </w:tcPr>
          <w:p w:rsidR="00F03441" w:rsidRPr="007539D7" w:rsidRDefault="00F03441" w:rsidP="00F03441">
            <w:pPr>
              <w:autoSpaceDE w:val="0"/>
              <w:autoSpaceDN w:val="0"/>
              <w:adjustRightInd w:val="0"/>
              <w:ind w:firstLine="0"/>
              <w:jc w:val="center"/>
              <w:rPr>
                <w:b/>
                <w:color w:val="000000"/>
                <w:sz w:val="18"/>
                <w:szCs w:val="18"/>
              </w:rPr>
            </w:pPr>
            <w:r w:rsidRPr="007539D7">
              <w:rPr>
                <w:b/>
                <w:color w:val="000000"/>
                <w:sz w:val="18"/>
                <w:szCs w:val="18"/>
              </w:rPr>
              <w:t>30</w:t>
            </w:r>
          </w:p>
        </w:tc>
      </w:tr>
    </w:tbl>
    <w:p w:rsidR="00F03441" w:rsidRDefault="00F03441" w:rsidP="00F03441">
      <w:pPr>
        <w:pStyle w:val="FigureTitle"/>
        <w:rPr>
          <w:bCs w:val="0"/>
        </w:rPr>
      </w:pPr>
    </w:p>
    <w:p w:rsidR="00F03441" w:rsidRPr="00F03441" w:rsidRDefault="00F03441" w:rsidP="00F03441">
      <w:pPr>
        <w:pStyle w:val="tablenotes"/>
      </w:pPr>
      <w:r w:rsidRPr="00F03441">
        <w:t>Source: ADM et al. 2010; Itron et al. 2010; SBW Consulting et al. 2010; Summit Blue et al. 2010</w:t>
      </w:r>
    </w:p>
    <w:p w:rsidR="008C11C8" w:rsidRPr="007539D7" w:rsidRDefault="008C11C8" w:rsidP="007539D7">
      <w:r w:rsidRPr="007539D7">
        <w:t xml:space="preserve">Lighting measures had a high realization rate across measure types.  The analysis indicates that operating hours were a large cause of the realization rate </w:t>
      </w:r>
      <w:r w:rsidR="000117FF">
        <w:t>gap</w:t>
      </w:r>
      <w:r w:rsidRPr="007539D7">
        <w:t xml:space="preserve">. </w:t>
      </w:r>
      <w:r w:rsidR="000117FF">
        <w:t>Interestingly, in</w:t>
      </w:r>
      <w:r w:rsidRPr="007539D7">
        <w:t>put values caused a large number of projects to have realization rates higher than 100%. Thus, estimators may chose to focus on hours and other input values to obtain better estimates of savings. On the other hand, there were not many cases where an inappropriate calculation method (the reason listed as ‘ex-ante calculations’ was identified as a primary reason for any savings gap, and no changes – or only minor enhancements -  in that area may be appropriate.</w:t>
      </w:r>
    </w:p>
    <w:p w:rsidR="008C11C8" w:rsidRPr="007539D7" w:rsidRDefault="008C11C8" w:rsidP="007539D7">
      <w:r w:rsidRPr="007539D7">
        <w:t xml:space="preserve">The HVAC end use is instructive. Chillers showed a high realization rate for kWh and a somewhat lower rate for kW. In this instance, the analysis highlights baseline as an important consideration. HVAC measures in data centers also highlight the importance of baseline, as well as the importance of input values.  From the above summary, attention to the ex-ante (and ex-post) calculation method may be an important area to concentrate on for HVAC controls and VSDs in HVAC applications.  </w:t>
      </w:r>
    </w:p>
    <w:p w:rsidR="009B2C9D" w:rsidRPr="007539D7" w:rsidRDefault="00AF032F" w:rsidP="007539D7">
      <w:r w:rsidRPr="007539D7">
        <w:t>For non-HVAC data server</w:t>
      </w:r>
      <w:r w:rsidR="008C11C8" w:rsidRPr="007539D7">
        <w:t xml:space="preserve"> modifications and replacements, it may be instructive to c</w:t>
      </w:r>
      <w:r w:rsidRPr="007539D7">
        <w:t xml:space="preserve">oncentrate on input values as </w:t>
      </w:r>
      <w:r w:rsidR="008C11C8" w:rsidRPr="007539D7">
        <w:t xml:space="preserve">the best way to accurately estimate savings. </w:t>
      </w:r>
    </w:p>
    <w:p w:rsidR="00AC0FCA" w:rsidRPr="007539D7" w:rsidRDefault="00AC0FCA" w:rsidP="007539D7"/>
    <w:p w:rsidR="00E60743" w:rsidRDefault="00105A7F" w:rsidP="007539D7">
      <w:pPr>
        <w:pStyle w:val="Heading1"/>
      </w:pPr>
      <w:r w:rsidRPr="007539D7">
        <w:t>Suggestions for Reducing the Gap between Claimed and Evaluated Energy Savings</w:t>
      </w:r>
    </w:p>
    <w:p w:rsidR="00171B42" w:rsidRPr="00171B42" w:rsidRDefault="00171B42" w:rsidP="00171B42"/>
    <w:p w:rsidR="00132E80" w:rsidRPr="007539D7" w:rsidRDefault="00132E80" w:rsidP="007539D7">
      <w:r w:rsidRPr="007539D7">
        <w:t xml:space="preserve">Significant energy efficiency goals (in terms of the physical units of energy saved) for energy efficiency exist </w:t>
      </w:r>
      <w:r w:rsidR="0092212A" w:rsidRPr="007539D7">
        <w:t>overall and for many</w:t>
      </w:r>
      <w:r w:rsidRPr="007539D7">
        <w:t xml:space="preserve"> programs in California’s energy efficiency portfolio. The targets for</w:t>
      </w:r>
      <w:r w:rsidR="0092212A" w:rsidRPr="007539D7">
        <w:t xml:space="preserve"> commercial </w:t>
      </w:r>
      <w:r w:rsidRPr="007539D7">
        <w:t>energy efficiency programs are high. These goals</w:t>
      </w:r>
      <w:r w:rsidR="004A6D81" w:rsidRPr="007539D7">
        <w:t>, in the authors’ opinion, may at times cause a</w:t>
      </w:r>
      <w:r w:rsidRPr="007539D7">
        <w:t xml:space="preserve"> high estimation of energy savings, which </w:t>
      </w:r>
      <w:r w:rsidR="00E36251" w:rsidRPr="007539D7">
        <w:t xml:space="preserve">more closely </w:t>
      </w:r>
      <w:r w:rsidRPr="007539D7">
        <w:t>relates to a maximum value verses a realistic expected value. How do we reduce the size of this discrepancy</w:t>
      </w:r>
      <w:r w:rsidR="004A6D81" w:rsidRPr="007539D7">
        <w:t xml:space="preserve"> between claimed savings and evaluated savings</w:t>
      </w:r>
      <w:r w:rsidRPr="007539D7">
        <w:t xml:space="preserve">? </w:t>
      </w:r>
      <w:r w:rsidR="0092212A" w:rsidRPr="007539D7">
        <w:t xml:space="preserve">Focusing on gross energy savings </w:t>
      </w:r>
      <w:r w:rsidR="0092212A" w:rsidRPr="007539D7">
        <w:lastRenderedPageBreak/>
        <w:t>estimation, t</w:t>
      </w:r>
      <w:r w:rsidRPr="007539D7">
        <w:t>here are a number of questions the participants and implementers can ask as savings estimates are prepared.</w:t>
      </w:r>
    </w:p>
    <w:p w:rsidR="00132E80" w:rsidRPr="007539D7" w:rsidRDefault="00132E80" w:rsidP="00F03441">
      <w:pPr>
        <w:numPr>
          <w:ilvl w:val="1"/>
          <w:numId w:val="9"/>
        </w:numPr>
        <w:tabs>
          <w:tab w:val="clear" w:pos="2160"/>
          <w:tab w:val="num" w:pos="720"/>
        </w:tabs>
        <w:ind w:left="720" w:hanging="720"/>
      </w:pPr>
      <w:r w:rsidRPr="007539D7">
        <w:t xml:space="preserve">Is there an </w:t>
      </w:r>
      <w:r w:rsidR="0092212A" w:rsidRPr="007539D7">
        <w:t xml:space="preserve">alternate more realistic </w:t>
      </w:r>
      <w:r w:rsidRPr="007539D7">
        <w:t>baseline</w:t>
      </w:r>
      <w:r w:rsidR="0092212A" w:rsidRPr="007539D7">
        <w:t xml:space="preserve"> than the baseline presently selected</w:t>
      </w:r>
      <w:r w:rsidRPr="007539D7">
        <w:t xml:space="preserve">? </w:t>
      </w:r>
    </w:p>
    <w:p w:rsidR="00C62722" w:rsidRPr="007539D7" w:rsidRDefault="00132E80" w:rsidP="00F03441">
      <w:pPr>
        <w:numPr>
          <w:ilvl w:val="1"/>
          <w:numId w:val="9"/>
        </w:numPr>
        <w:tabs>
          <w:tab w:val="clear" w:pos="2160"/>
          <w:tab w:val="num" w:pos="720"/>
        </w:tabs>
        <w:ind w:left="720" w:hanging="720"/>
      </w:pPr>
      <w:r w:rsidRPr="007539D7">
        <w:t>What change</w:t>
      </w:r>
      <w:r w:rsidR="0092212A" w:rsidRPr="007539D7">
        <w:t xml:space="preserve">s are </w:t>
      </w:r>
      <w:r w:rsidRPr="007539D7">
        <w:t xml:space="preserve">expected in the </w:t>
      </w:r>
      <w:r w:rsidR="0092212A" w:rsidRPr="007539D7">
        <w:t xml:space="preserve">near </w:t>
      </w:r>
      <w:r w:rsidRPr="007539D7">
        <w:t xml:space="preserve">future? </w:t>
      </w:r>
      <w:r w:rsidR="00C62722" w:rsidRPr="007539D7">
        <w:t>Are input values realistic for the present conditions and into the future</w:t>
      </w:r>
      <w:r w:rsidR="00615B15" w:rsidRPr="007539D7">
        <w:t>, in light of any technical or behavioral changes that can be expected</w:t>
      </w:r>
      <w:r w:rsidR="00C62722" w:rsidRPr="007539D7">
        <w:t xml:space="preserve">? </w:t>
      </w:r>
    </w:p>
    <w:p w:rsidR="00132E80" w:rsidRPr="007539D7" w:rsidRDefault="00132E80" w:rsidP="00F03441">
      <w:pPr>
        <w:numPr>
          <w:ilvl w:val="1"/>
          <w:numId w:val="9"/>
        </w:numPr>
        <w:tabs>
          <w:tab w:val="clear" w:pos="2160"/>
          <w:tab w:val="num" w:pos="720"/>
        </w:tabs>
        <w:ind w:left="720" w:hanging="720"/>
      </w:pPr>
      <w:r w:rsidRPr="007539D7">
        <w:t>Ar</w:t>
      </w:r>
      <w:r w:rsidR="0092212A" w:rsidRPr="007539D7">
        <w:t>e all interactions - HVAC and other</w:t>
      </w:r>
      <w:r w:rsidR="004A6D81" w:rsidRPr="007539D7">
        <w:t xml:space="preserve"> interactions</w:t>
      </w:r>
      <w:r w:rsidR="0092212A" w:rsidRPr="007539D7">
        <w:t xml:space="preserve"> – accounted for</w:t>
      </w:r>
      <w:r w:rsidRPr="007539D7">
        <w:t xml:space="preserve">? </w:t>
      </w:r>
    </w:p>
    <w:p w:rsidR="00E36251" w:rsidRPr="007539D7" w:rsidRDefault="00E36251" w:rsidP="00F03441">
      <w:pPr>
        <w:numPr>
          <w:ilvl w:val="1"/>
          <w:numId w:val="9"/>
        </w:numPr>
        <w:tabs>
          <w:tab w:val="clear" w:pos="2160"/>
          <w:tab w:val="num" w:pos="720"/>
        </w:tabs>
        <w:ind w:left="720" w:hanging="720"/>
      </w:pPr>
      <w:r w:rsidRPr="007539D7">
        <w:t>Is the technical basis for each savings claim documented and believable?</w:t>
      </w:r>
    </w:p>
    <w:p w:rsidR="00A016F0" w:rsidRPr="007539D7" w:rsidRDefault="00C62722" w:rsidP="00F03441">
      <w:pPr>
        <w:numPr>
          <w:ilvl w:val="1"/>
          <w:numId w:val="9"/>
        </w:numPr>
        <w:tabs>
          <w:tab w:val="clear" w:pos="2160"/>
          <w:tab w:val="num" w:pos="720"/>
        </w:tabs>
        <w:ind w:left="720" w:hanging="720"/>
      </w:pPr>
      <w:r w:rsidRPr="007539D7">
        <w:t xml:space="preserve">Are there other calculation methods that give better estimates of kW savings in peak periods, kWh savings and gas savings? </w:t>
      </w:r>
    </w:p>
    <w:p w:rsidR="00171B42" w:rsidRDefault="00171B42" w:rsidP="007539D7"/>
    <w:p w:rsidR="00A016F0" w:rsidRPr="007539D7" w:rsidRDefault="00132E80" w:rsidP="007539D7">
      <w:r w:rsidRPr="007539D7">
        <w:t xml:space="preserve">The following summary list of recommendations describes baseline and other issues that may assist in closing the gap between claimed and evaluated savings, resulting in </w:t>
      </w:r>
      <w:r w:rsidR="00AD3CD7" w:rsidRPr="007539D7">
        <w:t>the evaluated ex-</w:t>
      </w:r>
      <w:r w:rsidRPr="007539D7">
        <w:t>post results</w:t>
      </w:r>
      <w:r w:rsidR="00AD3CD7" w:rsidRPr="007539D7">
        <w:t xml:space="preserve"> being closer to the claimed ex-</w:t>
      </w:r>
      <w:r w:rsidRPr="007539D7">
        <w:t xml:space="preserve">ante savings. </w:t>
      </w:r>
      <w:r w:rsidR="00AD3CD7" w:rsidRPr="007539D7">
        <w:t xml:space="preserve">These recommendations apply to various </w:t>
      </w:r>
      <w:r w:rsidR="000117FF">
        <w:t xml:space="preserve">market </w:t>
      </w:r>
      <w:r w:rsidR="00AD3CD7" w:rsidRPr="007539D7">
        <w:t>actors, including utilities, participants, implementers, regulators, and evaluators.</w:t>
      </w:r>
      <w:r w:rsidRPr="007539D7">
        <w:t xml:space="preserve">  </w:t>
      </w:r>
    </w:p>
    <w:p w:rsidR="00132E80" w:rsidRPr="007539D7" w:rsidRDefault="00132E80" w:rsidP="007539D7">
      <w:pPr>
        <w:numPr>
          <w:ilvl w:val="1"/>
          <w:numId w:val="9"/>
        </w:numPr>
        <w:tabs>
          <w:tab w:val="clear" w:pos="2160"/>
          <w:tab w:val="num" w:pos="720"/>
        </w:tabs>
        <w:ind w:left="720" w:hanging="720"/>
      </w:pPr>
      <w:r w:rsidRPr="007539D7">
        <w:t xml:space="preserve">Improve baseline specifications </w:t>
      </w:r>
      <w:r w:rsidR="00C57E70" w:rsidRPr="007539D7">
        <w:t>by explicitly i</w:t>
      </w:r>
      <w:r w:rsidRPr="007539D7">
        <w:t>den</w:t>
      </w:r>
      <w:r w:rsidR="000117FF">
        <w:t>tifying the project and identifying</w:t>
      </w:r>
      <w:r w:rsidRPr="007539D7">
        <w:t xml:space="preserve"> the remaining use life of existing equipment  </w:t>
      </w:r>
    </w:p>
    <w:p w:rsidR="00132E80" w:rsidRPr="007539D7" w:rsidRDefault="00132E80" w:rsidP="007539D7">
      <w:pPr>
        <w:numPr>
          <w:ilvl w:val="1"/>
          <w:numId w:val="9"/>
        </w:numPr>
        <w:tabs>
          <w:tab w:val="clear" w:pos="2160"/>
          <w:tab w:val="num" w:pos="720"/>
        </w:tabs>
        <w:ind w:left="720" w:hanging="720"/>
      </w:pPr>
      <w:r w:rsidRPr="007539D7">
        <w:t xml:space="preserve">Consider using early project </w:t>
      </w:r>
      <w:r w:rsidR="00AD3CD7" w:rsidRPr="007539D7">
        <w:t>b</w:t>
      </w:r>
      <w:r w:rsidR="00A15A74" w:rsidRPr="007539D7">
        <w:t>aseline screening for</w:t>
      </w:r>
      <w:r w:rsidRPr="007539D7">
        <w:t xml:space="preserve"> large</w:t>
      </w:r>
      <w:r w:rsidR="00A15A74" w:rsidRPr="007539D7">
        <w:t>r</w:t>
      </w:r>
      <w:r w:rsidRPr="007539D7">
        <w:t xml:space="preserve"> proj</w:t>
      </w:r>
      <w:r w:rsidR="00A15A74" w:rsidRPr="007539D7">
        <w:t xml:space="preserve">ects and those with </w:t>
      </w:r>
      <w:r w:rsidRPr="007539D7">
        <w:t>policy issues such as fuel switching, self generation, and greenhouse gas impacts</w:t>
      </w:r>
    </w:p>
    <w:p w:rsidR="00132E80" w:rsidRPr="007539D7" w:rsidRDefault="00A15A74" w:rsidP="007539D7">
      <w:pPr>
        <w:numPr>
          <w:ilvl w:val="1"/>
          <w:numId w:val="9"/>
        </w:numPr>
        <w:tabs>
          <w:tab w:val="clear" w:pos="2160"/>
          <w:tab w:val="num" w:pos="720"/>
        </w:tabs>
        <w:ind w:left="720" w:hanging="720"/>
      </w:pPr>
      <w:r w:rsidRPr="007539D7">
        <w:t>Carefully review</w:t>
      </w:r>
      <w:r w:rsidR="000117FF">
        <w:t>ing</w:t>
      </w:r>
      <w:r w:rsidRPr="007539D7">
        <w:t xml:space="preserve"> qualifying measures for each program and eliminate eligibility for those that are standard practice</w:t>
      </w:r>
    </w:p>
    <w:p w:rsidR="00132E80" w:rsidRPr="007539D7" w:rsidRDefault="000117FF" w:rsidP="007539D7">
      <w:pPr>
        <w:numPr>
          <w:ilvl w:val="1"/>
          <w:numId w:val="9"/>
        </w:numPr>
        <w:tabs>
          <w:tab w:val="clear" w:pos="2160"/>
          <w:tab w:val="num" w:pos="720"/>
        </w:tabs>
        <w:ind w:left="720" w:hanging="720"/>
      </w:pPr>
      <w:r>
        <w:t xml:space="preserve">Making </w:t>
      </w:r>
      <w:r w:rsidR="00132E80" w:rsidRPr="007539D7">
        <w:t xml:space="preserve">more conservative assumptions, including values used in savings calculations, based on present and expected </w:t>
      </w:r>
      <w:r w:rsidR="00A15A74" w:rsidRPr="007539D7">
        <w:t>op</w:t>
      </w:r>
      <w:r w:rsidR="00132E80" w:rsidRPr="007539D7">
        <w:t>eration</w:t>
      </w:r>
    </w:p>
    <w:p w:rsidR="00132E80" w:rsidRPr="007539D7" w:rsidRDefault="000117FF" w:rsidP="007539D7">
      <w:pPr>
        <w:numPr>
          <w:ilvl w:val="1"/>
          <w:numId w:val="9"/>
        </w:numPr>
        <w:tabs>
          <w:tab w:val="clear" w:pos="2160"/>
          <w:tab w:val="num" w:pos="720"/>
        </w:tabs>
        <w:ind w:left="720" w:hanging="720"/>
      </w:pPr>
      <w:r>
        <w:t>Placing</w:t>
      </w:r>
      <w:r w:rsidR="00A15A74" w:rsidRPr="007539D7">
        <w:t xml:space="preserve"> measures with an inadequate empirical basis for savings estimates in the emerging technologies program </w:t>
      </w:r>
    </w:p>
    <w:p w:rsidR="00132E80" w:rsidRPr="007539D7" w:rsidRDefault="000117FF" w:rsidP="007539D7">
      <w:pPr>
        <w:numPr>
          <w:ilvl w:val="1"/>
          <w:numId w:val="9"/>
        </w:numPr>
        <w:tabs>
          <w:tab w:val="clear" w:pos="2160"/>
          <w:tab w:val="num" w:pos="720"/>
        </w:tabs>
        <w:ind w:left="720" w:hanging="720"/>
      </w:pPr>
      <w:r>
        <w:t>Incorporating</w:t>
      </w:r>
      <w:r w:rsidR="00132E80" w:rsidRPr="007539D7">
        <w:t xml:space="preserve"> greater levels of real-time measurement and pre- and post-installation measurement based verification</w:t>
      </w:r>
      <w:r w:rsidR="00AD3CD7" w:rsidRPr="007539D7">
        <w:t xml:space="preserve"> for the most uncertain measures</w:t>
      </w:r>
      <w:r w:rsidR="00132E80" w:rsidRPr="007539D7">
        <w:t xml:space="preserve"> </w:t>
      </w:r>
    </w:p>
    <w:p w:rsidR="00AD3CD7" w:rsidRDefault="0028758F" w:rsidP="007539D7">
      <w:pPr>
        <w:numPr>
          <w:ilvl w:val="1"/>
          <w:numId w:val="9"/>
        </w:numPr>
        <w:tabs>
          <w:tab w:val="clear" w:pos="2160"/>
          <w:tab w:val="num" w:pos="720"/>
        </w:tabs>
        <w:ind w:left="720" w:hanging="720"/>
      </w:pPr>
      <w:r>
        <w:t>Using a</w:t>
      </w:r>
      <w:r w:rsidR="00132E80" w:rsidRPr="007539D7">
        <w:t xml:space="preserve"> true up period to confirm operation after savings are claimed may be appropriate if it complies with policy requirements related to timely filing of claimed – and amended </w:t>
      </w:r>
      <w:r w:rsidR="0025503D">
        <w:t>–</w:t>
      </w:r>
      <w:r w:rsidR="00132E80" w:rsidRPr="007539D7">
        <w:t xml:space="preserve"> results</w:t>
      </w:r>
    </w:p>
    <w:p w:rsidR="0025503D" w:rsidRPr="007539D7" w:rsidRDefault="0025503D" w:rsidP="00171B42">
      <w:pPr>
        <w:ind w:left="720" w:firstLine="0"/>
      </w:pPr>
    </w:p>
    <w:p w:rsidR="00132E80" w:rsidRPr="007539D7" w:rsidRDefault="00132E80" w:rsidP="007539D7">
      <w:pPr>
        <w:pStyle w:val="Heading1"/>
      </w:pPr>
      <w:r w:rsidRPr="007539D7">
        <w:t xml:space="preserve">Relevance </w:t>
      </w:r>
      <w:r w:rsidR="00095378" w:rsidRPr="007539D7">
        <w:t>of the Research and Future Directions</w:t>
      </w:r>
    </w:p>
    <w:p w:rsidR="00F03441" w:rsidRDefault="00F03441" w:rsidP="007539D7"/>
    <w:p w:rsidR="00775CD4" w:rsidRPr="007539D7" w:rsidRDefault="00775CD4" w:rsidP="007539D7">
      <w:r w:rsidRPr="007539D7">
        <w:t>The</w:t>
      </w:r>
      <w:r w:rsidR="005420A3" w:rsidRPr="007539D7">
        <w:t xml:space="preserve"> commercial</w:t>
      </w:r>
      <w:r w:rsidRPr="007539D7">
        <w:t xml:space="preserve"> energy savings potential is a critical component for the utilities to achieve targeted energy savings goals. </w:t>
      </w:r>
      <w:r w:rsidR="005420A3" w:rsidRPr="007539D7">
        <w:t>Commercial</w:t>
      </w:r>
      <w:r w:rsidRPr="007539D7">
        <w:t xml:space="preserve"> energy savings measures do, however, </w:t>
      </w:r>
      <w:r w:rsidR="005420A3" w:rsidRPr="007539D7">
        <w:t xml:space="preserve">face </w:t>
      </w:r>
      <w:r w:rsidR="00A15E0C" w:rsidRPr="007539D7">
        <w:t xml:space="preserve">gaps </w:t>
      </w:r>
      <w:r w:rsidR="005420A3" w:rsidRPr="007539D7">
        <w:t xml:space="preserve">in the evaluated verses the claimed energy savings. </w:t>
      </w:r>
      <w:r w:rsidRPr="007539D7">
        <w:t>This paper highlights the rea</w:t>
      </w:r>
      <w:r w:rsidR="0028758F">
        <w:t>sons for the gap between the ex-ante and ex-</w:t>
      </w:r>
      <w:r w:rsidRPr="007539D7">
        <w:t>post savings and</w:t>
      </w:r>
      <w:r w:rsidR="005420A3" w:rsidRPr="007539D7">
        <w:t xml:space="preserve"> breaks it down by measure, providing</w:t>
      </w:r>
      <w:r w:rsidRPr="007539D7">
        <w:t xml:space="preserve"> recommendations that can bridge this gap and improve program claimed savings. This paper should guide the energy efficiency community </w:t>
      </w:r>
      <w:r w:rsidR="0028758F">
        <w:t>in</w:t>
      </w:r>
      <w:r w:rsidRPr="007539D7">
        <w:t xml:space="preserve"> better understand</w:t>
      </w:r>
      <w:r w:rsidR="0028758F">
        <w:t>ing</w:t>
      </w:r>
      <w:r w:rsidRPr="007539D7">
        <w:t xml:space="preserve"> the </w:t>
      </w:r>
      <w:r w:rsidR="005420A3" w:rsidRPr="007539D7">
        <w:t xml:space="preserve">factors </w:t>
      </w:r>
      <w:r w:rsidRPr="007539D7">
        <w:t>that need to be addressed to ensure that the accuracy of the utilities</w:t>
      </w:r>
      <w:r w:rsidR="005420A3" w:rsidRPr="007539D7">
        <w:t>’</w:t>
      </w:r>
      <w:r w:rsidRPr="007539D7">
        <w:t xml:space="preserve"> projections for achieved energy savings is improved.</w:t>
      </w:r>
    </w:p>
    <w:p w:rsidR="007A5056" w:rsidRPr="007539D7" w:rsidRDefault="007A5056" w:rsidP="007539D7">
      <w:r w:rsidRPr="007539D7">
        <w:t>Th</w:t>
      </w:r>
      <w:r w:rsidR="005420A3" w:rsidRPr="007539D7">
        <w:t>is assessment may help in ide</w:t>
      </w:r>
      <w:r w:rsidR="008E7024" w:rsidRPr="007539D7">
        <w:t>ntifying</w:t>
      </w:r>
      <w:r w:rsidR="005560E6" w:rsidRPr="007539D7">
        <w:t xml:space="preserve"> </w:t>
      </w:r>
      <w:r w:rsidR="008E7024" w:rsidRPr="007539D7">
        <w:t xml:space="preserve">improvements </w:t>
      </w:r>
      <w:r w:rsidR="005560E6" w:rsidRPr="007539D7">
        <w:t>to the design</w:t>
      </w:r>
      <w:r w:rsidR="005420A3" w:rsidRPr="007539D7">
        <w:t xml:space="preserve">, optimization, </w:t>
      </w:r>
      <w:r w:rsidR="005560E6" w:rsidRPr="007539D7">
        <w:t>and implementation of</w:t>
      </w:r>
      <w:r w:rsidR="005420A3" w:rsidRPr="007539D7">
        <w:t xml:space="preserve"> energy efficiency </w:t>
      </w:r>
      <w:r w:rsidR="005560E6" w:rsidRPr="007539D7">
        <w:t>program</w:t>
      </w:r>
      <w:r w:rsidR="008E7024" w:rsidRPr="007539D7">
        <w:t>s</w:t>
      </w:r>
      <w:r w:rsidR="005420A3" w:rsidRPr="007539D7">
        <w:t>, particularly in the commercial sector</w:t>
      </w:r>
      <w:r w:rsidRPr="007539D7">
        <w:t xml:space="preserve">. </w:t>
      </w:r>
    </w:p>
    <w:p w:rsidR="00E43FE9" w:rsidRPr="007539D7" w:rsidRDefault="00F5038A" w:rsidP="007539D7">
      <w:r w:rsidRPr="007539D7">
        <w:t xml:space="preserve">Several areas where further </w:t>
      </w:r>
      <w:r w:rsidR="007A5056" w:rsidRPr="007539D7">
        <w:t xml:space="preserve">work </w:t>
      </w:r>
      <w:r w:rsidRPr="007539D7">
        <w:t>may be fruitful are indicated.</w:t>
      </w:r>
      <w:r w:rsidR="00516A53" w:rsidRPr="007539D7">
        <w:t xml:space="preserve">  </w:t>
      </w:r>
      <w:r w:rsidR="005420A3" w:rsidRPr="007539D7">
        <w:t>It</w:t>
      </w:r>
      <w:r w:rsidR="008F053F" w:rsidRPr="007539D7">
        <w:t xml:space="preserve"> </w:t>
      </w:r>
      <w:r w:rsidR="00E464B1" w:rsidRPr="007539D7">
        <w:t xml:space="preserve">may </w:t>
      </w:r>
      <w:r w:rsidR="008F053F" w:rsidRPr="007539D7">
        <w:t xml:space="preserve">be beneficial to </w:t>
      </w:r>
      <w:r w:rsidR="00E464B1" w:rsidRPr="007539D7">
        <w:t xml:space="preserve">expand the examined projects to get a better representation by measure. The weighted realization rates and the range of realization rates, segmented by measure, will help utilities determine the </w:t>
      </w:r>
      <w:r w:rsidR="00E464B1" w:rsidRPr="007539D7">
        <w:lastRenderedPageBreak/>
        <w:t>importance of that measure to their savings goals. Finally, a very detailed analysis into all relevant reasons for the gap in evaluated and claimed savings, and not just the primary reasons, with a weighting on each, would help all stakeholders understand the complexities inherent in determi</w:t>
      </w:r>
      <w:r w:rsidR="0028758F">
        <w:t>ning energy savings and</w:t>
      </w:r>
      <w:r w:rsidR="00E464B1" w:rsidRPr="007539D7">
        <w:t xml:space="preserve"> the</w:t>
      </w:r>
      <w:r w:rsidR="0028758F">
        <w:t xml:space="preserve"> numerous and varied</w:t>
      </w:r>
      <w:r w:rsidR="00E464B1" w:rsidRPr="007539D7">
        <w:t xml:space="preserve"> reasons why differences can exist.</w:t>
      </w:r>
    </w:p>
    <w:p w:rsidR="00156D4D" w:rsidRPr="007539D7" w:rsidRDefault="00516A53" w:rsidP="007539D7">
      <w:r w:rsidRPr="007539D7">
        <w:t>Attention to the factors</w:t>
      </w:r>
      <w:r w:rsidR="008E7024" w:rsidRPr="007539D7">
        <w:t xml:space="preserve"> discussed in this </w:t>
      </w:r>
      <w:r w:rsidR="006D7EAC" w:rsidRPr="007539D7">
        <w:t>paper</w:t>
      </w:r>
      <w:r w:rsidR="008E7024" w:rsidRPr="007539D7">
        <w:t xml:space="preserve"> </w:t>
      </w:r>
      <w:r w:rsidRPr="007539D7">
        <w:t xml:space="preserve">can </w:t>
      </w:r>
      <w:r w:rsidR="008E7024" w:rsidRPr="007539D7">
        <w:t>reduce the gap between ex-ante and ex-post gross savings estimates.</w:t>
      </w:r>
      <w:r w:rsidR="007A5056" w:rsidRPr="007539D7">
        <w:t xml:space="preserve"> </w:t>
      </w:r>
      <w:r w:rsidR="008E7024" w:rsidRPr="007539D7">
        <w:t xml:space="preserve">Use of these </w:t>
      </w:r>
      <w:r w:rsidR="00E464B1" w:rsidRPr="007539D7">
        <w:t>findings can</w:t>
      </w:r>
      <w:r w:rsidR="008E7024" w:rsidRPr="007539D7">
        <w:t xml:space="preserve"> </w:t>
      </w:r>
      <w:r w:rsidR="00F5038A" w:rsidRPr="007539D7">
        <w:t xml:space="preserve">lead to </w:t>
      </w:r>
      <w:r w:rsidRPr="007539D7">
        <w:t>e</w:t>
      </w:r>
      <w:r w:rsidR="007A5056" w:rsidRPr="007539D7">
        <w:t xml:space="preserve">nergy </w:t>
      </w:r>
      <w:r w:rsidR="00F5038A" w:rsidRPr="007539D7">
        <w:t>effic</w:t>
      </w:r>
      <w:r w:rsidR="001C1031" w:rsidRPr="007539D7">
        <w:t xml:space="preserve">iency projects incorporating </w:t>
      </w:r>
      <w:r w:rsidRPr="007539D7">
        <w:t xml:space="preserve">gross </w:t>
      </w:r>
      <w:r w:rsidR="001C1031" w:rsidRPr="007539D7">
        <w:t xml:space="preserve">ex </w:t>
      </w:r>
      <w:r w:rsidR="00F5038A" w:rsidRPr="007539D7">
        <w:t>ante estimat</w:t>
      </w:r>
      <w:r w:rsidRPr="007539D7">
        <w:t xml:space="preserve">es and savings claims </w:t>
      </w:r>
      <w:r w:rsidR="00F5038A" w:rsidRPr="007539D7">
        <w:t xml:space="preserve">that are highly accurate and </w:t>
      </w:r>
      <w:r w:rsidR="007A5056" w:rsidRPr="007539D7">
        <w:t xml:space="preserve">that result in </w:t>
      </w:r>
      <w:r w:rsidR="00F5038A" w:rsidRPr="007539D7">
        <w:t xml:space="preserve">relatively </w:t>
      </w:r>
      <w:r w:rsidR="007A5056" w:rsidRPr="007539D7">
        <w:t xml:space="preserve">high </w:t>
      </w:r>
      <w:r w:rsidRPr="007539D7">
        <w:t xml:space="preserve">overall </w:t>
      </w:r>
      <w:r w:rsidR="007A5056" w:rsidRPr="007539D7">
        <w:t xml:space="preserve">gross realization rates, </w:t>
      </w:r>
      <w:r w:rsidR="00F5038A" w:rsidRPr="007539D7">
        <w:t xml:space="preserve">thereby </w:t>
      </w:r>
      <w:r w:rsidR="007A5056" w:rsidRPr="007539D7">
        <w:t>closing the gap betwee</w:t>
      </w:r>
      <w:r w:rsidR="006D7EAC" w:rsidRPr="007539D7">
        <w:t>n claimed and evaluated results.</w:t>
      </w:r>
      <w:r w:rsidR="007A5056" w:rsidRPr="007539D7">
        <w:t xml:space="preserve"> </w:t>
      </w:r>
      <w:r w:rsidR="00F5038A" w:rsidRPr="007539D7">
        <w:t xml:space="preserve">This will </w:t>
      </w:r>
      <w:r w:rsidR="007A5056" w:rsidRPr="007539D7">
        <w:t xml:space="preserve">allow </w:t>
      </w:r>
      <w:r w:rsidRPr="007539D7">
        <w:t xml:space="preserve">energy efficiency </w:t>
      </w:r>
      <w:r w:rsidR="007A5056" w:rsidRPr="007539D7">
        <w:t xml:space="preserve">programs to truly meet their goals and to </w:t>
      </w:r>
      <w:r w:rsidRPr="007539D7">
        <w:t xml:space="preserve">continue </w:t>
      </w:r>
      <w:r w:rsidR="007A5056" w:rsidRPr="007539D7">
        <w:t xml:space="preserve">their offerings </w:t>
      </w:r>
      <w:r w:rsidR="00F5038A" w:rsidRPr="007539D7">
        <w:t xml:space="preserve">in the future </w:t>
      </w:r>
      <w:r w:rsidRPr="007539D7">
        <w:t>with greater confidence in the promised energy savings.</w:t>
      </w:r>
      <w:r w:rsidR="007A5056" w:rsidRPr="007539D7">
        <w:t xml:space="preserve"> </w:t>
      </w:r>
    </w:p>
    <w:p w:rsidR="00F00676" w:rsidRPr="007539D7" w:rsidRDefault="00F00676" w:rsidP="007539D7">
      <w:pPr>
        <w:pStyle w:val="Heading1"/>
      </w:pPr>
    </w:p>
    <w:p w:rsidR="00BC6D00" w:rsidRDefault="00DD1FA1" w:rsidP="007539D7">
      <w:pPr>
        <w:pStyle w:val="Heading1"/>
      </w:pPr>
      <w:r w:rsidRPr="007539D7">
        <w:t>References</w:t>
      </w:r>
    </w:p>
    <w:p w:rsidR="0025503D" w:rsidRPr="0025503D" w:rsidRDefault="0025503D" w:rsidP="0025503D"/>
    <w:p w:rsidR="0025503D" w:rsidRDefault="007539D7" w:rsidP="00C67B14">
      <w:pPr>
        <w:pStyle w:val="ListParagraph"/>
        <w:autoSpaceDE w:val="0"/>
        <w:autoSpaceDN w:val="0"/>
        <w:adjustRightInd w:val="0"/>
        <w:spacing w:line="240" w:lineRule="auto"/>
        <w:ind w:left="720" w:hanging="720"/>
        <w:jc w:val="left"/>
        <w:rPr>
          <w:bCs/>
        </w:rPr>
      </w:pPr>
      <w:r w:rsidRPr="007539D7">
        <w:rPr>
          <w:bCs/>
        </w:rPr>
        <w:t xml:space="preserve">ADM, </w:t>
      </w:r>
      <w:r w:rsidRPr="007539D7">
        <w:t>Innovologie LLC, C. J. Brown Energy, P.C., Cl</w:t>
      </w:r>
      <w:r w:rsidR="00C67B14">
        <w:t xml:space="preserve">aridge, David Ph.D., Marketing </w:t>
      </w:r>
      <w:r w:rsidRPr="007539D7">
        <w:t xml:space="preserve">Excellence. 2010. </w:t>
      </w:r>
      <w:r w:rsidRPr="007539D7">
        <w:rPr>
          <w:bCs/>
          <w:i/>
        </w:rPr>
        <w:t>Commercial Facilities Contract</w:t>
      </w:r>
      <w:r w:rsidR="00C67B14">
        <w:rPr>
          <w:bCs/>
          <w:i/>
        </w:rPr>
        <w:t xml:space="preserve"> Group 2006-2008 Direct Impact </w:t>
      </w:r>
      <w:r w:rsidRPr="007539D7">
        <w:rPr>
          <w:bCs/>
          <w:i/>
        </w:rPr>
        <w:t>Evaluation Report.</w:t>
      </w:r>
      <w:r w:rsidRPr="007539D7">
        <w:rPr>
          <w:bCs/>
        </w:rPr>
        <w:t xml:space="preserve"> Study ID: CPU0016.01.</w:t>
      </w:r>
      <w:r w:rsidRPr="007539D7">
        <w:t xml:space="preserve"> www.calmac.org. Sacramento, Calif.:</w:t>
      </w:r>
      <w:r w:rsidR="00C67B14">
        <w:rPr>
          <w:bCs/>
        </w:rPr>
        <w:t xml:space="preserve"> ADM </w:t>
      </w:r>
      <w:r w:rsidRPr="007539D7">
        <w:rPr>
          <w:bCs/>
        </w:rPr>
        <w:t>Associates, Inc.</w:t>
      </w:r>
      <w:bookmarkStart w:id="3" w:name="P66_2023"/>
      <w:bookmarkEnd w:id="3"/>
    </w:p>
    <w:p w:rsidR="00C67B14" w:rsidRDefault="00C67B14" w:rsidP="00C67B14">
      <w:pPr>
        <w:pStyle w:val="ListParagraph"/>
        <w:autoSpaceDE w:val="0"/>
        <w:autoSpaceDN w:val="0"/>
        <w:adjustRightInd w:val="0"/>
        <w:spacing w:line="240" w:lineRule="auto"/>
        <w:ind w:left="720" w:hanging="720"/>
        <w:jc w:val="left"/>
        <w:rPr>
          <w:bCs/>
        </w:rPr>
      </w:pPr>
    </w:p>
    <w:p w:rsidR="0025503D" w:rsidRPr="00C67B14" w:rsidRDefault="0025503D" w:rsidP="00C67B14">
      <w:pPr>
        <w:pStyle w:val="ListParagraph"/>
        <w:autoSpaceDE w:val="0"/>
        <w:autoSpaceDN w:val="0"/>
        <w:adjustRightInd w:val="0"/>
        <w:spacing w:line="240" w:lineRule="auto"/>
        <w:ind w:left="720" w:hanging="720"/>
        <w:jc w:val="left"/>
        <w:rPr>
          <w:bCs/>
        </w:rPr>
      </w:pPr>
      <w:r w:rsidRPr="0025503D">
        <w:rPr>
          <w:bCs/>
        </w:rPr>
        <w:t xml:space="preserve">ALJ </w:t>
      </w:r>
      <w:r w:rsidRPr="00C67B14">
        <w:rPr>
          <w:bCs/>
        </w:rPr>
        <w:t xml:space="preserve">Decision 11-07-030 July 14, 2011. 2011. </w:t>
      </w:r>
      <w:r w:rsidRPr="0025503D">
        <w:rPr>
          <w:bCs/>
        </w:rPr>
        <w:t>Third Decision Addressing Petition for Modification of Decision 09-09-047</w:t>
      </w:r>
      <w:r>
        <w:rPr>
          <w:bCs/>
        </w:rPr>
        <w:t xml:space="preserve">. </w:t>
      </w:r>
      <w:hyperlink r:id="rId13" w:history="1">
        <w:r w:rsidRPr="00C67B14">
          <w:rPr>
            <w:bCs/>
          </w:rPr>
          <w:t>http://docs.cpuc.ca.gov/published/FINAL_DECISION/139858.htm</w:t>
        </w:r>
      </w:hyperlink>
    </w:p>
    <w:p w:rsidR="0025503D" w:rsidRPr="007539D7" w:rsidRDefault="0025503D" w:rsidP="007539D7">
      <w:pPr>
        <w:pStyle w:val="ListParagraph"/>
        <w:autoSpaceDE w:val="0"/>
        <w:autoSpaceDN w:val="0"/>
        <w:adjustRightInd w:val="0"/>
        <w:spacing w:line="240" w:lineRule="auto"/>
        <w:ind w:left="90"/>
        <w:jc w:val="left"/>
        <w:rPr>
          <w:bCs/>
        </w:rPr>
      </w:pPr>
    </w:p>
    <w:p w:rsidR="00BE1E98" w:rsidRPr="00C67B14" w:rsidRDefault="007539D7" w:rsidP="00C67B14">
      <w:pPr>
        <w:pStyle w:val="ListParagraph"/>
        <w:autoSpaceDE w:val="0"/>
        <w:autoSpaceDN w:val="0"/>
        <w:adjustRightInd w:val="0"/>
        <w:spacing w:line="240" w:lineRule="auto"/>
        <w:ind w:left="720" w:hanging="720"/>
        <w:jc w:val="left"/>
        <w:rPr>
          <w:bCs/>
        </w:rPr>
      </w:pPr>
      <w:r w:rsidRPr="00C67B14">
        <w:rPr>
          <w:bCs/>
        </w:rPr>
        <w:t xml:space="preserve"> </w:t>
      </w:r>
      <w:r w:rsidR="009512DA" w:rsidRPr="00C67B14">
        <w:rPr>
          <w:bCs/>
        </w:rPr>
        <w:t xml:space="preserve">[EIA] </w:t>
      </w:r>
      <w:r w:rsidR="001B3A67" w:rsidRPr="00C67B14">
        <w:rPr>
          <w:bCs/>
        </w:rPr>
        <w:t>Energy Information Agency, August, 2010</w:t>
      </w:r>
      <w:r w:rsidR="00CC5C54" w:rsidRPr="00C67B14">
        <w:rPr>
          <w:bCs/>
        </w:rPr>
        <w:t xml:space="preserve">. </w:t>
      </w:r>
      <w:r w:rsidR="00CC5C54" w:rsidRPr="00C67B14">
        <w:rPr>
          <w:bCs/>
          <w:i/>
        </w:rPr>
        <w:t>Annual Energy Review 2009</w:t>
      </w:r>
      <w:r w:rsidR="00D70030" w:rsidRPr="00C67B14">
        <w:rPr>
          <w:bCs/>
          <w:i/>
        </w:rPr>
        <w:t>;</w:t>
      </w:r>
      <w:r w:rsidR="00CC5C54" w:rsidRPr="00C67B14">
        <w:rPr>
          <w:bCs/>
          <w:i/>
        </w:rPr>
        <w:t xml:space="preserve"> Report No. DOE/EIA-0384</w:t>
      </w:r>
      <w:r w:rsidR="00D70030" w:rsidRPr="00C67B14">
        <w:rPr>
          <w:bCs/>
          <w:i/>
        </w:rPr>
        <w:t>.</w:t>
      </w:r>
      <w:r w:rsidR="00D70030" w:rsidRPr="00C67B14">
        <w:rPr>
          <w:bCs/>
        </w:rPr>
        <w:t xml:space="preserve"> </w:t>
      </w:r>
      <w:r w:rsidR="001B3A67" w:rsidRPr="00C67B14">
        <w:rPr>
          <w:bCs/>
        </w:rPr>
        <w:t xml:space="preserve"> </w:t>
      </w:r>
      <w:r w:rsidR="00D70030" w:rsidRPr="00C67B14">
        <w:rPr>
          <w:bCs/>
        </w:rPr>
        <w:t xml:space="preserve">U.S. </w:t>
      </w:r>
      <w:r w:rsidR="001B3A67" w:rsidRPr="00C67B14">
        <w:rPr>
          <w:bCs/>
        </w:rPr>
        <w:t>Energy</w:t>
      </w:r>
      <w:r w:rsidR="0044458C" w:rsidRPr="00C67B14">
        <w:rPr>
          <w:bCs/>
        </w:rPr>
        <w:t xml:space="preserve"> I</w:t>
      </w:r>
      <w:r w:rsidR="001B3A67" w:rsidRPr="00C67B14">
        <w:rPr>
          <w:bCs/>
        </w:rPr>
        <w:t>nformation Agency, ww</w:t>
      </w:r>
      <w:r w:rsidR="00171B42" w:rsidRPr="00C67B14">
        <w:rPr>
          <w:bCs/>
        </w:rPr>
        <w:t>w.eia.gov/aer. Washington, D.C.</w:t>
      </w:r>
    </w:p>
    <w:p w:rsidR="00171B42" w:rsidRPr="007539D7" w:rsidRDefault="00171B42" w:rsidP="007539D7">
      <w:pPr>
        <w:pStyle w:val="references"/>
        <w:ind w:left="90" w:firstLine="0"/>
        <w:rPr>
          <w:szCs w:val="24"/>
        </w:rPr>
      </w:pPr>
    </w:p>
    <w:p w:rsidR="007539D7" w:rsidRDefault="007539D7" w:rsidP="00C67B14">
      <w:pPr>
        <w:pStyle w:val="ListParagraph"/>
        <w:autoSpaceDE w:val="0"/>
        <w:autoSpaceDN w:val="0"/>
        <w:adjustRightInd w:val="0"/>
        <w:spacing w:line="240" w:lineRule="auto"/>
        <w:ind w:left="720" w:hanging="720"/>
        <w:jc w:val="left"/>
        <w:rPr>
          <w:bCs/>
        </w:rPr>
      </w:pPr>
      <w:r w:rsidRPr="00C67B14">
        <w:rPr>
          <w:bCs/>
        </w:rPr>
        <w:t>Itron, Inc., Energy and Resource Solutions, Energy Met</w:t>
      </w:r>
      <w:r w:rsidR="00C67B14">
        <w:rPr>
          <w:bCs/>
        </w:rPr>
        <w:t xml:space="preserve">rics, Mad Dash, Inc., Michaels </w:t>
      </w:r>
      <w:r w:rsidRPr="00C67B14">
        <w:rPr>
          <w:bCs/>
        </w:rPr>
        <w:t xml:space="preserve">Engineering, PWP, Inc., Katin Engineering. 2009. </w:t>
      </w:r>
      <w:r w:rsidRPr="00C67B14">
        <w:rPr>
          <w:bCs/>
          <w:i/>
        </w:rPr>
        <w:t>2006-2008 Evaluation Report for PG&amp;E Fabrication, Process and Manufacturing Contract Group.</w:t>
      </w:r>
      <w:r w:rsidRPr="00C67B14">
        <w:rPr>
          <w:bCs/>
        </w:rPr>
        <w:t xml:space="preserve"> CPU0018.01</w:t>
      </w:r>
      <w:r w:rsidR="00C67B14">
        <w:rPr>
          <w:bCs/>
        </w:rPr>
        <w:t xml:space="preserve">. </w:t>
      </w:r>
      <w:r w:rsidRPr="00C67B14">
        <w:rPr>
          <w:bCs/>
        </w:rPr>
        <w:t xml:space="preserve">www.calmac.org. Oakland, CALIF.: Itron, Inc.  </w:t>
      </w:r>
    </w:p>
    <w:p w:rsidR="007539D7" w:rsidRPr="00C67B14" w:rsidRDefault="007539D7" w:rsidP="00C67B14">
      <w:pPr>
        <w:pStyle w:val="FootnoteText"/>
        <w:tabs>
          <w:tab w:val="clear" w:pos="288"/>
        </w:tabs>
        <w:spacing w:line="240" w:lineRule="auto"/>
        <w:ind w:left="720" w:hanging="720"/>
        <w:rPr>
          <w:bCs/>
          <w:sz w:val="24"/>
          <w:szCs w:val="24"/>
        </w:rPr>
      </w:pPr>
      <w:r w:rsidRPr="00C67B14">
        <w:rPr>
          <w:bCs/>
          <w:sz w:val="24"/>
          <w:szCs w:val="24"/>
        </w:rPr>
        <w:t>Kaufman, N. &amp; Palmer, K. 2010. ““Energy Efficiency Program E</w:t>
      </w:r>
      <w:r w:rsidR="00C67B14">
        <w:rPr>
          <w:bCs/>
          <w:sz w:val="24"/>
          <w:szCs w:val="24"/>
        </w:rPr>
        <w:t xml:space="preserve">valuation: Opportunities for </w:t>
      </w:r>
      <w:r w:rsidRPr="00C67B14">
        <w:rPr>
          <w:bCs/>
          <w:sz w:val="24"/>
          <w:szCs w:val="24"/>
        </w:rPr>
        <w:t>Learning and Inputs to Incentive Mechanisms”. Report RFF DP10-16. Washington, D.C.: Resources for the Future.</w:t>
      </w:r>
    </w:p>
    <w:p w:rsidR="00BE1E98" w:rsidRPr="00C67B14" w:rsidRDefault="001F5D83" w:rsidP="00C67B14">
      <w:pPr>
        <w:pStyle w:val="FootnoteText"/>
        <w:tabs>
          <w:tab w:val="clear" w:pos="288"/>
        </w:tabs>
        <w:spacing w:line="240" w:lineRule="auto"/>
        <w:ind w:left="720" w:hanging="630"/>
        <w:rPr>
          <w:bCs/>
          <w:sz w:val="24"/>
          <w:szCs w:val="24"/>
        </w:rPr>
      </w:pPr>
      <w:r w:rsidRPr="00C67B14">
        <w:rPr>
          <w:bCs/>
          <w:sz w:val="24"/>
          <w:szCs w:val="24"/>
        </w:rPr>
        <w:t>Lutz, A., Bradley, K.</w:t>
      </w:r>
      <w:r w:rsidR="001C2AB2" w:rsidRPr="00C67B14">
        <w:rPr>
          <w:bCs/>
          <w:sz w:val="24"/>
          <w:szCs w:val="24"/>
        </w:rPr>
        <w:t xml:space="preserve"> &amp; </w:t>
      </w:r>
      <w:r w:rsidRPr="00C67B14">
        <w:rPr>
          <w:bCs/>
          <w:sz w:val="24"/>
          <w:szCs w:val="24"/>
        </w:rPr>
        <w:t>Tirumala</w:t>
      </w:r>
      <w:r w:rsidR="00A06038" w:rsidRPr="00C67B14">
        <w:rPr>
          <w:bCs/>
          <w:sz w:val="24"/>
          <w:szCs w:val="24"/>
        </w:rPr>
        <w:t>shetty, V.</w:t>
      </w:r>
      <w:r w:rsidR="004E0302" w:rsidRPr="00C67B14">
        <w:rPr>
          <w:bCs/>
          <w:sz w:val="24"/>
          <w:szCs w:val="24"/>
        </w:rPr>
        <w:t xml:space="preserve">  </w:t>
      </w:r>
      <w:r w:rsidR="00A06038" w:rsidRPr="00C67B14">
        <w:rPr>
          <w:bCs/>
          <w:sz w:val="24"/>
          <w:szCs w:val="24"/>
        </w:rPr>
        <w:t xml:space="preserve">2011. </w:t>
      </w:r>
      <w:r w:rsidR="004E0302" w:rsidRPr="00C67B14">
        <w:rPr>
          <w:bCs/>
          <w:sz w:val="24"/>
          <w:szCs w:val="24"/>
        </w:rPr>
        <w:t>“</w:t>
      </w:r>
      <w:r w:rsidR="00A06038" w:rsidRPr="00C67B14">
        <w:rPr>
          <w:bCs/>
          <w:sz w:val="24"/>
          <w:szCs w:val="24"/>
        </w:rPr>
        <w:t xml:space="preserve">Would the </w:t>
      </w:r>
      <w:r w:rsidRPr="00C67B14">
        <w:rPr>
          <w:bCs/>
          <w:sz w:val="24"/>
          <w:szCs w:val="24"/>
        </w:rPr>
        <w:t>True Industrial E</w:t>
      </w:r>
      <w:r w:rsidR="00A06038" w:rsidRPr="00C67B14">
        <w:rPr>
          <w:bCs/>
          <w:sz w:val="24"/>
          <w:szCs w:val="24"/>
        </w:rPr>
        <w:t xml:space="preserve">nergy </w:t>
      </w:r>
      <w:r w:rsidRPr="00C67B14">
        <w:rPr>
          <w:bCs/>
          <w:sz w:val="24"/>
          <w:szCs w:val="24"/>
        </w:rPr>
        <w:t>E</w:t>
      </w:r>
      <w:r w:rsidR="00A06038" w:rsidRPr="00C67B14">
        <w:rPr>
          <w:bCs/>
          <w:sz w:val="24"/>
          <w:szCs w:val="24"/>
        </w:rPr>
        <w:t xml:space="preserve">fficiency </w:t>
      </w:r>
      <w:r w:rsidRPr="00C67B14">
        <w:rPr>
          <w:bCs/>
          <w:sz w:val="24"/>
          <w:szCs w:val="24"/>
        </w:rPr>
        <w:t>Savings P</w:t>
      </w:r>
      <w:r w:rsidR="00A06038" w:rsidRPr="00C67B14">
        <w:rPr>
          <w:bCs/>
          <w:sz w:val="24"/>
          <w:szCs w:val="24"/>
        </w:rPr>
        <w:t>leas</w:t>
      </w:r>
      <w:r w:rsidRPr="00C67B14">
        <w:rPr>
          <w:bCs/>
          <w:sz w:val="24"/>
          <w:szCs w:val="24"/>
        </w:rPr>
        <w:t>e Stand U</w:t>
      </w:r>
      <w:r w:rsidR="00A06038" w:rsidRPr="00C67B14">
        <w:rPr>
          <w:bCs/>
          <w:sz w:val="24"/>
          <w:szCs w:val="24"/>
        </w:rPr>
        <w:t>p?</w:t>
      </w:r>
      <w:r w:rsidR="004E0302" w:rsidRPr="00C67B14">
        <w:rPr>
          <w:bCs/>
          <w:sz w:val="24"/>
          <w:szCs w:val="24"/>
        </w:rPr>
        <w:t xml:space="preserve">” </w:t>
      </w:r>
      <w:r w:rsidR="004E0302" w:rsidRPr="00C67B14">
        <w:rPr>
          <w:bCs/>
          <w:i/>
          <w:sz w:val="24"/>
          <w:szCs w:val="24"/>
        </w:rPr>
        <w:t xml:space="preserve">In Proceedings of the ACEEE Summer Study for Energy </w:t>
      </w:r>
      <w:r w:rsidR="00CF4F6F" w:rsidRPr="00C67B14">
        <w:rPr>
          <w:bCs/>
          <w:i/>
          <w:sz w:val="24"/>
          <w:szCs w:val="24"/>
        </w:rPr>
        <w:t>E</w:t>
      </w:r>
      <w:r w:rsidR="004E0302" w:rsidRPr="00C67B14">
        <w:rPr>
          <w:bCs/>
          <w:i/>
          <w:sz w:val="24"/>
          <w:szCs w:val="24"/>
        </w:rPr>
        <w:t>fficiency in Industry.</w:t>
      </w:r>
      <w:r w:rsidR="004E0302" w:rsidRPr="00C67B14">
        <w:rPr>
          <w:bCs/>
          <w:sz w:val="24"/>
          <w:szCs w:val="24"/>
        </w:rPr>
        <w:t xml:space="preserve"> Niagara Falls, NY.</w:t>
      </w:r>
      <w:r w:rsidR="00C351CA" w:rsidRPr="00C67B14">
        <w:rPr>
          <w:bCs/>
          <w:sz w:val="24"/>
          <w:szCs w:val="24"/>
        </w:rPr>
        <w:t xml:space="preserve"> American Council for an Energy-</w:t>
      </w:r>
      <w:r w:rsidR="004E0302" w:rsidRPr="00C67B14">
        <w:rPr>
          <w:bCs/>
          <w:sz w:val="24"/>
          <w:szCs w:val="24"/>
        </w:rPr>
        <w:t xml:space="preserve">Efficient Economy.  </w:t>
      </w:r>
    </w:p>
    <w:p w:rsidR="00171B42" w:rsidRPr="00C67B14" w:rsidRDefault="007539D7" w:rsidP="00C67B14">
      <w:pPr>
        <w:pStyle w:val="FootnoteText"/>
        <w:tabs>
          <w:tab w:val="clear" w:pos="288"/>
        </w:tabs>
        <w:spacing w:line="240" w:lineRule="auto"/>
        <w:ind w:left="720" w:hanging="630"/>
        <w:rPr>
          <w:bCs/>
          <w:sz w:val="24"/>
          <w:szCs w:val="24"/>
        </w:rPr>
      </w:pPr>
      <w:r w:rsidRPr="00C67B14">
        <w:rPr>
          <w:bCs/>
          <w:sz w:val="24"/>
          <w:szCs w:val="24"/>
        </w:rPr>
        <w:t>Nadel, S.M. and Keating, K.M.  1991. “Engineering Estimates vs</w:t>
      </w:r>
      <w:r w:rsidR="00C67B14">
        <w:rPr>
          <w:bCs/>
          <w:sz w:val="24"/>
          <w:szCs w:val="24"/>
        </w:rPr>
        <w:t xml:space="preserve">. Impact Evaluation Results: </w:t>
      </w:r>
      <w:r w:rsidRPr="00C67B14">
        <w:rPr>
          <w:bCs/>
          <w:sz w:val="24"/>
          <w:szCs w:val="24"/>
        </w:rPr>
        <w:t>How Do They Compare and Why?” Research Report U91</w:t>
      </w:r>
      <w:r w:rsidR="00C67B14">
        <w:rPr>
          <w:bCs/>
          <w:sz w:val="24"/>
          <w:szCs w:val="24"/>
        </w:rPr>
        <w:t xml:space="preserve">5. Washington, D.C.: American </w:t>
      </w:r>
      <w:r w:rsidRPr="00C67B14">
        <w:rPr>
          <w:bCs/>
          <w:sz w:val="24"/>
          <w:szCs w:val="24"/>
        </w:rPr>
        <w:t xml:space="preserve">Council for an Energy-Efficient Economy.  </w:t>
      </w:r>
    </w:p>
    <w:p w:rsidR="00D921A9" w:rsidRDefault="00D921A9" w:rsidP="007539D7">
      <w:pPr>
        <w:pStyle w:val="tpsubmitter"/>
        <w:ind w:left="90"/>
      </w:pPr>
    </w:p>
    <w:p w:rsidR="00BE1E98" w:rsidRPr="00C67B14" w:rsidRDefault="00A37B4E" w:rsidP="00C67B14">
      <w:pPr>
        <w:pStyle w:val="FootnoteText"/>
        <w:tabs>
          <w:tab w:val="clear" w:pos="288"/>
        </w:tabs>
        <w:spacing w:line="240" w:lineRule="auto"/>
        <w:ind w:left="720" w:hanging="720"/>
        <w:rPr>
          <w:bCs/>
          <w:sz w:val="24"/>
          <w:szCs w:val="24"/>
        </w:rPr>
      </w:pPr>
      <w:r w:rsidRPr="00C67B14">
        <w:rPr>
          <w:bCs/>
          <w:sz w:val="24"/>
          <w:szCs w:val="24"/>
        </w:rPr>
        <w:lastRenderedPageBreak/>
        <w:t>SBW Consulting, Inc., Itron, Inc.,</w:t>
      </w:r>
      <w:r w:rsidR="00DB3F16" w:rsidRPr="00C67B14">
        <w:rPr>
          <w:bCs/>
          <w:sz w:val="24"/>
          <w:szCs w:val="24"/>
        </w:rPr>
        <w:t xml:space="preserve"> </w:t>
      </w:r>
      <w:r w:rsidRPr="00C67B14">
        <w:rPr>
          <w:bCs/>
          <w:sz w:val="24"/>
          <w:szCs w:val="24"/>
        </w:rPr>
        <w:t xml:space="preserve">Kema Inc., </w:t>
      </w:r>
      <w:r w:rsidR="00DB3F16" w:rsidRPr="00C67B14">
        <w:rPr>
          <w:bCs/>
          <w:sz w:val="24"/>
          <w:szCs w:val="24"/>
        </w:rPr>
        <w:t xml:space="preserve"> </w:t>
      </w:r>
      <w:r w:rsidRPr="00C67B14">
        <w:rPr>
          <w:bCs/>
          <w:sz w:val="24"/>
          <w:szCs w:val="24"/>
        </w:rPr>
        <w:t>KDVR, Inc.,</w:t>
      </w:r>
      <w:r w:rsidR="00DB3F16" w:rsidRPr="00C67B14">
        <w:rPr>
          <w:bCs/>
          <w:sz w:val="24"/>
          <w:szCs w:val="24"/>
        </w:rPr>
        <w:t xml:space="preserve"> </w:t>
      </w:r>
      <w:r w:rsidRPr="00C67B14">
        <w:rPr>
          <w:bCs/>
          <w:sz w:val="24"/>
          <w:szCs w:val="24"/>
        </w:rPr>
        <w:t>Jai J. Mitchell Analytics,</w:t>
      </w:r>
      <w:r w:rsidR="00DB3F16" w:rsidRPr="00C67B14">
        <w:rPr>
          <w:bCs/>
          <w:sz w:val="24"/>
          <w:szCs w:val="24"/>
        </w:rPr>
        <w:t xml:space="preserve"> </w:t>
      </w:r>
      <w:r w:rsidRPr="00C67B14">
        <w:rPr>
          <w:bCs/>
          <w:sz w:val="24"/>
          <w:szCs w:val="24"/>
        </w:rPr>
        <w:t>Modest Systems,</w:t>
      </w:r>
      <w:r w:rsidR="00DB3F16" w:rsidRPr="00C67B14">
        <w:rPr>
          <w:bCs/>
          <w:sz w:val="24"/>
          <w:szCs w:val="24"/>
        </w:rPr>
        <w:t xml:space="preserve"> </w:t>
      </w:r>
      <w:r w:rsidRPr="00C67B14">
        <w:rPr>
          <w:bCs/>
          <w:sz w:val="24"/>
          <w:szCs w:val="24"/>
        </w:rPr>
        <w:t>Digital Energy,</w:t>
      </w:r>
      <w:r w:rsidR="00DB3F16" w:rsidRPr="00C67B14">
        <w:rPr>
          <w:bCs/>
          <w:sz w:val="24"/>
          <w:szCs w:val="24"/>
        </w:rPr>
        <w:t xml:space="preserve"> </w:t>
      </w:r>
      <w:r w:rsidRPr="00C67B14">
        <w:rPr>
          <w:bCs/>
          <w:sz w:val="24"/>
          <w:szCs w:val="24"/>
        </w:rPr>
        <w:t>ASW Engineering</w:t>
      </w:r>
      <w:r w:rsidR="00DB3F16" w:rsidRPr="00C67B14">
        <w:rPr>
          <w:bCs/>
          <w:sz w:val="24"/>
          <w:szCs w:val="24"/>
        </w:rPr>
        <w:t xml:space="preserve">. 2010. </w:t>
      </w:r>
      <w:r w:rsidRPr="00C67B14">
        <w:rPr>
          <w:bCs/>
          <w:sz w:val="24"/>
          <w:szCs w:val="24"/>
        </w:rPr>
        <w:t xml:space="preserve"> </w:t>
      </w:r>
      <w:r w:rsidR="00A55BFE" w:rsidRPr="00C67B14">
        <w:rPr>
          <w:bCs/>
          <w:i/>
          <w:sz w:val="24"/>
          <w:szCs w:val="24"/>
        </w:rPr>
        <w:t>Major Commercial Contract Group Final Impact Evaluation Report 2006-2008 Program Years.</w:t>
      </w:r>
      <w:r w:rsidR="00A55BFE" w:rsidRPr="00C67B14">
        <w:rPr>
          <w:bCs/>
          <w:sz w:val="24"/>
          <w:szCs w:val="24"/>
        </w:rPr>
        <w:t xml:space="preserve"> Study ID: CPU0021.01. www.calmac.org. </w:t>
      </w:r>
      <w:r w:rsidR="00DB3F16" w:rsidRPr="00C67B14">
        <w:rPr>
          <w:bCs/>
          <w:sz w:val="24"/>
          <w:szCs w:val="24"/>
        </w:rPr>
        <w:t xml:space="preserve"> Bellevue, WA: </w:t>
      </w:r>
      <w:r w:rsidR="00A55BFE" w:rsidRPr="00C67B14">
        <w:rPr>
          <w:bCs/>
          <w:sz w:val="24"/>
          <w:szCs w:val="24"/>
        </w:rPr>
        <w:t xml:space="preserve">SBW </w:t>
      </w:r>
      <w:r w:rsidR="00DB3F16" w:rsidRPr="00C67B14">
        <w:rPr>
          <w:bCs/>
          <w:sz w:val="24"/>
          <w:szCs w:val="24"/>
        </w:rPr>
        <w:t>Consulting, Inc</w:t>
      </w:r>
      <w:r w:rsidR="00A55BFE" w:rsidRPr="00C67B14">
        <w:rPr>
          <w:bCs/>
          <w:sz w:val="24"/>
          <w:szCs w:val="24"/>
        </w:rPr>
        <w:t xml:space="preserve">. </w:t>
      </w:r>
    </w:p>
    <w:p w:rsidR="00BE1E98" w:rsidRPr="00C67B14" w:rsidRDefault="00307A89" w:rsidP="00C67B14">
      <w:pPr>
        <w:pStyle w:val="FootnoteText"/>
        <w:tabs>
          <w:tab w:val="clear" w:pos="288"/>
        </w:tabs>
        <w:spacing w:line="240" w:lineRule="auto"/>
        <w:ind w:left="720" w:hanging="720"/>
        <w:rPr>
          <w:bCs/>
          <w:sz w:val="24"/>
          <w:szCs w:val="24"/>
        </w:rPr>
      </w:pPr>
      <w:r w:rsidRPr="00C67B14">
        <w:rPr>
          <w:bCs/>
          <w:sz w:val="24"/>
          <w:szCs w:val="24"/>
        </w:rPr>
        <w:t xml:space="preserve">Summit Blue, ECONorthwest, PA Consulting Group, Robert Thomas Brown Co., ADM, SBW Consulting, Inc. </w:t>
      </w:r>
      <w:r w:rsidRPr="00C67B14">
        <w:rPr>
          <w:bCs/>
          <w:i/>
          <w:sz w:val="24"/>
          <w:szCs w:val="24"/>
        </w:rPr>
        <w:t>Government Partnerships Programs Direct Impact Evaluation Report.</w:t>
      </w:r>
      <w:r w:rsidRPr="00C67B14">
        <w:rPr>
          <w:bCs/>
          <w:sz w:val="24"/>
          <w:szCs w:val="24"/>
        </w:rPr>
        <w:t xml:space="preserve"> 2010. Study ID: CPU0023.01. www.calmac.org. Walnut Creek, </w:t>
      </w:r>
      <w:r w:rsidR="009512DA" w:rsidRPr="00C67B14">
        <w:rPr>
          <w:bCs/>
          <w:sz w:val="24"/>
          <w:szCs w:val="24"/>
        </w:rPr>
        <w:t>CALIF.</w:t>
      </w:r>
      <w:r w:rsidRPr="00C67B14">
        <w:rPr>
          <w:bCs/>
          <w:sz w:val="24"/>
          <w:szCs w:val="24"/>
        </w:rPr>
        <w:t>: Summit Blue Consulting.</w:t>
      </w:r>
    </w:p>
    <w:p w:rsidR="00377E34" w:rsidRPr="00C67B14" w:rsidRDefault="00377E34" w:rsidP="00C67B14">
      <w:pPr>
        <w:pStyle w:val="FootnoteText"/>
        <w:tabs>
          <w:tab w:val="clear" w:pos="288"/>
        </w:tabs>
        <w:spacing w:line="240" w:lineRule="auto"/>
        <w:ind w:left="720" w:hanging="720"/>
        <w:rPr>
          <w:bCs/>
          <w:sz w:val="24"/>
          <w:szCs w:val="24"/>
        </w:rPr>
      </w:pPr>
      <w:r w:rsidRPr="00C67B14">
        <w:rPr>
          <w:bCs/>
          <w:sz w:val="24"/>
          <w:szCs w:val="24"/>
        </w:rPr>
        <w:t>Yalcintas,</w:t>
      </w:r>
      <w:r w:rsidR="00943785" w:rsidRPr="00C67B14">
        <w:rPr>
          <w:bCs/>
          <w:sz w:val="24"/>
          <w:szCs w:val="24"/>
        </w:rPr>
        <w:t xml:space="preserve"> M.</w:t>
      </w:r>
      <w:r w:rsidRPr="00C67B14">
        <w:rPr>
          <w:bCs/>
          <w:sz w:val="24"/>
          <w:szCs w:val="24"/>
        </w:rPr>
        <w:t xml:space="preserve"> 2008. “Energy-savings predictions for building-equipment retrofits”</w:t>
      </w:r>
      <w:r w:rsidR="009512DA" w:rsidRPr="00C67B14">
        <w:rPr>
          <w:bCs/>
          <w:sz w:val="24"/>
          <w:szCs w:val="24"/>
        </w:rPr>
        <w:t xml:space="preserve">. </w:t>
      </w:r>
      <w:r w:rsidRPr="00C67B14">
        <w:rPr>
          <w:bCs/>
          <w:sz w:val="24"/>
          <w:szCs w:val="24"/>
        </w:rPr>
        <w:t xml:space="preserve"> </w:t>
      </w:r>
      <w:r w:rsidR="00737C83" w:rsidRPr="00C67B14">
        <w:rPr>
          <w:bCs/>
          <w:sz w:val="24"/>
          <w:szCs w:val="24"/>
        </w:rPr>
        <w:t>Energy and Buildings</w:t>
      </w:r>
      <w:r w:rsidR="009512DA" w:rsidRPr="00C67B14">
        <w:rPr>
          <w:bCs/>
          <w:sz w:val="24"/>
          <w:szCs w:val="24"/>
        </w:rPr>
        <w:t xml:space="preserve"> </w:t>
      </w:r>
      <w:r w:rsidR="00737C83" w:rsidRPr="00C67B14">
        <w:rPr>
          <w:bCs/>
          <w:sz w:val="24"/>
          <w:szCs w:val="24"/>
        </w:rPr>
        <w:t>40</w:t>
      </w:r>
      <w:r w:rsidR="009512DA" w:rsidRPr="00C67B14">
        <w:rPr>
          <w:bCs/>
          <w:sz w:val="24"/>
          <w:szCs w:val="24"/>
        </w:rPr>
        <w:t xml:space="preserve"> (12): 2111-2120.</w:t>
      </w:r>
    </w:p>
    <w:p w:rsidR="00ED4B3F" w:rsidRPr="00377E34" w:rsidRDefault="00ED4B3F" w:rsidP="00F03441"/>
    <w:sectPr w:rsidR="00ED4B3F" w:rsidRPr="00377E34" w:rsidSect="007539D7">
      <w:pgSz w:w="12240" w:h="15840" w:code="1"/>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441" w:rsidRDefault="00F03441" w:rsidP="009A3220">
      <w:r>
        <w:separator/>
      </w:r>
    </w:p>
  </w:endnote>
  <w:endnote w:type="continuationSeparator" w:id="0">
    <w:p w:rsidR="00F03441" w:rsidRDefault="00F03441" w:rsidP="009A32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441" w:rsidRDefault="00F03441" w:rsidP="009A3220">
      <w:r>
        <w:separator/>
      </w:r>
    </w:p>
  </w:footnote>
  <w:footnote w:type="continuationSeparator" w:id="0">
    <w:p w:rsidR="00F03441" w:rsidRDefault="00F03441" w:rsidP="009A32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107D"/>
    <w:multiLevelType w:val="hybridMultilevel"/>
    <w:tmpl w:val="9344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8643D5"/>
    <w:multiLevelType w:val="hybridMultilevel"/>
    <w:tmpl w:val="549AF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6050AF"/>
    <w:multiLevelType w:val="multilevel"/>
    <w:tmpl w:val="51EC5C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C5E6666"/>
    <w:multiLevelType w:val="hybridMultilevel"/>
    <w:tmpl w:val="3026A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F00ED1"/>
    <w:multiLevelType w:val="singleLevel"/>
    <w:tmpl w:val="147419EA"/>
    <w:lvl w:ilvl="0">
      <w:numFmt w:val="bullet"/>
      <w:lvlText w:val=""/>
      <w:lvlJc w:val="left"/>
      <w:pPr>
        <w:tabs>
          <w:tab w:val="num" w:pos="720"/>
        </w:tabs>
        <w:ind w:left="720" w:hanging="720"/>
      </w:pPr>
      <w:rPr>
        <w:rFonts w:ascii="WP MathA" w:hAnsi="WP MathA" w:hint="default"/>
      </w:rPr>
    </w:lvl>
  </w:abstractNum>
  <w:abstractNum w:abstractNumId="5">
    <w:nsid w:val="3ED238F1"/>
    <w:multiLevelType w:val="hybridMultilevel"/>
    <w:tmpl w:val="6E38E328"/>
    <w:lvl w:ilvl="0" w:tplc="9A56643E">
      <w:start w:val="1"/>
      <w:numFmt w:val="bullet"/>
      <w:lvlText w:val=""/>
      <w:lvlJc w:val="left"/>
      <w:pPr>
        <w:tabs>
          <w:tab w:val="num" w:pos="2160"/>
        </w:tabs>
        <w:ind w:left="2160" w:hanging="360"/>
      </w:pPr>
      <w:rPr>
        <w:rFonts w:ascii="Symbol" w:hAnsi="Symbol"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2503B21"/>
    <w:multiLevelType w:val="singleLevel"/>
    <w:tmpl w:val="586A402A"/>
    <w:lvl w:ilvl="0">
      <w:start w:val="2"/>
      <w:numFmt w:val="bullet"/>
      <w:lvlText w:val=""/>
      <w:lvlJc w:val="left"/>
      <w:pPr>
        <w:tabs>
          <w:tab w:val="num" w:pos="720"/>
        </w:tabs>
        <w:ind w:left="720" w:hanging="720"/>
      </w:pPr>
      <w:rPr>
        <w:rFonts w:ascii="WP MathA" w:hAnsi="WP MathA" w:hint="default"/>
      </w:rPr>
    </w:lvl>
  </w:abstractNum>
  <w:abstractNum w:abstractNumId="7">
    <w:nsid w:val="443432CA"/>
    <w:multiLevelType w:val="hybridMultilevel"/>
    <w:tmpl w:val="68667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4763312"/>
    <w:multiLevelType w:val="multilevel"/>
    <w:tmpl w:val="6E38E328"/>
    <w:lvl w:ilvl="0">
      <w:start w:val="1"/>
      <w:numFmt w:val="bullet"/>
      <w:lvlText w:val=""/>
      <w:lvlJc w:val="left"/>
      <w:pPr>
        <w:tabs>
          <w:tab w:val="num" w:pos="2160"/>
        </w:tabs>
        <w:ind w:left="2160" w:hanging="360"/>
      </w:pPr>
      <w:rPr>
        <w:rFonts w:ascii="Symbol" w:hAnsi="Symbol" w:hint="default"/>
        <w:sz w:val="20"/>
        <w:szCs w:val="2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nsid w:val="47442D07"/>
    <w:multiLevelType w:val="hybridMultilevel"/>
    <w:tmpl w:val="2B68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585151"/>
    <w:multiLevelType w:val="hybridMultilevel"/>
    <w:tmpl w:val="90940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245EAE"/>
    <w:multiLevelType w:val="hybridMultilevel"/>
    <w:tmpl w:val="A5A68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EB0E27"/>
    <w:multiLevelType w:val="hybridMultilevel"/>
    <w:tmpl w:val="2E689720"/>
    <w:lvl w:ilvl="0" w:tplc="197E7EB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2A80566"/>
    <w:multiLevelType w:val="singleLevel"/>
    <w:tmpl w:val="0409000F"/>
    <w:lvl w:ilvl="0">
      <w:start w:val="1"/>
      <w:numFmt w:val="decimal"/>
      <w:lvlText w:val="%1."/>
      <w:lvlJc w:val="left"/>
      <w:pPr>
        <w:tabs>
          <w:tab w:val="num" w:pos="360"/>
        </w:tabs>
        <w:ind w:left="360" w:hanging="360"/>
      </w:pPr>
    </w:lvl>
  </w:abstractNum>
  <w:abstractNum w:abstractNumId="14">
    <w:nsid w:val="6BD46CAB"/>
    <w:multiLevelType w:val="hybridMultilevel"/>
    <w:tmpl w:val="A6F2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5C67C4"/>
    <w:multiLevelType w:val="hybridMultilevel"/>
    <w:tmpl w:val="0FE2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9359B3"/>
    <w:multiLevelType w:val="singleLevel"/>
    <w:tmpl w:val="0409000F"/>
    <w:lvl w:ilvl="0">
      <w:start w:val="1"/>
      <w:numFmt w:val="decimal"/>
      <w:lvlText w:val="%1."/>
      <w:lvlJc w:val="left"/>
      <w:pPr>
        <w:tabs>
          <w:tab w:val="num" w:pos="360"/>
        </w:tabs>
        <w:ind w:left="360" w:hanging="360"/>
      </w:pPr>
    </w:lvl>
  </w:abstractNum>
  <w:abstractNum w:abstractNumId="17">
    <w:nsid w:val="79836994"/>
    <w:multiLevelType w:val="hybridMultilevel"/>
    <w:tmpl w:val="3AA2E32A"/>
    <w:lvl w:ilvl="0" w:tplc="9A56643E">
      <w:start w:val="1"/>
      <w:numFmt w:val="bullet"/>
      <w:lvlText w:val=""/>
      <w:lvlJc w:val="left"/>
      <w:pPr>
        <w:tabs>
          <w:tab w:val="num" w:pos="2160"/>
        </w:tabs>
        <w:ind w:left="2160" w:hanging="360"/>
      </w:pPr>
      <w:rPr>
        <w:rFonts w:ascii="Symbol" w:hAnsi="Symbol" w:hint="default"/>
        <w:sz w:val="20"/>
        <w:szCs w:val="20"/>
      </w:rPr>
    </w:lvl>
    <w:lvl w:ilvl="1" w:tplc="9A56643E">
      <w:start w:val="1"/>
      <w:numFmt w:val="bullet"/>
      <w:lvlText w:val=""/>
      <w:lvlJc w:val="left"/>
      <w:pPr>
        <w:tabs>
          <w:tab w:val="num" w:pos="2160"/>
        </w:tabs>
        <w:ind w:left="2160" w:hanging="360"/>
      </w:pPr>
      <w:rPr>
        <w:rFonts w:ascii="Symbol" w:hAnsi="Symbol" w:hint="default"/>
        <w:sz w:val="20"/>
        <w:szCs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BDA2DA0"/>
    <w:multiLevelType w:val="hybridMultilevel"/>
    <w:tmpl w:val="5E7E7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6"/>
  </w:num>
  <w:num w:numId="4">
    <w:abstractNumId w:val="13"/>
  </w:num>
  <w:num w:numId="5">
    <w:abstractNumId w:val="12"/>
  </w:num>
  <w:num w:numId="6">
    <w:abstractNumId w:val="2"/>
  </w:num>
  <w:num w:numId="7">
    <w:abstractNumId w:val="5"/>
  </w:num>
  <w:num w:numId="8">
    <w:abstractNumId w:val="8"/>
  </w:num>
  <w:num w:numId="9">
    <w:abstractNumId w:val="17"/>
  </w:num>
  <w:num w:numId="10">
    <w:abstractNumId w:val="9"/>
  </w:num>
  <w:num w:numId="11">
    <w:abstractNumId w:val="18"/>
  </w:num>
  <w:num w:numId="12">
    <w:abstractNumId w:val="3"/>
  </w:num>
  <w:num w:numId="13">
    <w:abstractNumId w:val="15"/>
  </w:num>
  <w:num w:numId="14">
    <w:abstractNumId w:val="0"/>
  </w:num>
  <w:num w:numId="15">
    <w:abstractNumId w:val="14"/>
  </w:num>
  <w:num w:numId="16">
    <w:abstractNumId w:val="7"/>
  </w:num>
  <w:num w:numId="17">
    <w:abstractNumId w:val="1"/>
  </w:num>
  <w:num w:numId="18">
    <w:abstractNumId w:val="10"/>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D3FCE"/>
    <w:rsid w:val="00006406"/>
    <w:rsid w:val="000117FF"/>
    <w:rsid w:val="00026237"/>
    <w:rsid w:val="00036833"/>
    <w:rsid w:val="00051CCB"/>
    <w:rsid w:val="000641A9"/>
    <w:rsid w:val="00066475"/>
    <w:rsid w:val="00070337"/>
    <w:rsid w:val="000725B5"/>
    <w:rsid w:val="00082F76"/>
    <w:rsid w:val="00086524"/>
    <w:rsid w:val="00094EE1"/>
    <w:rsid w:val="00095378"/>
    <w:rsid w:val="000A5F1F"/>
    <w:rsid w:val="000B01A8"/>
    <w:rsid w:val="000B21AA"/>
    <w:rsid w:val="000B32ED"/>
    <w:rsid w:val="000B4D10"/>
    <w:rsid w:val="000B5081"/>
    <w:rsid w:val="000B7F66"/>
    <w:rsid w:val="000D0CC7"/>
    <w:rsid w:val="000E190E"/>
    <w:rsid w:val="000E6F0B"/>
    <w:rsid w:val="000F0BCF"/>
    <w:rsid w:val="001018AC"/>
    <w:rsid w:val="001027A0"/>
    <w:rsid w:val="00105A7F"/>
    <w:rsid w:val="001078C1"/>
    <w:rsid w:val="00117862"/>
    <w:rsid w:val="00125A8F"/>
    <w:rsid w:val="00132E80"/>
    <w:rsid w:val="00143EA3"/>
    <w:rsid w:val="00145A0A"/>
    <w:rsid w:val="00153993"/>
    <w:rsid w:val="00156D4D"/>
    <w:rsid w:val="00171B42"/>
    <w:rsid w:val="00175100"/>
    <w:rsid w:val="00175E74"/>
    <w:rsid w:val="00175F89"/>
    <w:rsid w:val="00177276"/>
    <w:rsid w:val="00187289"/>
    <w:rsid w:val="00187D1F"/>
    <w:rsid w:val="00194787"/>
    <w:rsid w:val="001968F0"/>
    <w:rsid w:val="00196CB6"/>
    <w:rsid w:val="001A6D9B"/>
    <w:rsid w:val="001B3A67"/>
    <w:rsid w:val="001B5A14"/>
    <w:rsid w:val="001C1031"/>
    <w:rsid w:val="001C2AB2"/>
    <w:rsid w:val="001C5C83"/>
    <w:rsid w:val="001D6317"/>
    <w:rsid w:val="001E5559"/>
    <w:rsid w:val="001F0C16"/>
    <w:rsid w:val="001F5D83"/>
    <w:rsid w:val="00211EED"/>
    <w:rsid w:val="00214CB9"/>
    <w:rsid w:val="00217FBB"/>
    <w:rsid w:val="00220454"/>
    <w:rsid w:val="00227C94"/>
    <w:rsid w:val="00236E67"/>
    <w:rsid w:val="00250669"/>
    <w:rsid w:val="0025448B"/>
    <w:rsid w:val="0025503D"/>
    <w:rsid w:val="00265486"/>
    <w:rsid w:val="002743D7"/>
    <w:rsid w:val="00277DAC"/>
    <w:rsid w:val="0028758F"/>
    <w:rsid w:val="002940D7"/>
    <w:rsid w:val="002A1F35"/>
    <w:rsid w:val="002A3C62"/>
    <w:rsid w:val="002B3415"/>
    <w:rsid w:val="002C75A0"/>
    <w:rsid w:val="002C7C90"/>
    <w:rsid w:val="002E63A7"/>
    <w:rsid w:val="002F3C7D"/>
    <w:rsid w:val="00303643"/>
    <w:rsid w:val="00303E4E"/>
    <w:rsid w:val="00307A89"/>
    <w:rsid w:val="003168DC"/>
    <w:rsid w:val="00321405"/>
    <w:rsid w:val="00332DC6"/>
    <w:rsid w:val="00333DE7"/>
    <w:rsid w:val="003374E7"/>
    <w:rsid w:val="00342125"/>
    <w:rsid w:val="0034666E"/>
    <w:rsid w:val="00346A17"/>
    <w:rsid w:val="00363D2A"/>
    <w:rsid w:val="00370536"/>
    <w:rsid w:val="00377E34"/>
    <w:rsid w:val="00391B5A"/>
    <w:rsid w:val="00393EE7"/>
    <w:rsid w:val="003A4374"/>
    <w:rsid w:val="003A5A9D"/>
    <w:rsid w:val="003A6A3A"/>
    <w:rsid w:val="003B0141"/>
    <w:rsid w:val="003D6074"/>
    <w:rsid w:val="003D69A7"/>
    <w:rsid w:val="003E3CAB"/>
    <w:rsid w:val="003E6FBF"/>
    <w:rsid w:val="003F3E24"/>
    <w:rsid w:val="00412599"/>
    <w:rsid w:val="00422823"/>
    <w:rsid w:val="00423D1C"/>
    <w:rsid w:val="004268DD"/>
    <w:rsid w:val="00426F7C"/>
    <w:rsid w:val="00427F0B"/>
    <w:rsid w:val="0044458C"/>
    <w:rsid w:val="00473739"/>
    <w:rsid w:val="004808A2"/>
    <w:rsid w:val="00481548"/>
    <w:rsid w:val="00483255"/>
    <w:rsid w:val="00494ACD"/>
    <w:rsid w:val="004A5FFD"/>
    <w:rsid w:val="004A6D81"/>
    <w:rsid w:val="004B4B73"/>
    <w:rsid w:val="004D047F"/>
    <w:rsid w:val="004D0F00"/>
    <w:rsid w:val="004D23AE"/>
    <w:rsid w:val="004D76D3"/>
    <w:rsid w:val="004E0302"/>
    <w:rsid w:val="004E1A28"/>
    <w:rsid w:val="004E7AE7"/>
    <w:rsid w:val="004F1018"/>
    <w:rsid w:val="004F42A6"/>
    <w:rsid w:val="004F5ECE"/>
    <w:rsid w:val="004F6B81"/>
    <w:rsid w:val="00500673"/>
    <w:rsid w:val="00501AF4"/>
    <w:rsid w:val="00514DB0"/>
    <w:rsid w:val="00516A53"/>
    <w:rsid w:val="00520A8E"/>
    <w:rsid w:val="005420A3"/>
    <w:rsid w:val="0054317E"/>
    <w:rsid w:val="00544532"/>
    <w:rsid w:val="00554BD8"/>
    <w:rsid w:val="005560E6"/>
    <w:rsid w:val="00561A7A"/>
    <w:rsid w:val="00561ED0"/>
    <w:rsid w:val="00562B9B"/>
    <w:rsid w:val="00565AF5"/>
    <w:rsid w:val="00577C46"/>
    <w:rsid w:val="00585522"/>
    <w:rsid w:val="00597F04"/>
    <w:rsid w:val="005A474C"/>
    <w:rsid w:val="005C3486"/>
    <w:rsid w:val="005C6090"/>
    <w:rsid w:val="005D3474"/>
    <w:rsid w:val="005D798D"/>
    <w:rsid w:val="005F4E20"/>
    <w:rsid w:val="00607BA8"/>
    <w:rsid w:val="00611632"/>
    <w:rsid w:val="00613A2C"/>
    <w:rsid w:val="00613DBF"/>
    <w:rsid w:val="00615B15"/>
    <w:rsid w:val="00631404"/>
    <w:rsid w:val="00642A81"/>
    <w:rsid w:val="006602DF"/>
    <w:rsid w:val="0067606F"/>
    <w:rsid w:val="00676411"/>
    <w:rsid w:val="00681628"/>
    <w:rsid w:val="00681CA5"/>
    <w:rsid w:val="00690227"/>
    <w:rsid w:val="006B1A69"/>
    <w:rsid w:val="006B7F58"/>
    <w:rsid w:val="006C2E45"/>
    <w:rsid w:val="006D7EAC"/>
    <w:rsid w:val="006F03AE"/>
    <w:rsid w:val="006F06AB"/>
    <w:rsid w:val="006F2A8B"/>
    <w:rsid w:val="006F2E84"/>
    <w:rsid w:val="0070231A"/>
    <w:rsid w:val="007104EA"/>
    <w:rsid w:val="00722129"/>
    <w:rsid w:val="00723BDE"/>
    <w:rsid w:val="0072515E"/>
    <w:rsid w:val="00737C83"/>
    <w:rsid w:val="007445BD"/>
    <w:rsid w:val="007500A0"/>
    <w:rsid w:val="007539D7"/>
    <w:rsid w:val="00772C37"/>
    <w:rsid w:val="00775CD4"/>
    <w:rsid w:val="00776AAB"/>
    <w:rsid w:val="007819C4"/>
    <w:rsid w:val="00782DE3"/>
    <w:rsid w:val="007857FF"/>
    <w:rsid w:val="00786714"/>
    <w:rsid w:val="007A1E05"/>
    <w:rsid w:val="007A227C"/>
    <w:rsid w:val="007A5056"/>
    <w:rsid w:val="007B18B9"/>
    <w:rsid w:val="007B2E42"/>
    <w:rsid w:val="007B44D3"/>
    <w:rsid w:val="007C3B66"/>
    <w:rsid w:val="007E19E4"/>
    <w:rsid w:val="007E3D45"/>
    <w:rsid w:val="007F50E8"/>
    <w:rsid w:val="007F5A4B"/>
    <w:rsid w:val="007F7355"/>
    <w:rsid w:val="00801CA3"/>
    <w:rsid w:val="008179CE"/>
    <w:rsid w:val="00821564"/>
    <w:rsid w:val="0082191E"/>
    <w:rsid w:val="00832537"/>
    <w:rsid w:val="00832B0A"/>
    <w:rsid w:val="008332D3"/>
    <w:rsid w:val="00850B65"/>
    <w:rsid w:val="008607E6"/>
    <w:rsid w:val="00864DC0"/>
    <w:rsid w:val="008776FC"/>
    <w:rsid w:val="00880600"/>
    <w:rsid w:val="00880713"/>
    <w:rsid w:val="0088121E"/>
    <w:rsid w:val="00881CB9"/>
    <w:rsid w:val="008A3A6C"/>
    <w:rsid w:val="008B0684"/>
    <w:rsid w:val="008B13B9"/>
    <w:rsid w:val="008B25DB"/>
    <w:rsid w:val="008B6508"/>
    <w:rsid w:val="008C11C8"/>
    <w:rsid w:val="008D38A4"/>
    <w:rsid w:val="008E4A22"/>
    <w:rsid w:val="008E68F3"/>
    <w:rsid w:val="008E7024"/>
    <w:rsid w:val="008F053F"/>
    <w:rsid w:val="00902A3B"/>
    <w:rsid w:val="00905731"/>
    <w:rsid w:val="0091226C"/>
    <w:rsid w:val="00914DAC"/>
    <w:rsid w:val="0092212A"/>
    <w:rsid w:val="00922E84"/>
    <w:rsid w:val="00924233"/>
    <w:rsid w:val="0092601D"/>
    <w:rsid w:val="00927309"/>
    <w:rsid w:val="00943785"/>
    <w:rsid w:val="00947817"/>
    <w:rsid w:val="009512DA"/>
    <w:rsid w:val="009521EB"/>
    <w:rsid w:val="009524F2"/>
    <w:rsid w:val="009552A7"/>
    <w:rsid w:val="009579FB"/>
    <w:rsid w:val="0097602B"/>
    <w:rsid w:val="00976928"/>
    <w:rsid w:val="00976CF6"/>
    <w:rsid w:val="00991202"/>
    <w:rsid w:val="009938C4"/>
    <w:rsid w:val="009A0F3C"/>
    <w:rsid w:val="009A1CA7"/>
    <w:rsid w:val="009A2937"/>
    <w:rsid w:val="009A3220"/>
    <w:rsid w:val="009A4B9D"/>
    <w:rsid w:val="009A6627"/>
    <w:rsid w:val="009B2C9D"/>
    <w:rsid w:val="009C023D"/>
    <w:rsid w:val="009C5AEB"/>
    <w:rsid w:val="009D117C"/>
    <w:rsid w:val="009D1B11"/>
    <w:rsid w:val="009D3272"/>
    <w:rsid w:val="009D4E48"/>
    <w:rsid w:val="009E31D8"/>
    <w:rsid w:val="009E5B14"/>
    <w:rsid w:val="00A016F0"/>
    <w:rsid w:val="00A0288B"/>
    <w:rsid w:val="00A06038"/>
    <w:rsid w:val="00A10AF5"/>
    <w:rsid w:val="00A15A74"/>
    <w:rsid w:val="00A15E0C"/>
    <w:rsid w:val="00A30A24"/>
    <w:rsid w:val="00A37B4E"/>
    <w:rsid w:val="00A41178"/>
    <w:rsid w:val="00A43C12"/>
    <w:rsid w:val="00A540FD"/>
    <w:rsid w:val="00A55BFE"/>
    <w:rsid w:val="00A75A57"/>
    <w:rsid w:val="00A84367"/>
    <w:rsid w:val="00A87297"/>
    <w:rsid w:val="00A91B3E"/>
    <w:rsid w:val="00A9540F"/>
    <w:rsid w:val="00A954A0"/>
    <w:rsid w:val="00AA39F0"/>
    <w:rsid w:val="00AA57D2"/>
    <w:rsid w:val="00AA7A18"/>
    <w:rsid w:val="00AB0815"/>
    <w:rsid w:val="00AB1107"/>
    <w:rsid w:val="00AB7E1C"/>
    <w:rsid w:val="00AC0FCA"/>
    <w:rsid w:val="00AD3CD7"/>
    <w:rsid w:val="00AD3FCE"/>
    <w:rsid w:val="00AE6674"/>
    <w:rsid w:val="00AF032F"/>
    <w:rsid w:val="00B0473F"/>
    <w:rsid w:val="00B07E25"/>
    <w:rsid w:val="00B1108F"/>
    <w:rsid w:val="00B12238"/>
    <w:rsid w:val="00B12E2B"/>
    <w:rsid w:val="00B21A1F"/>
    <w:rsid w:val="00B276D0"/>
    <w:rsid w:val="00B318FF"/>
    <w:rsid w:val="00B464CC"/>
    <w:rsid w:val="00B63C5E"/>
    <w:rsid w:val="00B64A7C"/>
    <w:rsid w:val="00B72479"/>
    <w:rsid w:val="00B72B57"/>
    <w:rsid w:val="00B76DBD"/>
    <w:rsid w:val="00B9313C"/>
    <w:rsid w:val="00BC5257"/>
    <w:rsid w:val="00BC6D00"/>
    <w:rsid w:val="00BD0391"/>
    <w:rsid w:val="00BD6BD6"/>
    <w:rsid w:val="00BE1E98"/>
    <w:rsid w:val="00BE6A84"/>
    <w:rsid w:val="00BE785B"/>
    <w:rsid w:val="00C0039F"/>
    <w:rsid w:val="00C034E3"/>
    <w:rsid w:val="00C036C9"/>
    <w:rsid w:val="00C04D2E"/>
    <w:rsid w:val="00C0596F"/>
    <w:rsid w:val="00C128FC"/>
    <w:rsid w:val="00C13B09"/>
    <w:rsid w:val="00C351CA"/>
    <w:rsid w:val="00C360EB"/>
    <w:rsid w:val="00C412FB"/>
    <w:rsid w:val="00C57E70"/>
    <w:rsid w:val="00C62722"/>
    <w:rsid w:val="00C63A6F"/>
    <w:rsid w:val="00C6659D"/>
    <w:rsid w:val="00C67B14"/>
    <w:rsid w:val="00CC400F"/>
    <w:rsid w:val="00CC5C54"/>
    <w:rsid w:val="00CC6A22"/>
    <w:rsid w:val="00CD5FC3"/>
    <w:rsid w:val="00CE0DE4"/>
    <w:rsid w:val="00CE502C"/>
    <w:rsid w:val="00CE5826"/>
    <w:rsid w:val="00CF4F6F"/>
    <w:rsid w:val="00D039EB"/>
    <w:rsid w:val="00D03AC6"/>
    <w:rsid w:val="00D05925"/>
    <w:rsid w:val="00D15BE2"/>
    <w:rsid w:val="00D22B4B"/>
    <w:rsid w:val="00D262B0"/>
    <w:rsid w:val="00D56429"/>
    <w:rsid w:val="00D60083"/>
    <w:rsid w:val="00D62190"/>
    <w:rsid w:val="00D66F0C"/>
    <w:rsid w:val="00D70030"/>
    <w:rsid w:val="00D708C3"/>
    <w:rsid w:val="00D921A9"/>
    <w:rsid w:val="00DA38B5"/>
    <w:rsid w:val="00DA430D"/>
    <w:rsid w:val="00DA5831"/>
    <w:rsid w:val="00DB3F16"/>
    <w:rsid w:val="00DC6679"/>
    <w:rsid w:val="00DD1FA1"/>
    <w:rsid w:val="00DE593F"/>
    <w:rsid w:val="00DF0CF8"/>
    <w:rsid w:val="00DF7463"/>
    <w:rsid w:val="00E01AF9"/>
    <w:rsid w:val="00E1726E"/>
    <w:rsid w:val="00E335E9"/>
    <w:rsid w:val="00E356F0"/>
    <w:rsid w:val="00E36251"/>
    <w:rsid w:val="00E41687"/>
    <w:rsid w:val="00E43FE9"/>
    <w:rsid w:val="00E464B1"/>
    <w:rsid w:val="00E55006"/>
    <w:rsid w:val="00E60743"/>
    <w:rsid w:val="00E71B56"/>
    <w:rsid w:val="00E73D09"/>
    <w:rsid w:val="00E75A19"/>
    <w:rsid w:val="00E80BC7"/>
    <w:rsid w:val="00E875D4"/>
    <w:rsid w:val="00E875E4"/>
    <w:rsid w:val="00E93157"/>
    <w:rsid w:val="00EA22CA"/>
    <w:rsid w:val="00EA6438"/>
    <w:rsid w:val="00EB19D0"/>
    <w:rsid w:val="00EC0F08"/>
    <w:rsid w:val="00ED4B3F"/>
    <w:rsid w:val="00EF1521"/>
    <w:rsid w:val="00F00676"/>
    <w:rsid w:val="00F03441"/>
    <w:rsid w:val="00F1635D"/>
    <w:rsid w:val="00F4512A"/>
    <w:rsid w:val="00F5038A"/>
    <w:rsid w:val="00F678BB"/>
    <w:rsid w:val="00F7590C"/>
    <w:rsid w:val="00F76D03"/>
    <w:rsid w:val="00F87FEC"/>
    <w:rsid w:val="00FA3C6F"/>
    <w:rsid w:val="00FA7093"/>
    <w:rsid w:val="00FC1A83"/>
    <w:rsid w:val="00FD1A83"/>
    <w:rsid w:val="00FD2903"/>
    <w:rsid w:val="00FD30D2"/>
    <w:rsid w:val="00FD75CD"/>
    <w:rsid w:val="00FE72E9"/>
    <w:rsid w:val="00FF2DE1"/>
    <w:rsid w:val="00FF334A"/>
    <w:rsid w:val="00FF3F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32F"/>
    <w:pPr>
      <w:ind w:firstLine="720"/>
      <w:jc w:val="both"/>
    </w:pPr>
    <w:rPr>
      <w:sz w:val="24"/>
    </w:rPr>
  </w:style>
  <w:style w:type="paragraph" w:styleId="Heading1">
    <w:name w:val="heading 1"/>
    <w:basedOn w:val="Normal"/>
    <w:next w:val="Normal"/>
    <w:qFormat/>
    <w:rsid w:val="00363D2A"/>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outlineLvl w:val="0"/>
    </w:pPr>
    <w:rPr>
      <w:b/>
      <w:sz w:val="28"/>
    </w:rPr>
  </w:style>
  <w:style w:type="paragraph" w:styleId="Heading2">
    <w:name w:val="heading 2"/>
    <w:basedOn w:val="Normal"/>
    <w:next w:val="Normal"/>
    <w:link w:val="Heading2Char"/>
    <w:qFormat/>
    <w:rsid w:val="00363D2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outlineLvl w:val="1"/>
    </w:pPr>
    <w:rPr>
      <w:b/>
    </w:rPr>
  </w:style>
  <w:style w:type="paragraph" w:styleId="Heading3">
    <w:name w:val="heading 3"/>
    <w:basedOn w:val="Normal"/>
    <w:next w:val="Normal"/>
    <w:qFormat/>
    <w:rsid w:val="00363D2A"/>
    <w:pPr>
      <w:keepNext/>
      <w:ind w:firstLine="0"/>
      <w:outlineLvl w:val="2"/>
    </w:pPr>
    <w:rPr>
      <w:b/>
    </w:rPr>
  </w:style>
  <w:style w:type="paragraph" w:styleId="Heading4">
    <w:name w:val="heading 4"/>
    <w:basedOn w:val="Normal"/>
    <w:next w:val="Normal"/>
    <w:link w:val="Heading4Char"/>
    <w:uiPriority w:val="9"/>
    <w:qFormat/>
    <w:rsid w:val="00132E80"/>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B25DB"/>
    <w:pPr>
      <w:spacing w:after="240"/>
      <w:jc w:val="center"/>
      <w:outlineLvl w:val="0"/>
    </w:pPr>
    <w:rPr>
      <w:b/>
      <w:kern w:val="28"/>
      <w:sz w:val="28"/>
    </w:rPr>
  </w:style>
  <w:style w:type="paragraph" w:customStyle="1" w:styleId="authors">
    <w:name w:val="authors"/>
    <w:basedOn w:val="Heading3"/>
    <w:rsid w:val="008B25DB"/>
    <w:pPr>
      <w:widowControl w:val="0"/>
      <w:spacing w:after="480"/>
      <w:jc w:val="center"/>
    </w:pPr>
    <w:rPr>
      <w:i/>
    </w:rPr>
  </w:style>
  <w:style w:type="paragraph" w:customStyle="1" w:styleId="tabletitle">
    <w:name w:val="table title"/>
    <w:basedOn w:val="Normal"/>
    <w:rsid w:val="008B25DB"/>
    <w:pPr>
      <w:keepLines/>
      <w:jc w:val="center"/>
    </w:pPr>
    <w:rPr>
      <w:b/>
    </w:rPr>
  </w:style>
  <w:style w:type="paragraph" w:customStyle="1" w:styleId="abstractline">
    <w:name w:val="abstract line"/>
    <w:basedOn w:val="Title"/>
    <w:rsid w:val="008B25DB"/>
    <w:pPr>
      <w:ind w:firstLine="0"/>
      <w:jc w:val="left"/>
    </w:pPr>
    <w:rPr>
      <w:caps/>
      <w:sz w:val="24"/>
    </w:rPr>
  </w:style>
  <w:style w:type="paragraph" w:customStyle="1" w:styleId="references">
    <w:name w:val="references"/>
    <w:basedOn w:val="Normal"/>
    <w:rsid w:val="008B25DB"/>
    <w:pPr>
      <w:ind w:left="360" w:hanging="360"/>
    </w:pPr>
  </w:style>
  <w:style w:type="paragraph" w:customStyle="1" w:styleId="columntitle">
    <w:name w:val="column title"/>
    <w:basedOn w:val="tabletext"/>
    <w:rsid w:val="00363D2A"/>
    <w:pPr>
      <w:jc w:val="center"/>
    </w:pPr>
    <w:rPr>
      <w:b/>
    </w:rPr>
  </w:style>
  <w:style w:type="paragraph" w:customStyle="1" w:styleId="tabletext">
    <w:name w:val="table text"/>
    <w:basedOn w:val="tabletitle"/>
    <w:rsid w:val="00363D2A"/>
    <w:pPr>
      <w:jc w:val="left"/>
    </w:pPr>
    <w:rPr>
      <w:b w:val="0"/>
      <w:sz w:val="20"/>
    </w:rPr>
  </w:style>
  <w:style w:type="character" w:styleId="FootnoteReference">
    <w:name w:val="footnote reference"/>
    <w:basedOn w:val="DefaultParagraphFont"/>
    <w:uiPriority w:val="99"/>
    <w:rsid w:val="009A3220"/>
    <w:rPr>
      <w:rFonts w:cs="Times New Roman"/>
      <w:position w:val="6"/>
      <w:sz w:val="16"/>
      <w:szCs w:val="16"/>
    </w:rPr>
  </w:style>
  <w:style w:type="paragraph" w:customStyle="1" w:styleId="tablenotes">
    <w:name w:val="table notes"/>
    <w:basedOn w:val="tabletext"/>
    <w:rsid w:val="008B25DB"/>
    <w:pPr>
      <w:spacing w:after="240"/>
      <w:jc w:val="center"/>
    </w:pPr>
  </w:style>
  <w:style w:type="paragraph" w:customStyle="1" w:styleId="FigureTitle">
    <w:name w:val="Figure Title"/>
    <w:basedOn w:val="tabletitle"/>
    <w:rsid w:val="00A10AF5"/>
    <w:pPr>
      <w:ind w:firstLine="0"/>
    </w:pPr>
    <w:rPr>
      <w:bCs/>
    </w:rPr>
  </w:style>
  <w:style w:type="paragraph" w:styleId="FootnoteText">
    <w:name w:val="footnote text"/>
    <w:basedOn w:val="Normal"/>
    <w:link w:val="FootnoteTextChar"/>
    <w:autoRedefine/>
    <w:rsid w:val="007539D7"/>
    <w:pPr>
      <w:tabs>
        <w:tab w:val="left" w:pos="288"/>
      </w:tabs>
      <w:spacing w:before="100" w:beforeAutospacing="1" w:line="480" w:lineRule="auto"/>
      <w:ind w:left="90" w:firstLine="0"/>
    </w:pPr>
    <w:rPr>
      <w:sz w:val="20"/>
    </w:rPr>
  </w:style>
  <w:style w:type="paragraph" w:customStyle="1" w:styleId="figurenotes">
    <w:name w:val="figure notes"/>
    <w:basedOn w:val="tablenotes"/>
    <w:rsid w:val="00412599"/>
    <w:pPr>
      <w:ind w:firstLine="0"/>
    </w:pPr>
  </w:style>
  <w:style w:type="character" w:customStyle="1" w:styleId="FootnoteTextChar">
    <w:name w:val="Footnote Text Char"/>
    <w:basedOn w:val="DefaultParagraphFont"/>
    <w:link w:val="FootnoteText"/>
    <w:rsid w:val="007539D7"/>
  </w:style>
  <w:style w:type="paragraph" w:styleId="Caption">
    <w:name w:val="caption"/>
    <w:basedOn w:val="Normal"/>
    <w:next w:val="Normal"/>
    <w:link w:val="CaptionChar"/>
    <w:autoRedefine/>
    <w:qFormat/>
    <w:rsid w:val="00AC0FCA"/>
    <w:pPr>
      <w:keepNext/>
      <w:keepLines/>
      <w:spacing w:before="120"/>
      <w:ind w:firstLine="0"/>
      <w:jc w:val="center"/>
    </w:pPr>
    <w:rPr>
      <w:b/>
      <w:bCs/>
      <w:szCs w:val="24"/>
    </w:rPr>
  </w:style>
  <w:style w:type="character" w:customStyle="1" w:styleId="CaptionChar">
    <w:name w:val="Caption Char"/>
    <w:basedOn w:val="DefaultParagraphFont"/>
    <w:link w:val="Caption"/>
    <w:locked/>
    <w:rsid w:val="00AC0FCA"/>
    <w:rPr>
      <w:b/>
      <w:bCs/>
      <w:sz w:val="24"/>
      <w:szCs w:val="24"/>
    </w:rPr>
  </w:style>
  <w:style w:type="paragraph" w:customStyle="1" w:styleId="pF">
    <w:name w:val="pF"/>
    <w:link w:val="pFChar"/>
    <w:rsid w:val="00BD6BD6"/>
    <w:pPr>
      <w:spacing w:after="130" w:line="320" w:lineRule="atLeast"/>
      <w:ind w:left="720" w:hanging="432"/>
      <w:jc w:val="both"/>
    </w:pPr>
    <w:rPr>
      <w:sz w:val="24"/>
      <w:szCs w:val="24"/>
    </w:rPr>
  </w:style>
  <w:style w:type="character" w:styleId="Hyperlink">
    <w:name w:val="Hyperlink"/>
    <w:basedOn w:val="DefaultParagraphFont"/>
    <w:uiPriority w:val="99"/>
    <w:rsid w:val="00BD6BD6"/>
    <w:rPr>
      <w:rFonts w:cs="Times New Roman"/>
      <w:color w:val="0000FF"/>
      <w:u w:val="single"/>
    </w:rPr>
  </w:style>
  <w:style w:type="character" w:customStyle="1" w:styleId="pFChar">
    <w:name w:val="pF Char"/>
    <w:basedOn w:val="DefaultParagraphFont"/>
    <w:link w:val="pF"/>
    <w:rsid w:val="00BD6BD6"/>
    <w:rPr>
      <w:sz w:val="24"/>
      <w:szCs w:val="24"/>
      <w:lang w:val="en-US" w:eastAsia="en-US" w:bidi="ar-SA"/>
    </w:rPr>
  </w:style>
  <w:style w:type="table" w:customStyle="1" w:styleId="ItronBasic">
    <w:name w:val="ItronBasic"/>
    <w:basedOn w:val="TableNormal"/>
    <w:uiPriority w:val="99"/>
    <w:qFormat/>
    <w:rsid w:val="00265486"/>
    <w:rPr>
      <w:rFonts w:ascii="Tms Rmn" w:hAnsi="Tms Rmn"/>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cPr>
        <w:tcBorders>
          <w:top w:val="single" w:sz="12" w:space="0" w:color="auto"/>
          <w:left w:val="single" w:sz="12" w:space="0" w:color="auto"/>
          <w:bottom w:val="single" w:sz="12" w:space="0" w:color="auto"/>
          <w:right w:val="single" w:sz="12" w:space="0" w:color="auto"/>
        </w:tcBorders>
        <w:shd w:val="clear" w:color="auto" w:fill="D9D9D9"/>
      </w:tcPr>
    </w:tblStylePr>
  </w:style>
  <w:style w:type="paragraph" w:styleId="BalloonText">
    <w:name w:val="Balloon Text"/>
    <w:basedOn w:val="Normal"/>
    <w:link w:val="BalloonTextChar"/>
    <w:uiPriority w:val="99"/>
    <w:semiHidden/>
    <w:unhideWhenUsed/>
    <w:rsid w:val="00265486"/>
    <w:rPr>
      <w:rFonts w:ascii="Tahoma" w:hAnsi="Tahoma" w:cs="Tahoma"/>
      <w:sz w:val="16"/>
      <w:szCs w:val="16"/>
    </w:rPr>
  </w:style>
  <w:style w:type="character" w:customStyle="1" w:styleId="BalloonTextChar">
    <w:name w:val="Balloon Text Char"/>
    <w:basedOn w:val="DefaultParagraphFont"/>
    <w:link w:val="BalloonText"/>
    <w:uiPriority w:val="99"/>
    <w:semiHidden/>
    <w:rsid w:val="00265486"/>
    <w:rPr>
      <w:rFonts w:ascii="Tahoma" w:hAnsi="Tahoma" w:cs="Tahoma"/>
      <w:sz w:val="16"/>
      <w:szCs w:val="16"/>
    </w:rPr>
  </w:style>
  <w:style w:type="character" w:customStyle="1" w:styleId="Heading4Char">
    <w:name w:val="Heading 4 Char"/>
    <w:basedOn w:val="DefaultParagraphFont"/>
    <w:link w:val="Heading4"/>
    <w:uiPriority w:val="9"/>
    <w:semiHidden/>
    <w:rsid w:val="00132E80"/>
    <w:rPr>
      <w:rFonts w:ascii="Calibri" w:eastAsia="Times New Roman" w:hAnsi="Calibri" w:cs="Times New Roman"/>
      <w:b/>
      <w:bCs/>
      <w:sz w:val="28"/>
      <w:szCs w:val="28"/>
    </w:rPr>
  </w:style>
  <w:style w:type="paragraph" w:styleId="ListParagraph">
    <w:name w:val="List Paragraph"/>
    <w:basedOn w:val="Normal"/>
    <w:uiPriority w:val="99"/>
    <w:qFormat/>
    <w:rsid w:val="00132E80"/>
    <w:pPr>
      <w:spacing w:after="80" w:line="320" w:lineRule="atLeast"/>
      <w:ind w:firstLine="0"/>
    </w:pPr>
    <w:rPr>
      <w:szCs w:val="24"/>
    </w:rPr>
  </w:style>
  <w:style w:type="character" w:styleId="CommentReference">
    <w:name w:val="annotation reference"/>
    <w:basedOn w:val="DefaultParagraphFont"/>
    <w:uiPriority w:val="99"/>
    <w:semiHidden/>
    <w:unhideWhenUsed/>
    <w:rsid w:val="007445BD"/>
    <w:rPr>
      <w:sz w:val="16"/>
      <w:szCs w:val="16"/>
    </w:rPr>
  </w:style>
  <w:style w:type="paragraph" w:styleId="CommentText">
    <w:name w:val="annotation text"/>
    <w:basedOn w:val="Normal"/>
    <w:link w:val="CommentTextChar"/>
    <w:uiPriority w:val="99"/>
    <w:semiHidden/>
    <w:unhideWhenUsed/>
    <w:rsid w:val="007445BD"/>
    <w:rPr>
      <w:sz w:val="20"/>
    </w:rPr>
  </w:style>
  <w:style w:type="character" w:customStyle="1" w:styleId="CommentTextChar">
    <w:name w:val="Comment Text Char"/>
    <w:basedOn w:val="DefaultParagraphFont"/>
    <w:link w:val="CommentText"/>
    <w:uiPriority w:val="99"/>
    <w:semiHidden/>
    <w:rsid w:val="007445BD"/>
  </w:style>
  <w:style w:type="paragraph" w:styleId="CommentSubject">
    <w:name w:val="annotation subject"/>
    <w:basedOn w:val="CommentText"/>
    <w:next w:val="CommentText"/>
    <w:link w:val="CommentSubjectChar"/>
    <w:uiPriority w:val="99"/>
    <w:semiHidden/>
    <w:unhideWhenUsed/>
    <w:rsid w:val="007445BD"/>
    <w:rPr>
      <w:b/>
      <w:bCs/>
    </w:rPr>
  </w:style>
  <w:style w:type="character" w:customStyle="1" w:styleId="CommentSubjectChar">
    <w:name w:val="Comment Subject Char"/>
    <w:basedOn w:val="CommentTextChar"/>
    <w:link w:val="CommentSubject"/>
    <w:uiPriority w:val="99"/>
    <w:semiHidden/>
    <w:rsid w:val="007445BD"/>
    <w:rPr>
      <w:b/>
      <w:bCs/>
    </w:rPr>
  </w:style>
  <w:style w:type="character" w:styleId="FollowedHyperlink">
    <w:name w:val="FollowedHyperlink"/>
    <w:basedOn w:val="DefaultParagraphFont"/>
    <w:uiPriority w:val="99"/>
    <w:semiHidden/>
    <w:unhideWhenUsed/>
    <w:rsid w:val="00CD5FC3"/>
    <w:rPr>
      <w:color w:val="800080"/>
      <w:u w:val="single"/>
    </w:rPr>
  </w:style>
  <w:style w:type="paragraph" w:styleId="Header">
    <w:name w:val="header"/>
    <w:basedOn w:val="Normal"/>
    <w:link w:val="HeaderChar"/>
    <w:unhideWhenUsed/>
    <w:rsid w:val="00613DBF"/>
    <w:pPr>
      <w:tabs>
        <w:tab w:val="center" w:pos="4680"/>
        <w:tab w:val="right" w:pos="9360"/>
      </w:tabs>
    </w:pPr>
  </w:style>
  <w:style w:type="character" w:customStyle="1" w:styleId="HeaderChar">
    <w:name w:val="Header Char"/>
    <w:basedOn w:val="DefaultParagraphFont"/>
    <w:link w:val="Header"/>
    <w:uiPriority w:val="99"/>
    <w:semiHidden/>
    <w:rsid w:val="00613DBF"/>
    <w:rPr>
      <w:sz w:val="24"/>
    </w:rPr>
  </w:style>
  <w:style w:type="paragraph" w:styleId="Footer">
    <w:name w:val="footer"/>
    <w:basedOn w:val="Normal"/>
    <w:link w:val="FooterChar"/>
    <w:uiPriority w:val="99"/>
    <w:semiHidden/>
    <w:unhideWhenUsed/>
    <w:rsid w:val="00613DBF"/>
    <w:pPr>
      <w:tabs>
        <w:tab w:val="center" w:pos="4680"/>
        <w:tab w:val="right" w:pos="9360"/>
      </w:tabs>
    </w:pPr>
  </w:style>
  <w:style w:type="character" w:customStyle="1" w:styleId="FooterChar">
    <w:name w:val="Footer Char"/>
    <w:basedOn w:val="DefaultParagraphFont"/>
    <w:link w:val="Footer"/>
    <w:uiPriority w:val="99"/>
    <w:semiHidden/>
    <w:rsid w:val="00613DBF"/>
    <w:rPr>
      <w:sz w:val="24"/>
    </w:rPr>
  </w:style>
  <w:style w:type="character" w:customStyle="1" w:styleId="Heading2Char">
    <w:name w:val="Heading 2 Char"/>
    <w:basedOn w:val="DefaultParagraphFont"/>
    <w:link w:val="Heading2"/>
    <w:rsid w:val="000B7F66"/>
    <w:rPr>
      <w:b/>
      <w:sz w:val="24"/>
    </w:rPr>
  </w:style>
  <w:style w:type="paragraph" w:customStyle="1" w:styleId="Default">
    <w:name w:val="Default"/>
    <w:rsid w:val="00A55BFE"/>
    <w:pPr>
      <w:autoSpaceDE w:val="0"/>
      <w:autoSpaceDN w:val="0"/>
      <w:adjustRightInd w:val="0"/>
    </w:pPr>
    <w:rPr>
      <w:color w:val="000000"/>
      <w:sz w:val="24"/>
      <w:szCs w:val="24"/>
    </w:rPr>
  </w:style>
  <w:style w:type="paragraph" w:customStyle="1" w:styleId="tpsubmitter">
    <w:name w:val="tp submitter"/>
    <w:basedOn w:val="Default"/>
    <w:next w:val="Default"/>
    <w:uiPriority w:val="99"/>
    <w:rsid w:val="00A55BFE"/>
    <w:rPr>
      <w:color w:val="auto"/>
    </w:rPr>
  </w:style>
  <w:style w:type="paragraph" w:styleId="NormalWeb">
    <w:name w:val="Normal (Web)"/>
    <w:basedOn w:val="Normal"/>
    <w:uiPriority w:val="99"/>
    <w:unhideWhenUsed/>
    <w:rsid w:val="0025503D"/>
    <w:pPr>
      <w:spacing w:before="100" w:beforeAutospacing="1" w:after="100" w:afterAutospacing="1"/>
      <w:ind w:firstLine="0"/>
      <w:jc w:val="left"/>
    </w:pPr>
    <w:rPr>
      <w:szCs w:val="24"/>
    </w:rPr>
  </w:style>
</w:styles>
</file>

<file path=word/webSettings.xml><?xml version="1.0" encoding="utf-8"?>
<w:webSettings xmlns:r="http://schemas.openxmlformats.org/officeDocument/2006/relationships" xmlns:w="http://schemas.openxmlformats.org/wordprocessingml/2006/main">
  <w:divs>
    <w:div w:id="322781704">
      <w:bodyDiv w:val="1"/>
      <w:marLeft w:val="0"/>
      <w:marRight w:val="0"/>
      <w:marTop w:val="0"/>
      <w:marBottom w:val="0"/>
      <w:divBdr>
        <w:top w:val="none" w:sz="0" w:space="0" w:color="auto"/>
        <w:left w:val="none" w:sz="0" w:space="0" w:color="auto"/>
        <w:bottom w:val="none" w:sz="0" w:space="0" w:color="auto"/>
        <w:right w:val="none" w:sz="0" w:space="0" w:color="auto"/>
      </w:divBdr>
    </w:div>
    <w:div w:id="406615549">
      <w:bodyDiv w:val="1"/>
      <w:marLeft w:val="0"/>
      <w:marRight w:val="0"/>
      <w:marTop w:val="0"/>
      <w:marBottom w:val="0"/>
      <w:divBdr>
        <w:top w:val="none" w:sz="0" w:space="0" w:color="auto"/>
        <w:left w:val="none" w:sz="0" w:space="0" w:color="auto"/>
        <w:bottom w:val="none" w:sz="0" w:space="0" w:color="auto"/>
        <w:right w:val="none" w:sz="0" w:space="0" w:color="auto"/>
      </w:divBdr>
      <w:divsChild>
        <w:div w:id="2007786433">
          <w:marLeft w:val="0"/>
          <w:marRight w:val="0"/>
          <w:marTop w:val="0"/>
          <w:marBottom w:val="0"/>
          <w:divBdr>
            <w:top w:val="none" w:sz="0" w:space="0" w:color="auto"/>
            <w:left w:val="none" w:sz="0" w:space="0" w:color="auto"/>
            <w:bottom w:val="none" w:sz="0" w:space="0" w:color="auto"/>
            <w:right w:val="none" w:sz="0" w:space="0" w:color="auto"/>
          </w:divBdr>
          <w:divsChild>
            <w:div w:id="1284650164">
              <w:marLeft w:val="0"/>
              <w:marRight w:val="0"/>
              <w:marTop w:val="0"/>
              <w:marBottom w:val="0"/>
              <w:divBdr>
                <w:top w:val="none" w:sz="0" w:space="0" w:color="auto"/>
                <w:left w:val="none" w:sz="0" w:space="0" w:color="auto"/>
                <w:bottom w:val="none" w:sz="0" w:space="0" w:color="auto"/>
                <w:right w:val="none" w:sz="0" w:space="0" w:color="auto"/>
              </w:divBdr>
              <w:divsChild>
                <w:div w:id="1647785529">
                  <w:marLeft w:val="0"/>
                  <w:marRight w:val="0"/>
                  <w:marTop w:val="0"/>
                  <w:marBottom w:val="0"/>
                  <w:divBdr>
                    <w:top w:val="none" w:sz="0" w:space="0" w:color="auto"/>
                    <w:left w:val="none" w:sz="0" w:space="0" w:color="auto"/>
                    <w:bottom w:val="none" w:sz="0" w:space="0" w:color="auto"/>
                    <w:right w:val="none" w:sz="0" w:space="0" w:color="auto"/>
                  </w:divBdr>
                  <w:divsChild>
                    <w:div w:id="880632861">
                      <w:marLeft w:val="0"/>
                      <w:marRight w:val="0"/>
                      <w:marTop w:val="0"/>
                      <w:marBottom w:val="0"/>
                      <w:divBdr>
                        <w:top w:val="none" w:sz="0" w:space="0" w:color="auto"/>
                        <w:left w:val="none" w:sz="0" w:space="0" w:color="auto"/>
                        <w:bottom w:val="none" w:sz="0" w:space="0" w:color="auto"/>
                        <w:right w:val="none" w:sz="0" w:space="0" w:color="auto"/>
                      </w:divBdr>
                      <w:divsChild>
                        <w:div w:id="73355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427969">
      <w:bodyDiv w:val="1"/>
      <w:marLeft w:val="0"/>
      <w:marRight w:val="0"/>
      <w:marTop w:val="0"/>
      <w:marBottom w:val="0"/>
      <w:divBdr>
        <w:top w:val="none" w:sz="0" w:space="0" w:color="auto"/>
        <w:left w:val="none" w:sz="0" w:space="0" w:color="auto"/>
        <w:bottom w:val="none" w:sz="0" w:space="0" w:color="auto"/>
        <w:right w:val="none" w:sz="0" w:space="0" w:color="auto"/>
      </w:divBdr>
    </w:div>
    <w:div w:id="626812741">
      <w:bodyDiv w:val="1"/>
      <w:marLeft w:val="0"/>
      <w:marRight w:val="0"/>
      <w:marTop w:val="0"/>
      <w:marBottom w:val="0"/>
      <w:divBdr>
        <w:top w:val="none" w:sz="0" w:space="0" w:color="auto"/>
        <w:left w:val="none" w:sz="0" w:space="0" w:color="auto"/>
        <w:bottom w:val="none" w:sz="0" w:space="0" w:color="auto"/>
        <w:right w:val="none" w:sz="0" w:space="0" w:color="auto"/>
      </w:divBdr>
    </w:div>
    <w:div w:id="787625812">
      <w:bodyDiv w:val="1"/>
      <w:marLeft w:val="0"/>
      <w:marRight w:val="0"/>
      <w:marTop w:val="0"/>
      <w:marBottom w:val="0"/>
      <w:divBdr>
        <w:top w:val="none" w:sz="0" w:space="0" w:color="auto"/>
        <w:left w:val="none" w:sz="0" w:space="0" w:color="auto"/>
        <w:bottom w:val="none" w:sz="0" w:space="0" w:color="auto"/>
        <w:right w:val="none" w:sz="0" w:space="0" w:color="auto"/>
      </w:divBdr>
    </w:div>
    <w:div w:id="1321080991">
      <w:bodyDiv w:val="1"/>
      <w:marLeft w:val="0"/>
      <w:marRight w:val="0"/>
      <w:marTop w:val="0"/>
      <w:marBottom w:val="0"/>
      <w:divBdr>
        <w:top w:val="none" w:sz="0" w:space="0" w:color="auto"/>
        <w:left w:val="none" w:sz="0" w:space="0" w:color="auto"/>
        <w:bottom w:val="none" w:sz="0" w:space="0" w:color="auto"/>
        <w:right w:val="none" w:sz="0" w:space="0" w:color="auto"/>
      </w:divBdr>
    </w:div>
    <w:div w:id="202304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puc.ca.gov/published/FINAL_DECISION/139858.ht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hyperlink" Target="http://www.calma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66E69C-66D8-4F45-825F-25C01C9DC571}">
  <ds:schemaRefs>
    <ds:schemaRef ds:uri="http://schemas.openxmlformats.org/officeDocument/2006/bibliography"/>
  </ds:schemaRefs>
</ds:datastoreItem>
</file>

<file path=customXml/itemProps2.xml><?xml version="1.0" encoding="utf-8"?>
<ds:datastoreItem xmlns:ds="http://schemas.openxmlformats.org/officeDocument/2006/customXml" ds:itemID="{F7DBB3D6-1FE3-416E-8CCA-675E31514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4546</Words>
  <Characters>25820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Title (Use “Title” style here)</vt:lpstr>
    </vt:vector>
  </TitlesOfParts>
  <Company>ACEEE</Company>
  <LinksUpToDate>false</LinksUpToDate>
  <CharactersWithSpaces>30306</CharactersWithSpaces>
  <SharedDoc>false</SharedDoc>
  <HLinks>
    <vt:vector size="6" baseType="variant">
      <vt:variant>
        <vt:i4>7143453</vt:i4>
      </vt:variant>
      <vt:variant>
        <vt:i4>0</vt:i4>
      </vt:variant>
      <vt:variant>
        <vt:i4>0</vt:i4>
      </vt:variant>
      <vt:variant>
        <vt:i4>5</vt:i4>
      </vt:variant>
      <vt:variant>
        <vt:lpwstr>http://www.calmac.org/events/APX_J 0698.pdf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(Use “Title” style here)</dc:title>
  <dc:creator>Renee Nida</dc:creator>
  <cp:lastModifiedBy>alutz</cp:lastModifiedBy>
  <cp:revision>3</cp:revision>
  <cp:lastPrinted>2003-12-10T00:52:00Z</cp:lastPrinted>
  <dcterms:created xsi:type="dcterms:W3CDTF">2012-05-04T21:17:00Z</dcterms:created>
  <dcterms:modified xsi:type="dcterms:W3CDTF">2012-05-04T23:34:00Z</dcterms:modified>
</cp:coreProperties>
</file>