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720" w:right="0" w:hanging="0"/>
        <w:jc w:val="both"/>
        <w:rPr>
          <w:rFonts w:ascii="Arial" w:hAnsi="Arial" w:cs="Arial"/>
          <w:b/>
          <w:b/>
          <w:bCs/>
          <w:color w:val="auto"/>
          <w:sz w:val="28"/>
          <w:szCs w:val="28"/>
          <w:u w:val="single"/>
        </w:rPr>
      </w:pPr>
      <w:r>
        <w:rPr>
          <w:rFonts w:cs="Arial" w:ascii="Arial" w:hAnsi="Arial"/>
          <w:b/>
          <w:bCs/>
          <w:color w:val="auto"/>
          <w:sz w:val="28"/>
          <w:szCs w:val="28"/>
          <w:u w:val="single"/>
        </w:rPr>
      </w:r>
    </w:p>
    <w:p>
      <w:pPr>
        <w:pStyle w:val="Normal"/>
        <w:spacing w:lineRule="auto" w:line="240" w:before="0" w:after="0"/>
        <w:ind w:left="720" w:right="0" w:firstLine="700"/>
        <w:jc w:val="both"/>
        <w:rPr>
          <w:rFonts w:ascii="Arial" w:hAnsi="Arial" w:cs="Arial"/>
          <w:b/>
          <w:b/>
          <w:bCs/>
          <w:color w:val="auto"/>
          <w:sz w:val="28"/>
          <w:szCs w:val="28"/>
          <w:u w:val="single"/>
        </w:rPr>
      </w:pPr>
      <w:r>
        <w:rPr>
          <w:rFonts w:cs="Arial" w:ascii="Arial" w:hAnsi="Arial"/>
          <w:b/>
          <w:bCs/>
          <w:color w:val="auto"/>
          <w:sz w:val="28"/>
          <w:szCs w:val="28"/>
          <w:u w:val="single"/>
        </w:rPr>
      </w:r>
    </w:p>
    <w:p>
      <w:pPr>
        <w:pStyle w:val="Normal"/>
        <w:spacing w:lineRule="auto" w:line="240" w:before="0" w:after="0"/>
        <w:ind w:left="720" w:right="0" w:firstLine="700"/>
        <w:jc w:val="both"/>
        <w:rPr>
          <w:rFonts w:ascii="Arial" w:hAnsi="Arial" w:cs="Arial"/>
          <w:b/>
          <w:b/>
          <w:bCs/>
          <w:color w:val="auto"/>
          <w:sz w:val="28"/>
          <w:szCs w:val="28"/>
          <w:u w:val="single"/>
        </w:rPr>
      </w:pPr>
      <w:r>
        <w:rPr>
          <w:rFonts w:cs="Arial" w:ascii="Arial" w:hAnsi="Arial"/>
          <w:b/>
          <w:bCs/>
          <w:color w:val="auto"/>
          <w:sz w:val="28"/>
          <w:szCs w:val="28"/>
          <w:u w:val="single"/>
        </w:rPr>
        <w:t>RELATÓRIO DE PRESTAÇÃO DE CONTAS</w:t>
      </w:r>
    </w:p>
    <w:p>
      <w:pPr>
        <w:pStyle w:val="Normal"/>
        <w:spacing w:lineRule="auto" w:line="240" w:before="0" w:after="0"/>
        <w:ind w:left="720" w:right="0" w:firstLine="325"/>
        <w:jc w:val="both"/>
        <w:rPr>
          <w:rFonts w:ascii="Arial Black" w:hAnsi="Arial Black" w:cs="Arial Black"/>
          <w:color w:val="auto"/>
          <w:sz w:val="13"/>
          <w:szCs w:val="13"/>
          <w:u w:val="single"/>
        </w:rPr>
      </w:pPr>
      <w:r>
        <w:rPr>
          <w:rFonts w:cs="Arial Black" w:ascii="Arial Black" w:hAnsi="Arial Black"/>
          <w:color w:val="auto"/>
          <w:sz w:val="13"/>
          <w:szCs w:val="13"/>
          <w:u w:val="single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 Black" w:ascii="Arial Black" w:hAnsi="Arial Black"/>
          <w:color w:val="auto"/>
          <w:szCs w:val="24"/>
        </w:rPr>
        <w:t>Competência:</w:t>
      </w:r>
      <w:r>
        <w:rPr>
          <w:rFonts w:cs="Arial Black" w:ascii="Arial Black" w:hAnsi="Arial Black"/>
          <w:color w:val="auto"/>
          <w:szCs w:val="24"/>
          <w:lang w:val="pt-BR"/>
        </w:rPr>
        <w:t xml:space="preserve"> </w:t>
      </w:r>
      <w:r>
        <w:rPr>
          <w:rFonts w:eastAsia="Calibri" w:cs="Arial Black" w:ascii="Arial Black" w:hAnsi="Arial Black"/>
          <w:color w:val="auto"/>
          <w:kern w:val="0"/>
          <w:sz w:val="24"/>
          <w:szCs w:val="24"/>
          <w:lang w:val="pt-BR" w:eastAsia="en-US" w:bidi="ar-SA"/>
        </w:rPr>
        <w:t xml:space="preserve">Julho </w:t>
      </w:r>
      <w:r>
        <w:rPr>
          <w:rFonts w:cs="Arial Black" w:ascii="Arial Black" w:hAnsi="Arial Black"/>
          <w:color w:val="auto"/>
          <w:szCs w:val="24"/>
        </w:rPr>
        <w:t>de 202</w:t>
      </w:r>
      <w:r>
        <w:rPr>
          <w:rFonts w:cs="Arial Black" w:ascii="Arial Black" w:hAnsi="Arial Black"/>
          <w:color w:val="auto"/>
          <w:szCs w:val="24"/>
          <w:lang w:val="pt-BR"/>
        </w:rPr>
        <w:t>5</w:t>
      </w:r>
    </w:p>
    <w:p>
      <w:pPr>
        <w:pStyle w:val="Normal"/>
        <w:spacing w:lineRule="auto" w:line="240" w:before="0" w:after="0"/>
        <w:ind w:left="833" w:right="0" w:firstLine="604"/>
        <w:jc w:val="both"/>
        <w:rPr/>
      </w:pPr>
      <w:r>
        <w:rPr>
          <w:rFonts w:cs="Arial" w:ascii="Arial" w:hAnsi="Arial"/>
          <w:color w:val="auto"/>
          <w:sz w:val="28"/>
          <w:szCs w:val="28"/>
          <w:lang w:val="pt-BR"/>
        </w:rPr>
        <w:t xml:space="preserve">Iniciada a Análise da Prestação de Contas, tendo em vista o   recebimento do P.A. </w:t>
      </w:r>
      <w:r>
        <w:rPr>
          <w:rFonts w:eastAsia="Calibri" w:cs="Arial" w:ascii="Arial" w:hAnsi="Arial"/>
          <w:color w:val="auto"/>
          <w:kern w:val="0"/>
          <w:sz w:val="28"/>
          <w:szCs w:val="28"/>
          <w:lang w:val="pt-BR" w:eastAsia="en-US" w:bidi="ar-SA"/>
        </w:rPr>
        <w:t>29.252</w:t>
      </w:r>
      <w:r>
        <w:rPr>
          <w:rFonts w:cs="Arial" w:ascii="Arial" w:hAnsi="Arial"/>
          <w:color w:val="auto"/>
          <w:sz w:val="28"/>
          <w:szCs w:val="28"/>
          <w:lang w:val="pt-BR"/>
        </w:rPr>
        <w:t>/2025 no dia 15/08/2025</w:t>
      </w:r>
    </w:p>
    <w:p>
      <w:pPr>
        <w:pStyle w:val="Normal"/>
        <w:shd w:val="clear" w:fill="000000"/>
        <w:spacing w:lineRule="auto" w:line="240" w:before="0" w:after="0"/>
        <w:ind w:left="720" w:right="0" w:firstLine="45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cs="Arial" w:ascii="Arial" w:hAnsi="Arial"/>
          <w:color w:val="auto"/>
          <w:sz w:val="18"/>
          <w:szCs w:val="18"/>
        </w:rPr>
      </w:r>
    </w:p>
    <w:p>
      <w:pPr>
        <w:pStyle w:val="Normal"/>
        <w:shd w:val="clear" w:fill="000000"/>
        <w:spacing w:lineRule="auto" w:line="240" w:before="0" w:after="0"/>
        <w:ind w:left="720" w:right="0" w:firstLine="700"/>
        <w:jc w:val="both"/>
        <w:rPr>
          <w:rFonts w:ascii="Arial" w:hAnsi="Arial" w:cs="Arial"/>
          <w:color w:val="auto"/>
          <w:sz w:val="28"/>
          <w:szCs w:val="28"/>
        </w:rPr>
      </w:pPr>
      <w:r>
        <w:rPr>
          <w:rFonts w:cs="Arial" w:ascii="Arial" w:hAnsi="Arial"/>
          <w:color w:val="auto"/>
          <w:sz w:val="28"/>
          <w:szCs w:val="28"/>
        </w:rPr>
        <w:t>Dos documentos constantes na Prestação de Contas mensal</w:t>
      </w:r>
    </w:p>
    <w:p>
      <w:pPr>
        <w:pStyle w:val="Normal"/>
        <w:shd w:val="clear" w:fill="000000"/>
        <w:spacing w:lineRule="auto" w:line="240" w:before="0" w:after="0"/>
        <w:ind w:left="720" w:right="0" w:firstLine="45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cs="Arial" w:ascii="Arial" w:hAnsi="Arial"/>
          <w:color w:val="auto"/>
          <w:sz w:val="18"/>
          <w:szCs w:val="18"/>
        </w:rPr>
      </w:r>
    </w:p>
    <w:p>
      <w:pPr>
        <w:pStyle w:val="Normal"/>
        <w:spacing w:lineRule="auto" w:line="240" w:before="0" w:after="0"/>
        <w:ind w:left="720" w:right="0" w:firstLine="700"/>
        <w:jc w:val="both"/>
        <w:rPr>
          <w:rFonts w:ascii="Arial" w:hAnsi="Arial" w:cs="Arial"/>
          <w:color w:val="auto"/>
          <w:sz w:val="28"/>
          <w:szCs w:val="28"/>
        </w:rPr>
      </w:pPr>
      <w:r>
        <w:rPr>
          <w:rFonts w:cs="Arial" w:ascii="Arial" w:hAnsi="Arial"/>
          <w:color w:val="auto"/>
          <w:sz w:val="28"/>
          <w:szCs w:val="28"/>
        </w:rPr>
      </w:r>
    </w:p>
    <w:p>
      <w:pPr>
        <w:pStyle w:val="Normal"/>
        <w:numPr>
          <w:ilvl w:val="0"/>
          <w:numId w:val="4"/>
        </w:numPr>
        <w:spacing w:lineRule="auto" w:line="240" w:before="0" w:after="0"/>
        <w:jc w:val="both"/>
        <w:rPr/>
      </w:pPr>
      <w:r>
        <w:rPr>
          <w:rFonts w:cs="Arial" w:ascii="Arial" w:hAnsi="Arial"/>
          <w:color w:val="auto"/>
          <w:szCs w:val="24"/>
        </w:rPr>
        <w:t>Observada a Prestação de Contas mensal relativa ao mês de</w:t>
      </w:r>
      <w:r>
        <w:rPr>
          <w:rFonts w:cs="Arial" w:ascii="Arial" w:hAnsi="Arial"/>
          <w:color w:val="auto"/>
          <w:szCs w:val="24"/>
          <w:lang w:val="pt-BR"/>
        </w:rPr>
        <w:t xml:space="preserve"> 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>julho</w:t>
      </w:r>
      <w:r>
        <w:rPr>
          <w:rFonts w:cs="Arial" w:ascii="Arial" w:hAnsi="Arial"/>
          <w:color w:val="auto"/>
          <w:szCs w:val="24"/>
          <w:lang w:val="pt-BR"/>
        </w:rPr>
        <w:t xml:space="preserve"> </w:t>
      </w:r>
      <w:r>
        <w:rPr>
          <w:rFonts w:cs="Arial" w:ascii="Arial" w:hAnsi="Arial"/>
          <w:color w:val="auto"/>
          <w:szCs w:val="24"/>
        </w:rPr>
        <w:t>de 202</w:t>
      </w:r>
      <w:r>
        <w:rPr>
          <w:rFonts w:cs="Arial" w:ascii="Arial" w:hAnsi="Arial"/>
          <w:color w:val="auto"/>
          <w:szCs w:val="24"/>
          <w:lang w:val="pt-BR"/>
        </w:rPr>
        <w:t>5</w:t>
      </w:r>
      <w:r>
        <w:rPr>
          <w:rFonts w:cs="Arial" w:ascii="Arial" w:hAnsi="Arial"/>
          <w:color w:val="auto"/>
          <w:szCs w:val="24"/>
        </w:rPr>
        <w:t xml:space="preserve">, </w:t>
      </w:r>
      <w:r>
        <w:rPr>
          <w:rFonts w:cs="Arial" w:ascii="Arial" w:hAnsi="Arial"/>
          <w:color w:val="auto"/>
          <w:szCs w:val="24"/>
          <w:lang w:val="pt-BR"/>
        </w:rPr>
        <w:t xml:space="preserve">P.A. </w:t>
      </w:r>
      <w:r>
        <w:rPr>
          <w:rFonts w:eastAsia="Calibri" w:cs="Arial" w:ascii="Arial" w:hAnsi="Arial"/>
          <w:color w:val="auto"/>
          <w:kern w:val="0"/>
          <w:sz w:val="28"/>
          <w:szCs w:val="28"/>
          <w:lang w:val="pt-BR" w:eastAsia="en-US" w:bidi="ar-SA"/>
        </w:rPr>
        <w:t>29.252</w:t>
      </w:r>
      <w:r>
        <w:rPr>
          <w:rFonts w:cs="Arial" w:ascii="Arial" w:hAnsi="Arial"/>
          <w:color w:val="auto"/>
          <w:sz w:val="28"/>
          <w:szCs w:val="28"/>
          <w:lang w:val="pt-BR"/>
        </w:rPr>
        <w:t xml:space="preserve">/2025 </w:t>
      </w:r>
      <w:r>
        <w:rPr>
          <w:rFonts w:cs="Arial" w:ascii="Arial" w:hAnsi="Arial"/>
          <w:color w:val="auto"/>
          <w:szCs w:val="24"/>
          <w:lang w:val="pt-BR"/>
        </w:rPr>
        <w:t xml:space="preserve">, </w:t>
      </w:r>
      <w:r>
        <w:rPr>
          <w:rFonts w:cs="Arial" w:ascii="Arial" w:hAnsi="Arial"/>
          <w:color w:val="auto"/>
          <w:szCs w:val="24"/>
        </w:rPr>
        <w:t>no período de 01/</w:t>
      </w:r>
      <w:r>
        <w:rPr>
          <w:rFonts w:cs="Arial" w:ascii="Arial" w:hAnsi="Arial"/>
          <w:color w:val="auto"/>
          <w:szCs w:val="24"/>
          <w:lang w:val="pt-BR"/>
        </w:rPr>
        <w:t>07</w:t>
      </w:r>
      <w:r>
        <w:rPr>
          <w:rFonts w:cs="Arial" w:ascii="Arial" w:hAnsi="Arial"/>
          <w:color w:val="auto"/>
          <w:szCs w:val="24"/>
        </w:rPr>
        <w:t>/202</w:t>
      </w:r>
      <w:r>
        <w:rPr>
          <w:rFonts w:cs="Arial" w:ascii="Arial" w:hAnsi="Arial"/>
          <w:color w:val="auto"/>
          <w:szCs w:val="24"/>
          <w:lang w:val="pt-BR"/>
        </w:rPr>
        <w:t>5</w:t>
      </w:r>
      <w:r>
        <w:rPr>
          <w:rFonts w:cs="Arial" w:ascii="Arial" w:hAnsi="Arial"/>
          <w:color w:val="auto"/>
          <w:szCs w:val="24"/>
        </w:rPr>
        <w:t xml:space="preserve"> a 31</w:t>
      </w:r>
      <w:r>
        <w:rPr>
          <w:rFonts w:cs="Arial" w:ascii="Arial" w:hAnsi="Arial"/>
          <w:color w:val="auto"/>
          <w:szCs w:val="24"/>
          <w:lang w:val="pt-BR"/>
        </w:rPr>
        <w:t>/07/</w:t>
      </w:r>
      <w:r>
        <w:rPr>
          <w:rFonts w:cs="Arial" w:ascii="Arial" w:hAnsi="Arial"/>
          <w:color w:val="auto"/>
          <w:szCs w:val="24"/>
        </w:rPr>
        <w:t>202</w:t>
      </w:r>
      <w:r>
        <w:rPr>
          <w:rFonts w:cs="Arial" w:ascii="Arial" w:hAnsi="Arial"/>
          <w:color w:val="auto"/>
          <w:szCs w:val="24"/>
          <w:lang w:val="pt-BR"/>
        </w:rPr>
        <w:t>5</w:t>
      </w:r>
      <w:r>
        <w:rPr>
          <w:rFonts w:cs="Arial" w:ascii="Arial" w:hAnsi="Arial"/>
          <w:color w:val="auto"/>
          <w:szCs w:val="24"/>
        </w:rPr>
        <w:t>, e em cumprimento ao</w:t>
      </w:r>
      <w:r>
        <w:rPr>
          <w:rFonts w:cs="Arial" w:ascii="Arial" w:hAnsi="Arial"/>
          <w:color w:val="auto"/>
          <w:szCs w:val="24"/>
          <w:lang w:val="pt-BR"/>
        </w:rPr>
        <w:t>s</w:t>
      </w:r>
      <w:r>
        <w:rPr>
          <w:rFonts w:cs="Arial" w:ascii="Arial" w:hAnsi="Arial"/>
          <w:color w:val="auto"/>
          <w:szCs w:val="24"/>
        </w:rPr>
        <w:t xml:space="preserve"> ite</w:t>
      </w:r>
      <w:r>
        <w:rPr>
          <w:rFonts w:cs="Arial" w:ascii="Arial" w:hAnsi="Arial"/>
          <w:color w:val="auto"/>
          <w:szCs w:val="24"/>
          <w:lang w:val="pt-BR"/>
        </w:rPr>
        <w:t>ns</w:t>
      </w:r>
      <w:r>
        <w:rPr>
          <w:rFonts w:cs="Arial" w:ascii="Arial" w:hAnsi="Arial"/>
          <w:color w:val="auto"/>
          <w:szCs w:val="24"/>
        </w:rPr>
        <w:t xml:space="preserve"> 22.1 e 22.2 do Termo de Referência, constatamos o cumprimento da entrega dos documentos necessários </w:t>
      </w:r>
      <w:r>
        <w:rPr>
          <w:rFonts w:cs="Arial" w:ascii="Arial" w:hAnsi="Arial"/>
          <w:color w:val="auto"/>
          <w:szCs w:val="24"/>
          <w:lang w:val="pt-BR"/>
        </w:rPr>
        <w:t>à</w:t>
      </w:r>
      <w:r>
        <w:rPr>
          <w:rFonts w:cs="Arial" w:ascii="Arial" w:hAnsi="Arial"/>
          <w:color w:val="auto"/>
          <w:szCs w:val="24"/>
        </w:rPr>
        <w:t xml:space="preserve"> Prestação de Contas.</w:t>
      </w:r>
    </w:p>
    <w:p>
      <w:pPr>
        <w:pStyle w:val="Normal"/>
        <w:spacing w:lineRule="auto" w:line="240" w:before="0" w:after="0"/>
        <w:ind w:left="720" w:right="0" w:firstLine="400"/>
        <w:jc w:val="both"/>
        <w:rPr>
          <w:rFonts w:ascii="Arial" w:hAnsi="Arial" w:cs="Arial"/>
          <w:color w:val="auto"/>
          <w:sz w:val="16"/>
          <w:szCs w:val="16"/>
        </w:rPr>
      </w:pPr>
      <w:r>
        <w:rPr>
          <w:rFonts w:cs="Arial" w:ascii="Arial" w:hAnsi="Arial"/>
          <w:color w:val="auto"/>
          <w:sz w:val="16"/>
          <w:szCs w:val="16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>Na competência 08</w:t>
      </w:r>
      <w:r>
        <w:rPr>
          <w:rFonts w:cs="Arial" w:ascii="Arial" w:hAnsi="Arial"/>
          <w:color w:val="auto"/>
          <w:szCs w:val="24"/>
          <w:lang w:val="pt-BR"/>
        </w:rPr>
        <w:t>/</w:t>
      </w:r>
      <w:r>
        <w:rPr>
          <w:rFonts w:cs="Arial" w:ascii="Arial" w:hAnsi="Arial"/>
          <w:color w:val="auto"/>
          <w:szCs w:val="24"/>
        </w:rPr>
        <w:t>2025</w:t>
      </w:r>
      <w:r>
        <w:rPr>
          <w:rFonts w:cs="Arial" w:ascii="Arial" w:hAnsi="Arial"/>
          <w:color w:val="auto"/>
          <w:szCs w:val="24"/>
          <w:lang w:val="pt-BR"/>
        </w:rPr>
        <w:t>,</w:t>
      </w:r>
      <w:r>
        <w:rPr>
          <w:rFonts w:cs="Arial" w:ascii="Arial" w:hAnsi="Arial"/>
          <w:color w:val="auto"/>
          <w:szCs w:val="24"/>
        </w:rPr>
        <w:t xml:space="preserve"> com base na utilização do Regime de Caixa para Despesa e Receita, verificamos a ocorrência de Despesas no período no montante de R$</w:t>
      </w:r>
      <w:r>
        <w:rPr>
          <w:rFonts w:eastAsia="Calibri" w:cs="Arial" w:ascii="Arial" w:hAnsi="Arial"/>
          <w:b/>
          <w:bCs/>
          <w:color w:val="auto"/>
          <w:sz w:val="24"/>
          <w:szCs w:val="24"/>
          <w:lang w:val="pt-BR" w:eastAsia="en-US" w:bidi="ar-SA"/>
        </w:rPr>
        <w:t xml:space="preserve">  </w:t>
      </w:r>
      <w:r>
        <w:rPr>
          <w:rFonts w:eastAsia="Calibri" w:cs="Arial" w:ascii="Arial" w:hAnsi="Arial"/>
          <w:b/>
          <w:bCs/>
          <w:i w:val="false"/>
          <w:strike w:val="false"/>
          <w:dstrike w:val="false"/>
          <w:color w:val="000000"/>
          <w:sz w:val="20"/>
          <w:szCs w:val="24"/>
          <w:u w:val="none"/>
          <w:lang w:val="pt-BR" w:eastAsia="en-US" w:bidi="ar-SA"/>
        </w:rPr>
        <w:t>1.862.159,82</w:t>
      </w:r>
      <w:r>
        <w:rPr>
          <w:rFonts w:eastAsia="Calibri" w:cs="Arial" w:ascii="Arial" w:hAnsi="Arial"/>
          <w:b/>
          <w:bCs/>
          <w:color w:val="auto"/>
          <w:sz w:val="24"/>
          <w:szCs w:val="24"/>
          <w:lang w:val="pt-BR" w:eastAsia="en-US" w:bidi="ar-SA"/>
        </w:rPr>
        <w:t xml:space="preserve">   </w:t>
      </w:r>
      <w:r>
        <w:rPr>
          <w:rFonts w:cs="Arial" w:ascii="Arial" w:hAnsi="Arial"/>
          <w:color w:val="auto"/>
          <w:szCs w:val="24"/>
        </w:rPr>
        <w:t xml:space="preserve">e R$ </w:t>
      </w:r>
      <w:r>
        <w:rPr>
          <w:rFonts w:cs="Arial" w:ascii="Arial" w:hAnsi="Arial"/>
          <w:b/>
          <w:bCs/>
          <w:i w:val="false"/>
          <w:strike w:val="false"/>
          <w:dstrike w:val="false"/>
          <w:color w:val="000000"/>
          <w:sz w:val="20"/>
          <w:szCs w:val="24"/>
          <w:u w:val="none"/>
        </w:rPr>
        <w:t>1.828.980,74</w:t>
      </w:r>
      <w:r>
        <w:rPr>
          <w:rFonts w:eastAsia="Calibri" w:cs="Arial" w:ascii="Arial" w:hAnsi="Arial"/>
          <w:b/>
          <w:bCs/>
          <w:color w:val="auto"/>
          <w:kern w:val="0"/>
          <w:sz w:val="24"/>
          <w:szCs w:val="24"/>
          <w:lang w:val="pt-BR" w:eastAsia="en-US" w:bidi="ar-SA"/>
        </w:rPr>
        <w:t xml:space="preserve"> </w:t>
      </w:r>
      <w:r>
        <w:rPr>
          <w:rFonts w:eastAsia="Calibri" w:cs="Arial" w:ascii="Arial" w:hAnsi="Arial"/>
          <w:b/>
          <w:bCs/>
          <w:color w:val="auto"/>
          <w:sz w:val="24"/>
          <w:szCs w:val="24"/>
          <w:lang w:val="pt-BR" w:eastAsia="en-US" w:bidi="ar-SA"/>
        </w:rPr>
        <w:t xml:space="preserve">   </w:t>
      </w:r>
      <w:r>
        <w:rPr>
          <w:rFonts w:cs="Arial" w:ascii="Arial" w:hAnsi="Arial"/>
          <w:color w:val="auto"/>
          <w:szCs w:val="24"/>
        </w:rPr>
        <w:t>em Receitas, recursos esses que deverão ser revertidos exclusivamente aos objetos do Contrato de Gestão (Cf. Item 10 a</w:t>
      </w:r>
      <w:r>
        <w:rPr>
          <w:rFonts w:cs="Arial" w:ascii="Arial" w:hAnsi="Arial"/>
          <w:color w:val="auto"/>
          <w:szCs w:val="24"/>
          <w:lang w:val="pt-BR"/>
        </w:rPr>
        <w:t xml:space="preserve"> 1</w:t>
      </w:r>
      <w:r>
        <w:rPr>
          <w:rFonts w:cs="Arial" w:ascii="Arial" w:hAnsi="Arial"/>
          <w:color w:val="auto"/>
          <w:szCs w:val="24"/>
        </w:rPr>
        <w:t>7) do Termo de Referência.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  <w:t xml:space="preserve">                                                                                    </w:t>
      </w:r>
    </w:p>
    <w:tbl>
      <w:tblPr>
        <w:tblW w:w="928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2"/>
        <w:gridCol w:w="4642"/>
      </w:tblGrid>
      <w:tr>
        <w:trPr>
          <w:trHeight w:val="450" w:hRule="atLeast"/>
        </w:trPr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EBEBE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/>
                <w:bCs/>
                <w:color w:val="auto"/>
                <w:szCs w:val="24"/>
              </w:rPr>
              <w:t xml:space="preserve">Saldo financeiro inicial </w:t>
            </w:r>
            <w:r>
              <w:rPr>
                <w:rFonts w:cs="Arial" w:ascii="Arial" w:hAnsi="Arial"/>
                <w:b/>
                <w:bCs/>
                <w:color w:val="auto"/>
                <w:szCs w:val="24"/>
                <w:lang w:val="pt-BR"/>
              </w:rPr>
              <w:t>07</w:t>
            </w:r>
            <w:r>
              <w:rPr>
                <w:rFonts w:cs="Arial" w:ascii="Arial" w:hAnsi="Arial"/>
                <w:b/>
                <w:bCs/>
                <w:color w:val="auto"/>
                <w:szCs w:val="24"/>
              </w:rPr>
              <w:t>/202</w:t>
            </w:r>
            <w:r>
              <w:rPr>
                <w:rFonts w:cs="Arial" w:ascii="Arial" w:hAnsi="Arial"/>
                <w:b/>
                <w:bCs/>
                <w:color w:val="auto"/>
                <w:szCs w:val="24"/>
                <w:lang w:val="pt-BR"/>
              </w:rPr>
              <w:t>5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EBEBE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/>
                <w:bCs/>
                <w:color w:val="auto"/>
                <w:szCs w:val="24"/>
                <w:lang w:val="pt-BR"/>
              </w:rPr>
              <w:t xml:space="preserve"> </w:t>
            </w:r>
            <w:r>
              <w:rPr>
                <w:rFonts w:cs="Arial" w:ascii="Arial" w:hAnsi="Arial"/>
                <w:b/>
                <w:bCs/>
                <w:color w:val="auto"/>
                <w:szCs w:val="24"/>
                <w:lang w:val="pt-BR"/>
              </w:rPr>
              <w:t>R$</w:t>
            </w: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color w:val="000000"/>
                <w:sz w:val="20"/>
                <w:u w:val="none"/>
              </w:rPr>
              <w:t>48.220,40</w:t>
            </w:r>
          </w:p>
        </w:tc>
      </w:tr>
      <w:tr>
        <w:trPr>
          <w:trHeight w:val="254" w:hRule="atLeast"/>
        </w:trPr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7D7D7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>
                <w:rFonts w:ascii="Arial" w:hAnsi="Arial" w:cs="Arial"/>
                <w:b/>
                <w:b/>
                <w:bCs/>
                <w:color w:val="auto"/>
                <w:szCs w:val="24"/>
              </w:rPr>
            </w:pPr>
            <w:r>
              <w:rPr>
                <w:rFonts w:cs="Arial" w:ascii="Arial" w:hAnsi="Arial"/>
                <w:b/>
                <w:bCs/>
                <w:color w:val="auto"/>
                <w:szCs w:val="24"/>
              </w:rPr>
              <w:t>Receitas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7D7D7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/>
                <w:bCs/>
                <w:color w:val="auto"/>
                <w:szCs w:val="24"/>
                <w:lang w:val="pt-BR"/>
              </w:rPr>
              <w:t xml:space="preserve">R$ </w:t>
            </w:r>
            <w:r>
              <w:rPr>
                <w:rFonts w:eastAsia="Calibri" w:cs="Arial" w:ascii="Arial" w:hAnsi="Arial"/>
                <w:b/>
                <w:bCs/>
                <w:color w:val="auto"/>
                <w:sz w:val="24"/>
                <w:szCs w:val="24"/>
                <w:lang w:val="pt-BR" w:eastAsia="en-US" w:bidi="ar-SA"/>
              </w:rPr>
              <w:t xml:space="preserve"> </w:t>
            </w:r>
            <w:bookmarkStart w:id="0" w:name="__DdeLink__841_3773939323"/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color w:val="000000"/>
                <w:sz w:val="20"/>
                <w:u w:val="none"/>
              </w:rPr>
              <w:t>1.828.980,74</w:t>
            </w:r>
            <w:bookmarkEnd w:id="0"/>
          </w:p>
        </w:tc>
      </w:tr>
      <w:tr>
        <w:trPr/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>
                <w:rFonts w:ascii="Arial" w:hAnsi="Arial" w:cs="Arial"/>
                <w:color w:val="auto"/>
                <w:szCs w:val="24"/>
              </w:rPr>
            </w:pPr>
            <w:r>
              <w:rPr>
                <w:rFonts w:cs="Arial" w:ascii="Arial" w:hAnsi="Arial"/>
                <w:color w:val="auto"/>
                <w:szCs w:val="24"/>
              </w:rPr>
              <w:t>Contrato Gestão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 w:val="false"/>
                <w:bCs w:val="false"/>
                <w:color w:val="auto"/>
                <w:szCs w:val="24"/>
                <w:lang w:val="pt-BR"/>
              </w:rPr>
              <w:t xml:space="preserve">R$  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color w:val="000000"/>
                <w:sz w:val="20"/>
                <w:u w:val="none"/>
              </w:rPr>
              <w:t>1.788.986,57</w:t>
            </w:r>
          </w:p>
        </w:tc>
      </w:tr>
      <w:tr>
        <w:trPr/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>
                <w:rFonts w:ascii="Arial" w:hAnsi="Arial" w:cs="Arial"/>
                <w:color w:val="auto"/>
                <w:szCs w:val="24"/>
              </w:rPr>
            </w:pPr>
            <w:r>
              <w:rPr>
                <w:rFonts w:cs="Arial" w:ascii="Arial" w:hAnsi="Arial"/>
                <w:color w:val="auto"/>
                <w:szCs w:val="24"/>
              </w:rPr>
              <w:t>Receitas financeiras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 w:val="false"/>
                <w:bCs w:val="false"/>
                <w:color w:val="auto"/>
                <w:szCs w:val="24"/>
                <w:lang w:val="pt-BR"/>
              </w:rPr>
              <w:t xml:space="preserve">R$  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color w:val="000000"/>
                <w:sz w:val="20"/>
                <w:u w:val="none"/>
              </w:rPr>
              <w:t>965,46</w:t>
            </w:r>
          </w:p>
        </w:tc>
      </w:tr>
      <w:tr>
        <w:trPr/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>
                <w:rFonts w:ascii="Arial" w:hAnsi="Arial" w:cs="Arial"/>
                <w:color w:val="auto"/>
                <w:szCs w:val="24"/>
              </w:rPr>
            </w:pPr>
            <w:r>
              <w:rPr>
                <w:rFonts w:cs="Arial" w:ascii="Arial" w:hAnsi="Arial"/>
                <w:color w:val="auto"/>
                <w:szCs w:val="24"/>
              </w:rPr>
              <w:t>Outras Receitas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 w:val="false"/>
                <w:bCs w:val="false"/>
                <w:color w:val="auto"/>
                <w:szCs w:val="24"/>
                <w:lang w:val="pt-BR"/>
              </w:rPr>
              <w:t xml:space="preserve">R$ 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color w:val="000000"/>
                <w:sz w:val="20"/>
                <w:u w:val="none"/>
              </w:rPr>
              <w:t>39.028,71</w:t>
            </w:r>
          </w:p>
        </w:tc>
      </w:tr>
      <w:tr>
        <w:trPr>
          <w:trHeight w:val="250" w:hRule="atLeast"/>
        </w:trPr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7D7D7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>
                <w:rFonts w:ascii="Arial" w:hAnsi="Arial" w:cs="Arial"/>
                <w:b/>
                <w:b/>
                <w:bCs/>
                <w:color w:val="auto"/>
                <w:szCs w:val="24"/>
              </w:rPr>
            </w:pPr>
            <w:r>
              <w:rPr>
                <w:rFonts w:cs="Arial" w:ascii="Arial" w:hAnsi="Arial"/>
                <w:b/>
                <w:bCs/>
                <w:color w:val="auto"/>
                <w:szCs w:val="24"/>
              </w:rPr>
              <w:t>Despesas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7D7D7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/>
                <w:bCs/>
                <w:color w:val="auto"/>
                <w:szCs w:val="24"/>
                <w:lang w:val="pt-BR"/>
              </w:rPr>
              <w:t xml:space="preserve">R$  </w:t>
            </w:r>
            <w:r>
              <w:rPr>
                <w:rFonts w:ascii="Arial" w:hAnsi="Arial"/>
                <w:b/>
                <w:i w:val="false"/>
                <w:strike w:val="false"/>
                <w:dstrike w:val="false"/>
                <w:color w:val="000000"/>
                <w:sz w:val="20"/>
                <w:u w:val="none"/>
              </w:rPr>
              <w:t>1.862.159,82</w:t>
            </w:r>
          </w:p>
        </w:tc>
      </w:tr>
      <w:tr>
        <w:trPr>
          <w:trHeight w:val="205" w:hRule="atLeast"/>
        </w:trPr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>
                <w:rFonts w:ascii="Arial" w:hAnsi="Arial" w:cs="Arial"/>
                <w:color w:val="auto"/>
                <w:szCs w:val="24"/>
              </w:rPr>
            </w:pPr>
            <w:r>
              <w:rPr>
                <w:rFonts w:cs="Arial" w:ascii="Arial" w:hAnsi="Arial"/>
                <w:color w:val="auto"/>
                <w:szCs w:val="24"/>
              </w:rPr>
              <w:t>Pessoal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 w:val="false"/>
                <w:bCs w:val="false"/>
                <w:color w:val="auto"/>
                <w:szCs w:val="24"/>
                <w:lang w:val="pt-BR"/>
              </w:rPr>
              <w:t xml:space="preserve">R$  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color w:val="000000"/>
                <w:sz w:val="20"/>
                <w:u w:val="none"/>
              </w:rPr>
              <w:t>1.540.143,47</w:t>
            </w:r>
          </w:p>
        </w:tc>
      </w:tr>
      <w:tr>
        <w:trPr>
          <w:trHeight w:val="280" w:hRule="atLeast"/>
        </w:trPr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>
                <w:rFonts w:ascii="Arial" w:hAnsi="Arial" w:cs="Arial"/>
                <w:color w:val="auto"/>
                <w:szCs w:val="24"/>
              </w:rPr>
            </w:pPr>
            <w:r>
              <w:rPr>
                <w:rFonts w:cs="Arial" w:ascii="Arial" w:hAnsi="Arial"/>
                <w:color w:val="auto"/>
                <w:szCs w:val="24"/>
              </w:rPr>
              <w:t>Material Consumo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 w:val="false"/>
                <w:bCs w:val="false"/>
                <w:color w:val="auto"/>
                <w:szCs w:val="24"/>
                <w:lang w:val="pt-BR"/>
              </w:rPr>
              <w:t xml:space="preserve">R$   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color w:val="000000"/>
                <w:sz w:val="20"/>
                <w:u w:val="none"/>
              </w:rPr>
              <w:t>22.397,12</w:t>
            </w:r>
          </w:p>
        </w:tc>
      </w:tr>
      <w:tr>
        <w:trPr>
          <w:trHeight w:val="250" w:hRule="atLeast"/>
        </w:trPr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>
                <w:rFonts w:ascii="Arial" w:hAnsi="Arial" w:cs="Arial"/>
                <w:color w:val="auto"/>
                <w:szCs w:val="24"/>
              </w:rPr>
            </w:pPr>
            <w:r>
              <w:rPr>
                <w:rFonts w:cs="Arial" w:ascii="Arial" w:hAnsi="Arial"/>
                <w:color w:val="auto"/>
                <w:szCs w:val="24"/>
              </w:rPr>
              <w:t>Serviços Terceiros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 w:val="false"/>
                <w:bCs w:val="false"/>
                <w:color w:val="auto"/>
                <w:szCs w:val="24"/>
                <w:lang w:val="pt-BR"/>
              </w:rPr>
              <w:t xml:space="preserve">R$  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color w:val="000000"/>
                <w:sz w:val="20"/>
                <w:u w:val="none"/>
              </w:rPr>
              <w:t>281.066,65</w:t>
            </w:r>
          </w:p>
        </w:tc>
      </w:tr>
      <w:tr>
        <w:trPr/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>
                <w:rFonts w:ascii="Arial" w:hAnsi="Arial" w:cs="Arial"/>
                <w:color w:val="auto"/>
                <w:szCs w:val="24"/>
              </w:rPr>
            </w:pPr>
            <w:r>
              <w:rPr>
                <w:rFonts w:cs="Arial" w:ascii="Arial" w:hAnsi="Arial"/>
                <w:color w:val="auto"/>
                <w:szCs w:val="24"/>
              </w:rPr>
              <w:t>Taxas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 w:val="false"/>
                <w:bCs w:val="false"/>
                <w:color w:val="auto"/>
                <w:szCs w:val="24"/>
                <w:lang w:val="pt-BR"/>
              </w:rPr>
              <w:t xml:space="preserve">R$   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color w:val="000000"/>
                <w:sz w:val="20"/>
                <w:u w:val="none"/>
              </w:rPr>
              <w:t>531,23</w:t>
            </w:r>
          </w:p>
        </w:tc>
      </w:tr>
      <w:tr>
        <w:trPr/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>
                <w:rFonts w:ascii="Arial" w:hAnsi="Arial" w:cs="Arial"/>
                <w:color w:val="auto"/>
                <w:szCs w:val="24"/>
              </w:rPr>
            </w:pPr>
            <w:r>
              <w:rPr>
                <w:rFonts w:cs="Arial" w:ascii="Arial" w:hAnsi="Arial"/>
                <w:color w:val="auto"/>
                <w:szCs w:val="24"/>
              </w:rPr>
              <w:t>Serviços Públicos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 w:val="false"/>
                <w:bCs w:val="false"/>
                <w:color w:val="auto"/>
                <w:szCs w:val="24"/>
                <w:lang w:val="pt-BR"/>
              </w:rPr>
              <w:t>R$  3</w:t>
            </w:r>
            <w:r>
              <w:rPr>
                <w:rFonts w:eastAsia="Calibri" w:cs="Arial" w:ascii="Arial" w:hAnsi="Arial"/>
                <w:b w:val="false"/>
                <w:bCs w:val="false"/>
                <w:color w:val="auto"/>
                <w:kern w:val="0"/>
                <w:sz w:val="24"/>
                <w:szCs w:val="24"/>
                <w:lang w:val="pt-BR" w:eastAsia="en-US" w:bidi="ar-SA"/>
              </w:rPr>
              <w:t>3,16</w:t>
            </w:r>
          </w:p>
        </w:tc>
      </w:tr>
      <w:tr>
        <w:trPr/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>
                <w:rFonts w:ascii="Arial" w:hAnsi="Arial" w:cs="Arial"/>
                <w:color w:val="auto"/>
                <w:szCs w:val="24"/>
              </w:rPr>
            </w:pPr>
            <w:r>
              <w:rPr>
                <w:rFonts w:cs="Arial" w:ascii="Arial" w:hAnsi="Arial"/>
                <w:color w:val="auto"/>
                <w:szCs w:val="24"/>
              </w:rPr>
              <w:t>Despesas bancárias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 w:val="false"/>
                <w:bCs w:val="false"/>
                <w:color w:val="auto"/>
                <w:szCs w:val="24"/>
                <w:lang w:val="pt-BR"/>
              </w:rPr>
              <w:t xml:space="preserve">R$  </w:t>
            </w:r>
            <w:r>
              <w:rPr>
                <w:rFonts w:eastAsia="Calibri" w:cs="Arial" w:ascii="Arial" w:hAnsi="Arial"/>
                <w:b w:val="false"/>
                <w:bCs w:val="false"/>
                <w:color w:val="auto"/>
                <w:sz w:val="24"/>
                <w:szCs w:val="24"/>
                <w:lang w:val="pt-BR" w:eastAsia="en-US" w:bidi="ar-SA"/>
              </w:rPr>
              <w:t>2</w:t>
            </w:r>
            <w:r>
              <w:rPr>
                <w:rFonts w:eastAsia="Calibri" w:cs="Arial" w:ascii="Arial" w:hAnsi="Arial"/>
                <w:b w:val="false"/>
                <w:bCs w:val="false"/>
                <w:color w:val="auto"/>
                <w:kern w:val="0"/>
                <w:sz w:val="24"/>
                <w:szCs w:val="24"/>
                <w:lang w:val="pt-BR" w:eastAsia="en-US" w:bidi="ar-SA"/>
              </w:rPr>
              <w:t>58,17</w:t>
            </w:r>
          </w:p>
        </w:tc>
      </w:tr>
      <w:tr>
        <w:trPr/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>
                <w:rFonts w:ascii="Arial" w:hAnsi="Arial" w:cs="Arial"/>
                <w:color w:val="auto"/>
                <w:szCs w:val="24"/>
              </w:rPr>
            </w:pPr>
            <w:r>
              <w:rPr>
                <w:rFonts w:cs="Arial" w:ascii="Arial" w:hAnsi="Arial"/>
                <w:color w:val="auto"/>
                <w:szCs w:val="24"/>
              </w:rPr>
              <w:t>Outras Despesas Op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 w:val="false"/>
                <w:bCs w:val="false"/>
                <w:color w:val="auto"/>
                <w:szCs w:val="24"/>
                <w:lang w:val="pt-BR"/>
              </w:rPr>
              <w:t xml:space="preserve">R$  </w:t>
            </w:r>
            <w:r>
              <w:rPr>
                <w:rFonts w:eastAsia="Calibri" w:cs="Arial" w:ascii="Arial" w:hAnsi="Arial"/>
                <w:b w:val="false"/>
                <w:bCs w:val="false"/>
                <w:color w:val="auto"/>
                <w:kern w:val="0"/>
                <w:sz w:val="24"/>
                <w:szCs w:val="24"/>
                <w:lang w:val="pt-BR" w:eastAsia="en-US" w:bidi="ar-SA"/>
              </w:rPr>
              <w:t>17.730,02</w:t>
            </w:r>
          </w:p>
        </w:tc>
      </w:tr>
      <w:tr>
        <w:trPr/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>
                <w:rFonts w:ascii="Arial" w:hAnsi="Arial" w:cs="Arial"/>
                <w:color w:val="auto"/>
                <w:szCs w:val="24"/>
                <w:lang w:val="pt-BR"/>
              </w:rPr>
            </w:pPr>
            <w:r>
              <w:rPr>
                <w:rFonts w:cs="Arial" w:ascii="Arial" w:hAnsi="Arial"/>
                <w:color w:val="auto"/>
                <w:szCs w:val="24"/>
                <w:lang w:val="pt-BR"/>
              </w:rPr>
              <w:t>Investimentos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 w:val="false"/>
                <w:bCs w:val="false"/>
                <w:color w:val="auto"/>
                <w:szCs w:val="24"/>
                <w:lang w:val="pt-BR"/>
              </w:rPr>
              <w:t xml:space="preserve">R$  </w:t>
            </w:r>
            <w:r>
              <w:rPr>
                <w:rFonts w:eastAsia="Calibri" w:cs="Arial" w:ascii="Arial" w:hAnsi="Arial"/>
                <w:b w:val="false"/>
                <w:bCs w:val="false"/>
                <w:color w:val="auto"/>
                <w:kern w:val="0"/>
                <w:sz w:val="24"/>
                <w:szCs w:val="24"/>
                <w:lang w:val="pt-BR" w:eastAsia="en-US" w:bidi="ar-SA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7D7D7" w:val="clear"/>
          </w:tcPr>
          <w:p>
            <w:pPr>
              <w:pStyle w:val="Normal"/>
              <w:spacing w:lineRule="auto" w:line="240" w:before="0" w:after="0"/>
              <w:ind w:left="0" w:right="0" w:firstLine="1201"/>
              <w:jc w:val="both"/>
              <w:rPr>
                <w:rFonts w:ascii="Arial" w:hAnsi="Arial" w:cs="Arial"/>
                <w:b/>
                <w:b/>
                <w:bCs/>
                <w:color w:val="auto"/>
                <w:szCs w:val="24"/>
              </w:rPr>
            </w:pPr>
            <w:r>
              <w:rPr>
                <w:rFonts w:cs="Arial" w:ascii="Arial" w:hAnsi="Arial"/>
                <w:b/>
                <w:bCs/>
                <w:color w:val="auto"/>
                <w:szCs w:val="24"/>
              </w:rPr>
              <w:t xml:space="preserve">Saldo financeiro </w:t>
            </w:r>
          </w:p>
          <w:p>
            <w:pPr>
              <w:pStyle w:val="Normal"/>
              <w:spacing w:lineRule="auto" w:line="240" w:before="0" w:after="0"/>
              <w:ind w:left="0" w:right="0" w:firstLine="360"/>
              <w:jc w:val="both"/>
              <w:rPr/>
            </w:pPr>
            <w:r>
              <w:rPr>
                <w:rFonts w:cs="Arial" w:ascii="Arial" w:hAnsi="Arial"/>
                <w:b/>
                <w:bCs/>
                <w:color w:val="auto"/>
                <w:szCs w:val="24"/>
                <w:lang w:val="pt-BR"/>
              </w:rPr>
              <w:t>30/07/</w:t>
            </w:r>
            <w:r>
              <w:rPr>
                <w:rFonts w:cs="Arial" w:ascii="Arial" w:hAnsi="Arial"/>
                <w:b/>
                <w:bCs/>
                <w:color w:val="auto"/>
                <w:szCs w:val="24"/>
              </w:rPr>
              <w:t>202</w:t>
            </w:r>
            <w:r>
              <w:rPr>
                <w:rFonts w:cs="Arial" w:ascii="Arial" w:hAnsi="Arial"/>
                <w:b/>
                <w:bCs/>
                <w:color w:val="auto"/>
                <w:szCs w:val="24"/>
                <w:lang w:val="pt-BR"/>
              </w:rPr>
              <w:t>5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7D7D7" w:val="clear"/>
          </w:tcPr>
          <w:p>
            <w:pPr>
              <w:pStyle w:val="Normal"/>
              <w:spacing w:lineRule="auto" w:line="240" w:before="0" w:after="0"/>
              <w:ind w:left="720" w:right="0" w:firstLine="600"/>
              <w:jc w:val="both"/>
              <w:rPr/>
            </w:pPr>
            <w:r>
              <w:rPr>
                <w:rFonts w:cs="Arial" w:ascii="Arial" w:hAnsi="Arial"/>
                <w:b/>
                <w:bCs/>
                <w:color w:val="auto"/>
                <w:szCs w:val="24"/>
                <w:lang w:val="pt-BR"/>
              </w:rPr>
              <w:t xml:space="preserve">R$   </w:t>
            </w:r>
            <w:r>
              <w:rPr>
                <w:rFonts w:eastAsia="Calibri" w:cs="Arial" w:ascii="Arial" w:hAnsi="Arial"/>
                <w:b/>
                <w:bCs/>
                <w:color w:val="auto"/>
                <w:kern w:val="0"/>
                <w:sz w:val="24"/>
                <w:szCs w:val="24"/>
                <w:lang w:val="pt-BR" w:eastAsia="en-US" w:bidi="ar-SA"/>
              </w:rPr>
              <w:t>15.041,32</w:t>
            </w:r>
          </w:p>
        </w:tc>
      </w:tr>
    </w:tbl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</w:r>
    </w:p>
    <w:p>
      <w:pPr>
        <w:pStyle w:val="Normal"/>
        <w:spacing w:lineRule="auto" w:line="240" w:before="0" w:after="0"/>
        <w:ind w:left="720" w:right="0" w:firstLine="400"/>
        <w:jc w:val="both"/>
        <w:rPr>
          <w:rFonts w:ascii="Arial" w:hAnsi="Arial" w:cs="Arial"/>
          <w:color w:val="auto"/>
          <w:sz w:val="16"/>
          <w:szCs w:val="16"/>
        </w:rPr>
      </w:pPr>
      <w:r>
        <w:rPr>
          <w:rFonts w:cs="Arial" w:ascii="Arial" w:hAnsi="Arial"/>
          <w:color w:val="auto"/>
          <w:sz w:val="16"/>
          <w:szCs w:val="16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>Apresentou relatório constando rol de prestadores de serviços com custos variáveis e fixos contratados relativos ao mês d</w:t>
      </w:r>
      <w:r>
        <w:rPr>
          <w:rFonts w:cs="Arial" w:ascii="Arial" w:hAnsi="Arial"/>
          <w:color w:val="auto"/>
          <w:szCs w:val="24"/>
          <w:lang w:val="pt-BR"/>
        </w:rPr>
        <w:t xml:space="preserve">e 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>Julho</w:t>
      </w:r>
      <w:r>
        <w:rPr>
          <w:rFonts w:cs="Arial" w:ascii="Arial" w:hAnsi="Arial"/>
          <w:color w:val="auto"/>
          <w:szCs w:val="24"/>
        </w:rPr>
        <w:t>/202</w:t>
      </w:r>
      <w:r>
        <w:rPr>
          <w:rFonts w:cs="Arial" w:ascii="Arial" w:hAnsi="Arial"/>
          <w:color w:val="auto"/>
          <w:szCs w:val="24"/>
          <w:lang w:val="pt-BR"/>
        </w:rPr>
        <w:t>5</w:t>
      </w:r>
      <w:r>
        <w:rPr>
          <w:rFonts w:cs="Arial" w:ascii="Arial" w:hAnsi="Arial"/>
          <w:color w:val="auto"/>
          <w:szCs w:val="24"/>
        </w:rPr>
        <w:t>, conforme abaixo: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</w:r>
    </w:p>
    <w:tbl>
      <w:tblPr>
        <w:tblW w:w="8431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3"/>
        <w:gridCol w:w="2026"/>
        <w:gridCol w:w="3232"/>
      </w:tblGrid>
      <w:tr>
        <w:trPr>
          <w:trHeight w:val="2572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DD6EE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rFonts w:ascii="Arial" w:hAnsi="Arial" w:cs="Arial"/>
                <w:b/>
                <w:b/>
                <w:bCs/>
                <w:color w:val="auto"/>
                <w:sz w:val="22"/>
              </w:rPr>
            </w:pPr>
            <w:r>
              <w:rPr>
                <w:rFonts w:cs="Arial" w:ascii="Arial" w:hAnsi="Arial"/>
                <w:b/>
                <w:bCs/>
                <w:color w:val="auto"/>
                <w:sz w:val="22"/>
              </w:rPr>
              <w:t>Empresa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DD6EE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b/>
                <w:b/>
                <w:bCs/>
                <w:color w:val="auto"/>
                <w:sz w:val="22"/>
              </w:rPr>
            </w:pPr>
            <w:r>
              <w:rPr>
                <w:rFonts w:cs="Arial" w:ascii="Arial" w:hAnsi="Arial"/>
                <w:b/>
                <w:bCs/>
                <w:color w:val="auto"/>
                <w:sz w:val="22"/>
              </w:rPr>
              <w:t>Serviço Prestado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DD6EE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Arial" w:hAnsi="Arial"/>
                <w:b/>
                <w:bCs/>
                <w:color w:val="auto"/>
                <w:sz w:val="22"/>
              </w:rPr>
              <w:t>Vlr Contrato Fevereiro</w:t>
            </w:r>
            <w:r>
              <w:rPr>
                <w:rFonts w:cs="Arial" w:ascii="Arial" w:hAnsi="Arial"/>
                <w:b/>
                <w:bCs/>
                <w:color w:val="auto"/>
                <w:sz w:val="22"/>
                <w:lang w:val="pt-BR"/>
              </w:rPr>
              <w:t>/2025</w:t>
            </w:r>
          </w:p>
        </w:tc>
      </w:tr>
      <w:tr>
        <w:trPr>
          <w:trHeight w:val="1094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</w:rPr>
              <w:t>ALL BUSSINNESS SERV COLETA E TRATAMENTO DE RESÍDUOS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Arial" w:hAnsi="Arial"/>
                <w:color w:val="auto"/>
                <w:sz w:val="22"/>
                <w:lang w:val="pt-BR"/>
              </w:rPr>
              <w:t>Alimentação Hospitala</w:t>
            </w:r>
            <w:r>
              <w:rPr>
                <w:rFonts w:cs="Arial" w:ascii="Arial" w:hAnsi="Arial"/>
                <w:color w:val="auto"/>
                <w:sz w:val="22"/>
              </w:rPr>
              <w:t>r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rFonts w:ascii="Arial" w:hAnsi="Arial" w:eastAsia="Calibri" w:cs="Arial"/>
                <w:color w:val="auto"/>
                <w:kern w:val="0"/>
                <w:sz w:val="22"/>
                <w:szCs w:val="22"/>
                <w:highlight w:val="yellow"/>
                <w:lang w:val="pt-BR" w:eastAsia="en-US" w:bidi="ar-SA"/>
              </w:rPr>
            </w:pPr>
            <w:r>
              <w:rPr>
                <w:rFonts w:eastAsia="Calibri" w:cs="Arial" w:ascii="Arial" w:hAnsi="Arial"/>
                <w:color w:val="auto"/>
                <w:kern w:val="0"/>
                <w:sz w:val="22"/>
                <w:szCs w:val="22"/>
                <w:highlight w:val="yellow"/>
                <w:lang w:val="pt-BR" w:eastAsia="en-US" w:bidi="ar-SA"/>
              </w:rPr>
              <w:t xml:space="preserve">R$ 84.565,98 </w:t>
            </w:r>
          </w:p>
        </w:tc>
      </w:tr>
      <w:tr>
        <w:trPr>
          <w:trHeight w:val="641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i w:val="false"/>
                <w:i w:val="false"/>
                <w:iCs w:val="false"/>
                <w:color w:val="auto"/>
                <w:sz w:val="21"/>
                <w:szCs w:val="21"/>
              </w:rPr>
            </w:pPr>
            <w:r>
              <w:rPr>
                <w:rFonts w:cs="Arial" w:ascii="Arial" w:hAnsi="Arial"/>
                <w:i w:val="false"/>
                <w:iCs w:val="false"/>
                <w:color w:val="auto"/>
                <w:sz w:val="21"/>
                <w:szCs w:val="21"/>
              </w:rPr>
              <w:t>ECO-EMPRESA DE CONSULTORIA E ORG. DE SISTEMAS E EDITORAÇÃO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Arial" w:hAnsi="Arial"/>
                <w:color w:val="auto"/>
                <w:sz w:val="22"/>
              </w:rPr>
              <w:t>Prontuário</w:t>
            </w:r>
            <w:r>
              <w:rPr>
                <w:rFonts w:cs="Arial" w:ascii="Arial" w:hAnsi="Arial"/>
                <w:color w:val="auto"/>
                <w:sz w:val="22"/>
                <w:lang w:val="pt-BR"/>
              </w:rPr>
              <w:t xml:space="preserve"> eletrónico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highlight w:val="yellow"/>
              </w:rPr>
            </w:pPr>
            <w:r>
              <w:rPr>
                <w:rFonts w:cs="Arial" w:ascii="Arial" w:hAnsi="Arial"/>
                <w:color w:val="auto"/>
                <w:sz w:val="22"/>
                <w:highlight w:val="yellow"/>
              </w:rPr>
              <w:t>R$</w:t>
            </w:r>
            <w:r>
              <w:rPr>
                <w:rFonts w:cs="Arial" w:ascii="Arial" w:hAnsi="Arial"/>
                <w:color w:val="auto"/>
                <w:sz w:val="22"/>
                <w:highlight w:val="yellow"/>
                <w:lang w:val="pt-BR"/>
              </w:rPr>
              <w:t xml:space="preserve"> 5.</w:t>
            </w:r>
            <w:r>
              <w:rPr>
                <w:rFonts w:eastAsia="Calibri" w:cs="Arial" w:ascii="Arial" w:hAnsi="Arial"/>
                <w:color w:val="auto"/>
                <w:kern w:val="0"/>
                <w:sz w:val="22"/>
                <w:szCs w:val="22"/>
                <w:highlight w:val="yellow"/>
                <w:lang w:val="pt-BR" w:eastAsia="en-US" w:bidi="ar-SA"/>
              </w:rPr>
              <w:t>000,00</w:t>
            </w:r>
          </w:p>
          <w:p>
            <w:pPr>
              <w:pStyle w:val="Normal"/>
              <w:spacing w:lineRule="auto" w:line="240" w:before="0" w:after="0"/>
              <w:ind w:left="720" w:right="0" w:firstLine="550"/>
              <w:jc w:val="left"/>
              <w:rPr/>
            </w:pPr>
            <w:r>
              <w:rPr/>
            </w:r>
          </w:p>
        </w:tc>
      </w:tr>
      <w:tr>
        <w:trPr>
          <w:trHeight w:val="368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</w:rPr>
              <w:t>HM1 GRÁFICA LOC. E COM LTDA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Arial" w:hAnsi="Arial"/>
                <w:color w:val="auto"/>
                <w:sz w:val="22"/>
                <w:lang w:val="pt-BR"/>
              </w:rPr>
              <w:t xml:space="preserve">Locação de </w:t>
            </w:r>
            <w:r>
              <w:rPr>
                <w:rFonts w:cs="Arial" w:ascii="Arial" w:hAnsi="Arial"/>
                <w:color w:val="auto"/>
                <w:sz w:val="22"/>
              </w:rPr>
              <w:t>Impressoras</w:t>
            </w:r>
            <w:r>
              <w:rPr>
                <w:rFonts w:cs="Arial" w:ascii="Arial" w:hAnsi="Arial"/>
                <w:color w:val="auto"/>
                <w:sz w:val="22"/>
                <w:lang w:val="pt-BR"/>
              </w:rPr>
              <w:t xml:space="preserve"> 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/>
            </w:pPr>
            <w:r>
              <w:rPr>
                <w:rFonts w:eastAsia="Calibri" w:cs="Arial" w:ascii="Arial" w:hAnsi="Arial"/>
                <w:b w:val="false"/>
                <w:bCs w:val="false"/>
                <w:color w:val="auto"/>
                <w:kern w:val="0"/>
                <w:sz w:val="22"/>
                <w:szCs w:val="22"/>
                <w:highlight w:val="yellow"/>
                <w:lang w:val="pt-BR" w:eastAsia="en-US" w:bidi="ar-SA"/>
              </w:rPr>
              <w:t>R$ 2.301,00</w:t>
            </w:r>
            <w:r>
              <w:rPr>
                <w:rFonts w:eastAsia="Calibri" w:cs="Arial" w:ascii="Arial" w:hAnsi="Arial"/>
                <w:b w:val="false"/>
                <w:bCs w:val="false"/>
                <w:color w:val="auto"/>
                <w:kern w:val="0"/>
                <w:sz w:val="22"/>
                <w:szCs w:val="22"/>
                <w:lang w:val="pt-BR" w:eastAsia="en-US" w:bidi="ar-SA"/>
              </w:rPr>
              <w:t xml:space="preserve"> </w:t>
            </w:r>
          </w:p>
        </w:tc>
      </w:tr>
      <w:tr>
        <w:trPr>
          <w:trHeight w:val="680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</w:rPr>
              <w:t>RAWTEC COMÉRCIO DE APARELHOS HOSPITALARES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Arial" w:hAnsi="Arial"/>
                <w:i w:val="false"/>
                <w:iCs w:val="false"/>
                <w:color w:val="auto"/>
                <w:sz w:val="22"/>
                <w:lang w:val="pt-BR"/>
              </w:rPr>
              <w:t>Manutenção de</w:t>
            </w:r>
            <w:r>
              <w:rPr>
                <w:rFonts w:cs="Arial" w:ascii="Arial" w:hAnsi="Arial"/>
                <w:i w:val="false"/>
                <w:iCs w:val="false"/>
                <w:color w:val="auto"/>
                <w:sz w:val="22"/>
              </w:rPr>
              <w:t xml:space="preserve"> Equipamentos Biomédicos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highlight w:val="yellow"/>
              </w:rPr>
            </w:pPr>
            <w:r>
              <w:rPr>
                <w:rFonts w:cs="Arial" w:ascii="Arial" w:hAnsi="Arial"/>
                <w:color w:val="auto"/>
                <w:sz w:val="22"/>
                <w:highlight w:val="yellow"/>
              </w:rPr>
              <w:t>R$</w:t>
            </w:r>
            <w:r>
              <w:rPr>
                <w:rFonts w:cs="Arial" w:ascii="Arial" w:hAnsi="Arial"/>
                <w:color w:val="auto"/>
                <w:sz w:val="22"/>
                <w:highlight w:val="yellow"/>
                <w:lang w:val="pt-BR"/>
              </w:rPr>
              <w:t xml:space="preserve"> 17.758,00 </w:t>
            </w:r>
          </w:p>
        </w:tc>
      </w:tr>
      <w:tr>
        <w:trPr>
          <w:trHeight w:val="817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</w:rPr>
              <w:t>DO IT SERV.COMB. DE APOIO ADM., CONSULT. E TREINAMENTO EM LOGÍSTICA LTDA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</w:rPr>
            </w:pPr>
            <w:r>
              <w:rPr>
                <w:rFonts w:cs="Arial" w:ascii="Arial" w:hAnsi="Arial"/>
                <w:color w:val="auto"/>
                <w:sz w:val="22"/>
              </w:rPr>
              <w:t>Gestao Integrada de estoques e operação logística integrada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rFonts w:ascii="Arial" w:hAnsi="Arial" w:cs="Arial"/>
                <w:color w:val="auto"/>
                <w:sz w:val="22"/>
                <w:highlight w:val="yellow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highlight w:val="yellow"/>
                <w:lang w:val="pt-BR"/>
              </w:rPr>
              <w:t xml:space="preserve">R$ 11.775,09 </w:t>
            </w:r>
          </w:p>
        </w:tc>
      </w:tr>
      <w:tr>
        <w:trPr>
          <w:trHeight w:val="791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</w:rPr>
              <w:t>NARCOMINAS ASSISTENCIA TÉCNICA LTDA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</w:rPr>
            </w:pPr>
            <w:r>
              <w:rPr>
                <w:rFonts w:cs="Arial" w:ascii="Arial" w:hAnsi="Arial"/>
                <w:color w:val="auto"/>
                <w:sz w:val="22"/>
              </w:rPr>
              <w:t>Manutenção de Equipamentos Médicos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rFonts w:ascii="Arial" w:hAnsi="Arial" w:cs="Arial"/>
                <w:color w:val="auto"/>
                <w:sz w:val="22"/>
                <w:highlight w:val="yellow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highlight w:val="yellow"/>
                <w:lang w:val="pt-BR"/>
              </w:rPr>
              <w:t xml:space="preserve">R$ 16.200,00 </w:t>
            </w:r>
          </w:p>
        </w:tc>
      </w:tr>
      <w:tr>
        <w:trPr>
          <w:trHeight w:val="380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</w:rPr>
              <w:t>ALTA REDE FIBER/FRINET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</w:rPr>
            </w:pPr>
            <w:r>
              <w:rPr>
                <w:rFonts w:cs="Arial" w:ascii="Arial" w:hAnsi="Arial"/>
                <w:color w:val="auto"/>
                <w:sz w:val="22"/>
              </w:rPr>
              <w:t>Internet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highlight w:val="yellow"/>
              </w:rPr>
            </w:pPr>
            <w:r>
              <w:rPr>
                <w:rFonts w:cs="Arial" w:ascii="Arial" w:hAnsi="Arial"/>
                <w:color w:val="auto"/>
                <w:sz w:val="22"/>
                <w:highlight w:val="yellow"/>
              </w:rPr>
              <w:t>R$</w:t>
            </w:r>
            <w:r>
              <w:rPr>
                <w:rFonts w:cs="Arial" w:ascii="Arial" w:hAnsi="Arial"/>
                <w:color w:val="auto"/>
                <w:sz w:val="22"/>
                <w:highlight w:val="yellow"/>
                <w:lang w:val="pt-BR"/>
              </w:rPr>
              <w:t xml:space="preserve"> 79,90</w:t>
            </w:r>
          </w:p>
        </w:tc>
      </w:tr>
      <w:tr>
        <w:trPr>
          <w:trHeight w:val="460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</w:rPr>
              <w:t>NETWAY TELECOM LTDA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</w:rPr>
            </w:pPr>
            <w:r>
              <w:rPr>
                <w:rFonts w:cs="Arial" w:ascii="Arial" w:hAnsi="Arial"/>
                <w:color w:val="auto"/>
                <w:sz w:val="22"/>
              </w:rPr>
              <w:t>Link dedicado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highlight w:val="yellow"/>
              </w:rPr>
            </w:pPr>
            <w:r>
              <w:rPr>
                <w:rFonts w:cs="Arial" w:ascii="Arial" w:hAnsi="Arial"/>
                <w:color w:val="auto"/>
                <w:sz w:val="22"/>
                <w:highlight w:val="yellow"/>
              </w:rPr>
              <w:t>R$</w:t>
            </w:r>
            <w:r>
              <w:rPr>
                <w:rFonts w:cs="Arial" w:ascii="Arial" w:hAnsi="Arial"/>
                <w:color w:val="auto"/>
                <w:sz w:val="22"/>
                <w:highlight w:val="yellow"/>
                <w:lang w:val="pt-BR"/>
              </w:rPr>
              <w:t xml:space="preserve"> 1.010,00</w:t>
            </w:r>
          </w:p>
        </w:tc>
      </w:tr>
      <w:tr>
        <w:trPr>
          <w:trHeight w:val="455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</w:rPr>
              <w:t>PRINT MAILING MGL POWER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20"/>
                <w:tab w:val="left" w:pos="1680" w:leader="none"/>
              </w:tabs>
              <w:spacing w:lineRule="auto" w:line="240" w:before="0" w:after="0"/>
              <w:jc w:val="both"/>
              <w:rPr/>
            </w:pPr>
            <w:r>
              <w:rPr>
                <w:rFonts w:cs="Arial" w:ascii="Arial" w:hAnsi="Arial"/>
                <w:color w:val="auto"/>
                <w:sz w:val="22"/>
              </w:rPr>
              <w:t>Locação</w:t>
            </w:r>
            <w:r>
              <w:rPr>
                <w:rFonts w:cs="Arial" w:ascii="Arial" w:hAnsi="Arial"/>
                <w:color w:val="auto"/>
                <w:sz w:val="22"/>
                <w:lang w:val="pt-BR"/>
              </w:rPr>
              <w:t xml:space="preserve"> </w:t>
            </w:r>
            <w:r>
              <w:rPr>
                <w:rFonts w:cs="Arial" w:ascii="Arial" w:hAnsi="Arial"/>
                <w:color w:val="auto"/>
                <w:sz w:val="22"/>
              </w:rPr>
              <w:t>de Nobreak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rFonts w:ascii="Arial" w:hAnsi="Arial" w:cs="Arial"/>
                <w:color w:val="auto"/>
                <w:sz w:val="22"/>
                <w:highlight w:val="yellow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highlight w:val="yellow"/>
                <w:lang w:val="pt-BR"/>
              </w:rPr>
              <w:t xml:space="preserve">R$ 238,65 </w:t>
            </w:r>
          </w:p>
        </w:tc>
      </w:tr>
      <w:tr>
        <w:trPr>
          <w:trHeight w:val="638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</w:rPr>
              <w:t>SOLLUS COM.E TECNOLOGIA LTDA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i w:val="false"/>
                <w:i w:val="false"/>
                <w:iCs w:val="false"/>
                <w:color w:val="auto"/>
                <w:sz w:val="22"/>
              </w:rPr>
            </w:pPr>
            <w:r>
              <w:rPr>
                <w:rFonts w:cs="Arial" w:ascii="Arial" w:hAnsi="Arial"/>
                <w:i w:val="false"/>
                <w:iCs w:val="false"/>
                <w:color w:val="auto"/>
                <w:sz w:val="22"/>
              </w:rPr>
              <w:t>Ponto biométrico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rFonts w:ascii="Arial" w:hAnsi="Arial" w:cs="Arial"/>
                <w:color w:val="auto"/>
                <w:sz w:val="22"/>
                <w:highlight w:val="yellow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highlight w:val="yellow"/>
                <w:lang w:val="pt-BR"/>
              </w:rPr>
              <w:t xml:space="preserve">R$ 404,12 </w:t>
            </w:r>
          </w:p>
        </w:tc>
      </w:tr>
      <w:tr>
        <w:trPr/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</w:rPr>
              <w:t>SEPARAR PRODUTOS E SERVIÇOS LTDA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</w:rPr>
            </w:pPr>
            <w:r>
              <w:rPr>
                <w:rFonts w:cs="Arial" w:ascii="Arial" w:hAnsi="Arial"/>
                <w:color w:val="auto"/>
                <w:sz w:val="22"/>
              </w:rPr>
              <w:t xml:space="preserve"> </w:t>
            </w:r>
            <w:r>
              <w:rPr>
                <w:rFonts w:cs="Arial" w:ascii="Arial" w:hAnsi="Arial"/>
                <w:color w:val="auto"/>
                <w:sz w:val="22"/>
              </w:rPr>
              <w:t>Gases Medicinais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rFonts w:ascii="Arial" w:hAnsi="Arial" w:cs="Arial"/>
                <w:color w:val="auto"/>
                <w:sz w:val="22"/>
                <w:highlight w:val="yellow"/>
              </w:rPr>
            </w:pPr>
            <w:r>
              <w:rPr>
                <w:rFonts w:cs="Arial" w:ascii="Arial" w:hAnsi="Arial"/>
                <w:color w:val="auto"/>
                <w:sz w:val="22"/>
                <w:highlight w:val="yellow"/>
              </w:rPr>
              <w:t xml:space="preserve">R$ 9.600,00 </w:t>
            </w:r>
          </w:p>
        </w:tc>
      </w:tr>
      <w:tr>
        <w:trPr/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</w:rPr>
              <w:t>DIAGNÓSTICO SERRANA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</w:rPr>
            </w:pPr>
            <w:r>
              <w:rPr>
                <w:rFonts w:cs="Arial" w:ascii="Arial" w:hAnsi="Arial"/>
                <w:color w:val="auto"/>
                <w:sz w:val="22"/>
              </w:rPr>
              <w:t>Equipamentos de radiologia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rFonts w:ascii="Arial" w:hAnsi="Arial" w:eastAsia="Calibri" w:cs="Arial"/>
                <w:color w:val="auto"/>
                <w:kern w:val="0"/>
                <w:sz w:val="22"/>
                <w:szCs w:val="22"/>
                <w:highlight w:val="yellow"/>
                <w:lang w:val="pt-BR" w:eastAsia="en-US" w:bidi="ar-SA"/>
              </w:rPr>
            </w:pPr>
            <w:r>
              <w:rPr>
                <w:rFonts w:eastAsia="Calibri" w:cs="Arial" w:ascii="Arial" w:hAnsi="Arial"/>
                <w:color w:val="auto"/>
                <w:kern w:val="0"/>
                <w:sz w:val="22"/>
                <w:szCs w:val="22"/>
                <w:highlight w:val="yellow"/>
                <w:lang w:val="pt-BR" w:eastAsia="en-US" w:bidi="ar-SA"/>
              </w:rPr>
              <w:t xml:space="preserve">R$ 6.000,00 </w:t>
            </w:r>
          </w:p>
        </w:tc>
      </w:tr>
      <w:tr>
        <w:trPr>
          <w:trHeight w:val="90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/>
                <w:i w:val="false"/>
                <w:i w:val="false"/>
                <w:iCs w:val="false"/>
                <w:color w:val="auto"/>
                <w:sz w:val="21"/>
                <w:szCs w:val="21"/>
                <w:lang w:val="pt-BR"/>
              </w:rPr>
            </w:pPr>
            <w:r>
              <w:rPr>
                <w:rFonts w:ascii="Arial" w:hAnsi="Arial"/>
                <w:i w:val="false"/>
                <w:iCs w:val="false"/>
                <w:color w:val="auto"/>
                <w:sz w:val="21"/>
                <w:szCs w:val="21"/>
                <w:lang w:val="pt-BR"/>
              </w:rPr>
              <w:t>TERA TECNOLOGIA E SEGURANÇA DA</w:t>
            </w:r>
          </w:p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/>
                <w:i w:val="false"/>
                <w:i w:val="false"/>
                <w:iCs w:val="false"/>
                <w:color w:val="auto"/>
                <w:sz w:val="21"/>
                <w:szCs w:val="21"/>
                <w:lang w:val="pt-BR"/>
              </w:rPr>
            </w:pPr>
            <w:r>
              <w:rPr>
                <w:rFonts w:ascii="Arial" w:hAnsi="Arial"/>
                <w:i w:val="false"/>
                <w:iCs w:val="false"/>
                <w:color w:val="auto"/>
                <w:sz w:val="21"/>
                <w:szCs w:val="21"/>
                <w:lang w:val="pt-BR"/>
              </w:rPr>
              <w:t>INFORMAÇÃO EIRELI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lang w:val="pt-BR"/>
              </w:rPr>
              <w:t>Gestão Integrada de Tecnol.Seg.Inf.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/>
            </w:pPr>
            <w:r>
              <w:rPr>
                <w:rFonts w:eastAsia="Calibri" w:cs="Arial" w:ascii="Arial" w:hAnsi="Arial"/>
                <w:color w:val="auto"/>
                <w:kern w:val="0"/>
                <w:sz w:val="22"/>
                <w:szCs w:val="22"/>
                <w:highlight w:val="yellow"/>
                <w:lang w:val="pt-BR" w:eastAsia="en-US" w:bidi="ar-SA"/>
              </w:rPr>
              <w:t>R$ 6.424,36</w:t>
            </w:r>
            <w:r>
              <w:rPr>
                <w:rFonts w:eastAsia="Calibri" w:cs="Arial" w:ascii="Arial" w:hAnsi="Arial"/>
                <w:color w:val="auto"/>
                <w:kern w:val="0"/>
                <w:sz w:val="22"/>
                <w:szCs w:val="22"/>
                <w:lang w:val="pt-BR" w:eastAsia="en-US" w:bidi="ar-SA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ind w:left="720" w:right="0" w:firstLine="550"/>
              <w:jc w:val="left"/>
              <w:rPr/>
            </w:pPr>
            <w:r>
              <w:rPr/>
              <w:t xml:space="preserve">                                  </w:t>
            </w:r>
          </w:p>
        </w:tc>
      </w:tr>
      <w:tr>
        <w:trPr>
          <w:trHeight w:val="373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/>
            </w:pPr>
            <w:r>
              <w:rPr>
                <w:rFonts w:cs="Arial" w:ascii="Arial" w:hAnsi="Arial"/>
                <w:i w:val="false"/>
                <w:iCs w:val="false"/>
                <w:color w:val="auto"/>
                <w:sz w:val="21"/>
                <w:szCs w:val="21"/>
                <w:lang w:val="pt-BR"/>
              </w:rPr>
              <w:t>CHADA COMERCIO E SERVIÇOS LTDA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lang w:val="pt-BR"/>
              </w:rPr>
              <w:t>Locação de Notebook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rFonts w:ascii="Arial" w:hAnsi="Arial" w:cs="Arial"/>
                <w:color w:val="auto"/>
                <w:sz w:val="22"/>
                <w:highlight w:val="yellow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highlight w:val="yellow"/>
                <w:lang w:val="pt-BR"/>
              </w:rPr>
              <w:t>R$ 190,00</w:t>
            </w:r>
          </w:p>
        </w:tc>
      </w:tr>
      <w:tr>
        <w:trPr>
          <w:trHeight w:val="464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  <w:lang w:val="pt-BR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  <w:lang w:val="pt-BR"/>
              </w:rPr>
              <w:t>WORKING PLUS COM.E SERV LTDA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lang w:val="pt-BR"/>
              </w:rPr>
              <w:t>Locação de Servidor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rFonts w:ascii="Arial" w:hAnsi="Arial" w:cs="Arial"/>
                <w:color w:val="auto"/>
                <w:sz w:val="22"/>
                <w:highlight w:val="yellow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highlight w:val="yellow"/>
                <w:lang w:val="pt-BR"/>
              </w:rPr>
              <w:t xml:space="preserve">R$620,00 </w:t>
            </w:r>
          </w:p>
        </w:tc>
      </w:tr>
      <w:tr>
        <w:trPr>
          <w:trHeight w:val="464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  <w:lang w:val="pt-BR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  <w:lang w:val="pt-BR"/>
              </w:rPr>
              <w:t>WORKING PLUS COM.E SERV LTDA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lang w:val="pt-BR"/>
              </w:rPr>
              <w:t>Locação de TV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rFonts w:ascii="Arial" w:hAnsi="Arial" w:eastAsia="Calibri" w:cs="Arial"/>
                <w:color w:val="auto"/>
                <w:kern w:val="0"/>
                <w:sz w:val="22"/>
                <w:szCs w:val="22"/>
                <w:highlight w:val="yellow"/>
                <w:lang w:val="pt-BR" w:eastAsia="en-US" w:bidi="ar-SA"/>
              </w:rPr>
            </w:pPr>
            <w:r>
              <w:rPr>
                <w:rFonts w:eastAsia="Calibri" w:cs="Arial" w:ascii="Arial" w:hAnsi="Arial"/>
                <w:color w:val="auto"/>
                <w:kern w:val="0"/>
                <w:sz w:val="22"/>
                <w:szCs w:val="22"/>
                <w:highlight w:val="yellow"/>
                <w:lang w:val="pt-BR" w:eastAsia="en-US" w:bidi="ar-SA"/>
              </w:rPr>
              <w:t xml:space="preserve">R$ 240,00 </w:t>
            </w:r>
          </w:p>
        </w:tc>
      </w:tr>
      <w:tr>
        <w:trPr>
          <w:trHeight w:val="464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  <w:lang w:val="pt-BR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  <w:lang w:val="pt-BR"/>
              </w:rPr>
              <w:t>WORKING PLUS COM.E SERV LTDA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lang w:val="pt-BR"/>
              </w:rPr>
              <w:t>Locação de Computadores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rFonts w:ascii="Arial" w:hAnsi="Arial" w:cs="Arial"/>
                <w:color w:val="auto"/>
                <w:sz w:val="22"/>
                <w:highlight w:val="yellow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highlight w:val="yellow"/>
                <w:lang w:val="pt-BR"/>
              </w:rPr>
              <w:t xml:space="preserve">R$ 3.488,00 </w:t>
            </w:r>
          </w:p>
        </w:tc>
      </w:tr>
      <w:tr>
        <w:trPr>
          <w:trHeight w:val="464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  <w:lang w:val="pt-BR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  <w:lang w:val="pt-BR"/>
              </w:rPr>
              <w:t>WORKING PLUS COM.E SERV LTDA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lang w:val="pt-BR"/>
              </w:rPr>
              <w:t>Locação de Toten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rFonts w:ascii="Arial" w:hAnsi="Arial" w:cs="Arial"/>
                <w:color w:val="auto"/>
                <w:sz w:val="22"/>
                <w:highlight w:val="yellow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highlight w:val="yellow"/>
                <w:lang w:val="pt-BR"/>
              </w:rPr>
              <w:t>R$ 600,00</w:t>
            </w:r>
          </w:p>
        </w:tc>
      </w:tr>
      <w:tr>
        <w:trPr/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</w:rPr>
              <w:t>FUNDAÇÃO PRÓ-INSTITUTO DE HEMATOLOGIA-RJ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Arial" w:hAnsi="Arial"/>
                <w:color w:val="auto"/>
                <w:sz w:val="22"/>
              </w:rPr>
              <w:t>Análises Clínicas</w:t>
            </w:r>
            <w:r>
              <w:rPr>
                <w:rFonts w:cs="Arial" w:ascii="Arial" w:hAnsi="Arial"/>
                <w:color w:val="auto"/>
                <w:sz w:val="22"/>
                <w:lang w:val="pt-BR"/>
              </w:rPr>
              <w:t xml:space="preserve"> 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rFonts w:ascii="Arial" w:hAnsi="Arial" w:eastAsia="Calibri" w:cs="Arial"/>
                <w:color w:val="auto"/>
                <w:kern w:val="0"/>
                <w:sz w:val="22"/>
                <w:szCs w:val="22"/>
                <w:highlight w:val="yellow"/>
                <w:lang w:val="pt-BR" w:eastAsia="en-US" w:bidi="ar-SA"/>
              </w:rPr>
            </w:pPr>
            <w:r>
              <w:rPr>
                <w:rFonts w:eastAsia="Calibri" w:cs="Arial" w:ascii="Arial" w:hAnsi="Arial"/>
                <w:color w:val="auto"/>
                <w:kern w:val="0"/>
                <w:sz w:val="22"/>
                <w:szCs w:val="22"/>
                <w:highlight w:val="yellow"/>
                <w:lang w:val="pt-BR" w:eastAsia="en-US" w:bidi="ar-SA"/>
              </w:rPr>
              <w:t xml:space="preserve">R$ 43.262,99 </w:t>
            </w:r>
          </w:p>
        </w:tc>
      </w:tr>
      <w:tr>
        <w:trPr>
          <w:trHeight w:val="272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  <w:lang w:val="pt-BR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  <w:lang w:val="pt-BR"/>
              </w:rPr>
              <w:t>GERA ENERGY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</w:rPr>
            </w:pPr>
            <w:r>
              <w:rPr>
                <w:rFonts w:cs="Arial" w:ascii="Arial" w:hAnsi="Arial"/>
                <w:color w:val="auto"/>
                <w:sz w:val="22"/>
              </w:rPr>
              <w:t>Manutenção em Gerador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rFonts w:ascii="Arial" w:hAnsi="Arial" w:cs="Arial"/>
                <w:color w:val="auto"/>
                <w:sz w:val="22"/>
                <w:szCs w:val="22"/>
                <w:highlight w:val="yellow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szCs w:val="22"/>
                <w:highlight w:val="yellow"/>
                <w:lang w:val="pt-BR"/>
              </w:rPr>
              <w:t>R$3.500,00</w:t>
            </w:r>
          </w:p>
        </w:tc>
      </w:tr>
      <w:tr>
        <w:trPr>
          <w:trHeight w:val="729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  <w:lang w:val="pt-BR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  <w:lang w:val="pt-BR"/>
              </w:rPr>
              <w:t>SAPRA LANDAUER SERVIÇO DE ASSESSORIA E PROTEÇÃO RADIOLÓGICA LTDA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</w:rPr>
            </w:pPr>
            <w:r>
              <w:rPr>
                <w:rFonts w:cs="Arial" w:ascii="Arial" w:hAnsi="Arial"/>
                <w:color w:val="auto"/>
                <w:sz w:val="22"/>
              </w:rPr>
              <w:t>Fornecimento de Dosímetros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/>
            </w:pPr>
            <w:r>
              <w:rPr>
                <w:rFonts w:cs="Arial" w:ascii="Arial" w:hAnsi="Arial"/>
                <w:b w:val="false"/>
                <w:bCs w:val="false"/>
                <w:color w:val="auto"/>
                <w:sz w:val="22"/>
                <w:lang w:val="pt-BR"/>
              </w:rPr>
              <w:t>R$0,00</w:t>
            </w:r>
          </w:p>
        </w:tc>
      </w:tr>
      <w:tr>
        <w:trPr>
          <w:trHeight w:val="882" w:hRule="atLeast"/>
        </w:trPr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/>
                <w:color w:val="auto"/>
                <w:sz w:val="21"/>
                <w:szCs w:val="21"/>
                <w:lang w:val="pt-BR"/>
              </w:rPr>
            </w:pPr>
            <w:r>
              <w:rPr>
                <w:rFonts w:ascii="Arial" w:hAnsi="Arial"/>
                <w:color w:val="auto"/>
                <w:sz w:val="21"/>
                <w:szCs w:val="21"/>
                <w:lang w:val="pt-BR"/>
              </w:rPr>
              <w:t xml:space="preserve">LABMED NOVA FRIBURGO CLINICA </w:t>
            </w:r>
          </w:p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/>
                <w:color w:val="auto"/>
                <w:sz w:val="21"/>
                <w:szCs w:val="21"/>
                <w:lang w:val="pt-BR"/>
              </w:rPr>
            </w:pPr>
            <w:r>
              <w:rPr>
                <w:rFonts w:ascii="Arial" w:hAnsi="Arial"/>
                <w:color w:val="auto"/>
                <w:sz w:val="21"/>
                <w:szCs w:val="21"/>
                <w:lang w:val="pt-BR"/>
              </w:rPr>
              <w:t>MEDICINA DO TRABALHO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i w:val="false"/>
                <w:i w:val="false"/>
                <w:iCs w:val="false"/>
                <w:color w:val="auto"/>
                <w:sz w:val="22"/>
                <w:lang w:val="pt-BR"/>
              </w:rPr>
            </w:pPr>
            <w:r>
              <w:rPr>
                <w:rFonts w:cs="Arial" w:ascii="Arial" w:hAnsi="Arial"/>
                <w:i w:val="false"/>
                <w:iCs w:val="false"/>
                <w:color w:val="auto"/>
                <w:sz w:val="22"/>
                <w:lang w:val="pt-BR"/>
              </w:rPr>
              <w:t>Saúde Ocupacional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>
                <w:highlight w:val="yellow"/>
              </w:rPr>
            </w:pPr>
            <w:r>
              <w:rPr>
                <w:rFonts w:cs="Arial" w:ascii="Arial" w:hAnsi="Arial"/>
                <w:b w:val="false"/>
                <w:bCs w:val="false"/>
                <w:color w:val="auto"/>
                <w:sz w:val="22"/>
                <w:highlight w:val="yellow"/>
                <w:lang w:val="pt-BR"/>
              </w:rPr>
              <w:t>R$</w:t>
            </w:r>
            <w:r>
              <w:rPr>
                <w:rFonts w:eastAsia="Calibri" w:cs="Arial" w:ascii="Arial" w:hAnsi="Arial"/>
                <w:b w:val="false"/>
                <w:bCs w:val="false"/>
                <w:color w:val="auto"/>
                <w:kern w:val="0"/>
                <w:sz w:val="22"/>
                <w:szCs w:val="22"/>
                <w:highlight w:val="yellow"/>
                <w:lang w:val="pt-BR" w:eastAsia="en-US" w:bidi="ar-SA"/>
              </w:rPr>
              <w:t xml:space="preserve">708,00 </w:t>
            </w:r>
          </w:p>
        </w:tc>
      </w:tr>
      <w:tr>
        <w:trPr>
          <w:trHeight w:val="882" w:hRule="atLeast"/>
        </w:trPr>
        <w:tc>
          <w:tcPr>
            <w:tcW w:w="31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both"/>
              <w:rPr/>
            </w:pPr>
            <w:r>
              <w:rPr/>
              <w:t xml:space="preserve">             </w:t>
            </w:r>
            <w:r>
              <w:rPr/>
              <w:t>WD SWISS VOIP</w:t>
            </w:r>
          </w:p>
        </w:tc>
        <w:tc>
          <w:tcPr>
            <w:tcW w:w="20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  <w:t>Linhas VOIP</w:t>
            </w:r>
          </w:p>
        </w:tc>
        <w:tc>
          <w:tcPr>
            <w:tcW w:w="32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both"/>
              <w:rPr/>
            </w:pPr>
            <w:r>
              <w:rPr/>
              <w:t xml:space="preserve">                     </w:t>
            </w:r>
            <w:r>
              <w:rPr>
                <w:rFonts w:eastAsia="Calibri"/>
              </w:rPr>
              <w:t xml:space="preserve">   </w:t>
            </w:r>
            <w:r>
              <w:rPr>
                <w:rFonts w:eastAsia="Calibri"/>
                <w:highlight w:val="yellow"/>
              </w:rPr>
              <w:t>R$ 209,70</w:t>
            </w:r>
            <w:r>
              <w:rPr>
                <w:rFonts w:eastAsia="Calibri"/>
              </w:rPr>
              <w:t xml:space="preserve"> </w:t>
            </w:r>
          </w:p>
        </w:tc>
      </w:tr>
      <w:tr>
        <w:trPr>
          <w:trHeight w:val="882" w:hRule="atLeast"/>
        </w:trPr>
        <w:tc>
          <w:tcPr>
            <w:tcW w:w="31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/>
            </w:pPr>
            <w:r>
              <w:rPr/>
              <w:t xml:space="preserve">CONSULTE CONSULTORIA E SERVIÇOS MÉDICOS LTDA </w:t>
            </w:r>
          </w:p>
        </w:tc>
        <w:tc>
          <w:tcPr>
            <w:tcW w:w="20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  <w:t xml:space="preserve">Consultoria em Gestão em Saúde </w:t>
            </w:r>
          </w:p>
        </w:tc>
        <w:tc>
          <w:tcPr>
            <w:tcW w:w="32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both"/>
              <w:rPr/>
            </w:pPr>
            <w:r>
              <w:rPr/>
              <w:t xml:space="preserve">                    </w:t>
            </w:r>
            <w:r>
              <w:rPr>
                <w:rFonts w:eastAsia="Calibri"/>
              </w:rPr>
              <w:t xml:space="preserve">  </w:t>
            </w:r>
            <w:r>
              <w:rPr>
                <w:rFonts w:eastAsia="Calibri"/>
                <w:highlight w:val="yellow"/>
              </w:rPr>
              <w:t xml:space="preserve"> </w:t>
            </w:r>
            <w:r>
              <w:rPr>
                <w:rFonts w:eastAsia="Calibri"/>
                <w:highlight w:val="yellow"/>
              </w:rPr>
              <w:t xml:space="preserve">R$ 6128,55 </w:t>
            </w:r>
          </w:p>
        </w:tc>
      </w:tr>
    </w:tbl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color w:val="auto"/>
          <w:szCs w:val="24"/>
          <w:highlight w:val="lightGray"/>
          <w:vertAlign w:val="superscript"/>
          <w:lang w:val="pt-BR"/>
        </w:rPr>
      </w:pPr>
      <w:r>
        <w:rPr>
          <w:rFonts w:cs="Arial" w:ascii="Arial" w:hAnsi="Arial"/>
          <w:b/>
          <w:bCs/>
          <w:color w:val="auto"/>
          <w:szCs w:val="24"/>
          <w:highlight w:val="lightGray"/>
          <w:vertAlign w:val="superscript"/>
          <w:lang w:val="pt-BR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</w:r>
    </w:p>
    <w:p>
      <w:pPr>
        <w:pStyle w:val="Normal"/>
        <w:shd w:val="clear" w:fill="000000"/>
        <w:spacing w:lineRule="auto" w:line="240" w:before="0" w:after="0"/>
        <w:ind w:left="720" w:right="0" w:firstLine="700"/>
        <w:jc w:val="both"/>
        <w:rPr>
          <w:rFonts w:ascii="Arial" w:hAnsi="Arial" w:cs="Arial"/>
          <w:color w:val="auto"/>
          <w:sz w:val="28"/>
          <w:szCs w:val="28"/>
        </w:rPr>
      </w:pPr>
      <w:r>
        <w:rPr>
          <w:rFonts w:cs="Arial" w:ascii="Arial" w:hAnsi="Arial"/>
          <w:color w:val="auto"/>
          <w:sz w:val="28"/>
          <w:szCs w:val="28"/>
        </w:rPr>
        <w:t>Metas e Indicadores de Desempenho (Anexo I-A)</w:t>
      </w:r>
    </w:p>
    <w:p>
      <w:pPr>
        <w:pStyle w:val="Normal"/>
        <w:shd w:val="clear" w:fill="000000"/>
        <w:spacing w:lineRule="auto" w:line="240" w:before="0" w:after="0"/>
        <w:ind w:left="720" w:right="0" w:firstLine="700"/>
        <w:jc w:val="both"/>
        <w:rPr>
          <w:rFonts w:ascii="Arial" w:hAnsi="Arial" w:cs="Arial"/>
          <w:color w:val="auto"/>
          <w:sz w:val="28"/>
          <w:szCs w:val="28"/>
        </w:rPr>
      </w:pPr>
      <w:r>
        <w:rPr>
          <w:rFonts w:cs="Arial" w:ascii="Arial" w:hAnsi="Arial"/>
          <w:color w:val="auto"/>
          <w:sz w:val="28"/>
          <w:szCs w:val="28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>Em análise das Metas e Indicadores do período de 01 a 31</w:t>
      </w:r>
      <w:r>
        <w:rPr>
          <w:rFonts w:cs="Arial" w:ascii="Arial" w:hAnsi="Arial"/>
          <w:color w:val="auto"/>
          <w:szCs w:val="24"/>
          <w:lang w:val="pt-BR"/>
        </w:rPr>
        <w:t>/07</w:t>
      </w:r>
      <w:r>
        <w:rPr>
          <w:rFonts w:cs="Arial" w:ascii="Arial" w:hAnsi="Arial"/>
          <w:color w:val="auto"/>
          <w:szCs w:val="24"/>
        </w:rPr>
        <w:t>/20</w:t>
      </w:r>
      <w:r>
        <w:rPr>
          <w:rFonts w:cs="Arial" w:ascii="Arial" w:hAnsi="Arial"/>
          <w:color w:val="auto"/>
          <w:szCs w:val="24"/>
          <w:lang w:val="pt-BR"/>
        </w:rPr>
        <w:t>25</w:t>
      </w:r>
      <w:r>
        <w:rPr>
          <w:rFonts w:cs="Arial" w:ascii="Arial" w:hAnsi="Arial"/>
          <w:color w:val="auto"/>
          <w:szCs w:val="24"/>
        </w:rPr>
        <w:t xml:space="preserve">, referente ao anexo I-A do TR, observamos que </w:t>
      </w:r>
      <w:r>
        <w:rPr>
          <w:rFonts w:cs="Arial" w:ascii="Arial" w:hAnsi="Arial"/>
          <w:color w:val="auto"/>
          <w:szCs w:val="24"/>
          <w:lang w:val="pt-BR"/>
        </w:rPr>
        <w:t>o item  1 atingiu  a</w:t>
      </w:r>
      <w:r>
        <w:rPr>
          <w:rFonts w:cs="Arial" w:ascii="Arial" w:hAnsi="Arial"/>
          <w:color w:val="auto"/>
          <w:szCs w:val="24"/>
        </w:rPr>
        <w:t xml:space="preserve"> meta máxima d</w:t>
      </w:r>
      <w:r>
        <w:rPr>
          <w:rFonts w:cs="Arial" w:ascii="Arial" w:hAnsi="Arial"/>
          <w:color w:val="auto"/>
          <w:szCs w:val="24"/>
          <w:lang w:val="pt-BR"/>
        </w:rPr>
        <w:t xml:space="preserve">o </w:t>
      </w:r>
      <w:r>
        <w:rPr>
          <w:rFonts w:cs="Arial" w:ascii="Arial" w:hAnsi="Arial"/>
          <w:color w:val="auto"/>
          <w:szCs w:val="24"/>
        </w:rPr>
        <w:t>indicador</w:t>
      </w:r>
      <w:r>
        <w:rPr>
          <w:rFonts w:cs="Arial" w:ascii="Arial" w:hAnsi="Arial"/>
          <w:color w:val="auto"/>
          <w:szCs w:val="24"/>
          <w:lang w:val="pt-BR"/>
        </w:rPr>
        <w:t xml:space="preserve"> enquanto o indicador 2 não atingiu, conforme dados abaixo</w:t>
      </w:r>
      <w:r>
        <w:rPr>
          <w:rFonts w:cs="Arial" w:ascii="Arial" w:hAnsi="Arial"/>
          <w:color w:val="auto"/>
          <w:szCs w:val="24"/>
        </w:rPr>
        <w:t>:</w:t>
      </w:r>
    </w:p>
    <w:p>
      <w:pPr>
        <w:pStyle w:val="Normal"/>
        <w:spacing w:lineRule="auto" w:line="240" w:before="0" w:after="0"/>
        <w:ind w:left="720" w:right="0" w:firstLine="500"/>
        <w:jc w:val="both"/>
        <w:rPr>
          <w:rFonts w:ascii="Arial" w:hAnsi="Arial" w:cs="Arial"/>
          <w:color w:val="auto"/>
          <w:sz w:val="20"/>
          <w:szCs w:val="20"/>
        </w:rPr>
      </w:pPr>
      <w:r>
        <w:rPr>
          <w:rFonts w:cs="Arial" w:ascii="Arial" w:hAnsi="Arial"/>
          <w:color w:val="auto"/>
          <w:sz w:val="20"/>
          <w:szCs w:val="20"/>
        </w:rPr>
      </w:r>
    </w:p>
    <w:p>
      <w:pPr>
        <w:pStyle w:val="Normal"/>
        <w:spacing w:lineRule="auto" w:line="240" w:before="0" w:after="0"/>
        <w:ind w:left="720" w:right="0" w:firstLine="325"/>
        <w:jc w:val="both"/>
        <w:rPr>
          <w:rFonts w:ascii="Arial" w:hAnsi="Arial" w:cs="Arial"/>
          <w:b/>
          <w:b/>
          <w:bCs/>
          <w:color w:val="auto"/>
          <w:sz w:val="13"/>
          <w:szCs w:val="13"/>
        </w:rPr>
      </w:pPr>
      <w:r>
        <w:rPr>
          <w:rFonts w:cs="Arial" w:ascii="Arial" w:hAnsi="Arial"/>
          <w:b/>
          <w:bCs/>
          <w:color w:val="auto"/>
          <w:sz w:val="13"/>
          <w:szCs w:val="13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color w:val="auto"/>
          <w:szCs w:val="24"/>
        </w:rPr>
      </w:pPr>
      <w:r>
        <w:rPr>
          <w:rFonts w:cs="Arial" w:ascii="Arial" w:hAnsi="Arial"/>
          <w:b/>
          <w:bCs/>
          <w:color w:val="auto"/>
          <w:szCs w:val="24"/>
        </w:rPr>
        <w:t>Item 1- Indicadores Quantitativos</w:t>
      </w:r>
    </w:p>
    <w:p>
      <w:pPr>
        <w:pStyle w:val="Normal"/>
        <w:spacing w:lineRule="auto" w:line="240" w:before="0" w:after="0"/>
        <w:ind w:left="720" w:right="0" w:firstLine="400"/>
        <w:jc w:val="both"/>
        <w:rPr>
          <w:rFonts w:ascii="Arial" w:hAnsi="Arial" w:cs="Arial"/>
          <w:color w:val="auto"/>
          <w:sz w:val="16"/>
          <w:szCs w:val="16"/>
        </w:rPr>
      </w:pPr>
      <w:r>
        <w:rPr>
          <w:rFonts w:cs="Arial" w:ascii="Arial" w:hAnsi="Arial"/>
          <w:color w:val="auto"/>
          <w:sz w:val="16"/>
          <w:szCs w:val="16"/>
        </w:rPr>
      </w:r>
    </w:p>
    <w:p>
      <w:pPr>
        <w:pStyle w:val="Normal"/>
        <w:spacing w:lineRule="auto" w:line="240" w:before="0" w:after="0"/>
        <w:ind w:left="720" w:right="0" w:firstLine="400"/>
        <w:jc w:val="both"/>
        <w:rPr>
          <w:rFonts w:ascii="Arial" w:hAnsi="Arial" w:cs="Arial"/>
          <w:color w:val="auto"/>
          <w:sz w:val="16"/>
          <w:szCs w:val="16"/>
        </w:rPr>
      </w:pPr>
      <w:r>
        <w:rPr>
          <w:rFonts w:cs="Arial" w:ascii="Arial" w:hAnsi="Arial"/>
          <w:color w:val="auto"/>
          <w:sz w:val="16"/>
          <w:szCs w:val="16"/>
        </w:rPr>
      </w:r>
    </w:p>
    <w:p>
      <w:pPr>
        <w:pStyle w:val="Normal"/>
        <w:numPr>
          <w:ilvl w:val="1"/>
          <w:numId w:val="1"/>
        </w:numPr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b/>
          <w:bCs/>
          <w:color w:val="auto"/>
          <w:szCs w:val="24"/>
        </w:rPr>
        <w:t>Atendimento Global - A meta apresentada na tabela de indicadores de desempenho é:   99% marcando 10</w:t>
      </w:r>
      <w:r>
        <w:rPr>
          <w:rFonts w:cs="Arial" w:ascii="Arial" w:hAnsi="Arial"/>
          <w:b/>
          <w:bCs/>
          <w:color w:val="auto"/>
          <w:szCs w:val="24"/>
          <w:lang w:val="pt-BR"/>
        </w:rPr>
        <w:t xml:space="preserve"> </w:t>
      </w:r>
      <w:r>
        <w:rPr>
          <w:rFonts w:cs="Arial" w:ascii="Arial" w:hAnsi="Arial"/>
          <w:b/>
          <w:bCs/>
          <w:color w:val="auto"/>
          <w:szCs w:val="24"/>
        </w:rPr>
        <w:t>pontos.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  <w:t xml:space="preserve"> </w:t>
      </w:r>
    </w:p>
    <w:p>
      <w:pPr>
        <w:pStyle w:val="Normal"/>
        <w:spacing w:lineRule="auto" w:line="240" w:before="0" w:after="0"/>
        <w:ind w:left="720" w:right="0" w:firstLine="50"/>
        <w:jc w:val="both"/>
        <w:rPr>
          <w:rFonts w:ascii="Arial" w:hAnsi="Arial" w:cs="Arial"/>
          <w:color w:val="auto"/>
          <w:sz w:val="2"/>
          <w:szCs w:val="2"/>
        </w:rPr>
      </w:pPr>
      <w:r>
        <w:rPr>
          <w:rFonts w:cs="Arial" w:ascii="Arial" w:hAnsi="Arial"/>
          <w:color w:val="auto"/>
          <w:sz w:val="2"/>
          <w:szCs w:val="2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>Como podemos observar n</w:t>
      </w:r>
      <w:r>
        <w:rPr>
          <w:rFonts w:cs="Arial" w:ascii="Arial" w:hAnsi="Arial"/>
          <w:color w:val="auto"/>
          <w:szCs w:val="24"/>
          <w:lang w:val="pt-BR"/>
        </w:rPr>
        <w:t>os dados apresentados na</w:t>
      </w:r>
      <w:r>
        <w:rPr>
          <w:rFonts w:cs="Arial" w:ascii="Arial" w:hAnsi="Arial"/>
          <w:color w:val="auto"/>
          <w:szCs w:val="24"/>
        </w:rPr>
        <w:t xml:space="preserve"> </w:t>
      </w:r>
      <w:r>
        <w:rPr>
          <w:rFonts w:cs="Arial" w:ascii="Arial" w:hAnsi="Arial"/>
          <w:color w:val="auto"/>
          <w:szCs w:val="24"/>
          <w:lang w:val="pt-BR"/>
        </w:rPr>
        <w:t>página 09</w:t>
      </w:r>
      <w:r>
        <w:rPr>
          <w:rFonts w:cs="Arial" w:ascii="Arial" w:hAnsi="Arial"/>
          <w:color w:val="auto"/>
          <w:szCs w:val="24"/>
        </w:rPr>
        <w:t xml:space="preserve">, Processo nº </w:t>
      </w:r>
      <w:r>
        <w:rPr>
          <w:rFonts w:eastAsia="Calibri" w:cs="Arial" w:ascii="Arial" w:hAnsi="Arial"/>
          <w:color w:val="auto"/>
          <w:kern w:val="0"/>
          <w:sz w:val="28"/>
          <w:szCs w:val="28"/>
          <w:lang w:val="pt-BR" w:eastAsia="en-US" w:bidi="ar-SA"/>
        </w:rPr>
        <w:t>29.252</w:t>
      </w:r>
      <w:r>
        <w:rPr>
          <w:rFonts w:cs="Arial" w:ascii="Arial" w:hAnsi="Arial"/>
          <w:color w:val="auto"/>
          <w:sz w:val="28"/>
          <w:szCs w:val="28"/>
          <w:lang w:val="pt-BR"/>
        </w:rPr>
        <w:t xml:space="preserve">/2025 </w:t>
      </w:r>
      <w:r>
        <w:rPr>
          <w:rFonts w:cs="Arial" w:ascii="Arial" w:hAnsi="Arial"/>
          <w:color w:val="auto"/>
          <w:szCs w:val="24"/>
        </w:rPr>
        <w:t>, o número de atendimentos médicos</w:t>
      </w:r>
      <w:r>
        <w:rPr>
          <w:rFonts w:cs="Arial" w:ascii="Arial" w:hAnsi="Arial"/>
          <w:color w:val="auto"/>
          <w:szCs w:val="24"/>
          <w:lang w:val="pt-BR"/>
        </w:rPr>
        <w:t xml:space="preserve"> e</w:t>
      </w:r>
      <w:r>
        <w:rPr>
          <w:rFonts w:cs="Arial" w:ascii="Arial" w:hAnsi="Arial"/>
          <w:color w:val="auto"/>
          <w:szCs w:val="24"/>
        </w:rPr>
        <w:t xml:space="preserve"> pediátricos ocorreram respectivamente nas seguintes quantidades:</w:t>
      </w:r>
      <w:r>
        <w:rPr>
          <w:rFonts w:eastAsia="Calibri" w:cs="Arial" w:ascii="Arial" w:hAnsi="Arial"/>
          <w:color w:val="auto"/>
          <w:sz w:val="24"/>
          <w:szCs w:val="24"/>
          <w:lang w:val="pt-BR" w:eastAsia="en-US" w:bidi="ar-SA"/>
        </w:rPr>
        <w:t>(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 xml:space="preserve">5.034  </w:t>
      </w:r>
      <w:r>
        <w:rPr>
          <w:rFonts w:eastAsia="Calibri" w:cs="Arial" w:ascii="Arial" w:hAnsi="Arial"/>
          <w:color w:val="auto"/>
          <w:sz w:val="24"/>
          <w:szCs w:val="24"/>
          <w:lang w:val="pt-BR" w:eastAsia="en-US" w:bidi="ar-SA"/>
        </w:rPr>
        <w:t xml:space="preserve"> </w:t>
      </w:r>
      <w:r>
        <w:rPr>
          <w:rFonts w:cs="Arial" w:ascii="Arial" w:hAnsi="Arial"/>
          <w:color w:val="auto"/>
          <w:szCs w:val="24"/>
          <w:lang w:val="pt-BR"/>
        </w:rPr>
        <w:t xml:space="preserve">e 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 xml:space="preserve">1.120 </w:t>
      </w:r>
      <w:r>
        <w:rPr>
          <w:rFonts w:cs="Arial" w:ascii="Arial" w:hAnsi="Arial"/>
          <w:color w:val="auto"/>
          <w:szCs w:val="24"/>
        </w:rPr>
        <w:t xml:space="preserve"> totalizando 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 xml:space="preserve"> 6.154  </w:t>
      </w:r>
      <w:r>
        <w:rPr>
          <w:rFonts w:eastAsia="Calibri" w:cs="Arial" w:ascii="Arial" w:hAnsi="Arial"/>
          <w:color w:val="auto"/>
          <w:sz w:val="24"/>
          <w:szCs w:val="24"/>
          <w:lang w:val="pt-BR" w:eastAsia="en-US" w:bidi="ar-SA"/>
        </w:rPr>
        <w:t xml:space="preserve">  </w:t>
      </w:r>
      <w:r>
        <w:rPr>
          <w:rFonts w:cs="Arial" w:ascii="Arial" w:hAnsi="Arial"/>
          <w:color w:val="auto"/>
          <w:szCs w:val="24"/>
          <w:lang w:val="pt-BR"/>
        </w:rPr>
        <w:t xml:space="preserve"> e os atendimentos </w:t>
      </w:r>
      <w:r>
        <w:rPr>
          <w:rFonts w:cs="Arial" w:ascii="Arial" w:hAnsi="Arial"/>
          <w:color w:val="auto"/>
          <w:szCs w:val="24"/>
        </w:rPr>
        <w:t xml:space="preserve"> odontológicos </w:t>
      </w:r>
      <w:r>
        <w:rPr>
          <w:rFonts w:cs="Arial" w:ascii="Arial" w:hAnsi="Arial"/>
          <w:color w:val="auto"/>
          <w:szCs w:val="24"/>
          <w:lang w:val="pt-BR"/>
        </w:rPr>
        <w:t xml:space="preserve">e de serviço social totalizaram 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 xml:space="preserve">309 </w:t>
      </w:r>
      <w:r>
        <w:rPr>
          <w:rFonts w:cs="Arial" w:ascii="Arial" w:hAnsi="Arial"/>
          <w:color w:val="auto"/>
          <w:szCs w:val="24"/>
          <w:lang w:val="pt-BR"/>
        </w:rPr>
        <w:t xml:space="preserve">e 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>255</w:t>
      </w:r>
      <w:r>
        <w:rPr>
          <w:rFonts w:cs="Arial" w:ascii="Arial" w:hAnsi="Arial"/>
          <w:color w:val="auto"/>
          <w:szCs w:val="24"/>
          <w:lang w:val="pt-BR"/>
        </w:rPr>
        <w:t xml:space="preserve">. O total de pacientes acolhidos foi no total de 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>6.218     .</w:t>
      </w:r>
      <w:r>
        <w:rPr>
          <w:rFonts w:eastAsia="Calibri" w:cs="Arial" w:ascii="Arial" w:hAnsi="Arial"/>
          <w:color w:val="auto"/>
          <w:sz w:val="24"/>
          <w:szCs w:val="24"/>
          <w:lang w:val="pt-BR" w:eastAsia="en-US" w:bidi="ar-SA"/>
        </w:rPr>
        <w:t xml:space="preserve">   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 xml:space="preserve">Fórmula....:  </w:t>
      </w:r>
      <w:r>
        <w:rPr>
          <w:rFonts w:cs="Arial" w:ascii="Arial" w:hAnsi="Arial"/>
          <w:color w:val="auto"/>
          <w:szCs w:val="24"/>
          <w:u w:val="single"/>
        </w:rPr>
        <w:t>Número de atendimentos médicos x 100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  <w:t xml:space="preserve">                       </w:t>
      </w:r>
      <w:r>
        <w:rPr>
          <w:rFonts w:cs="Arial" w:ascii="Arial" w:hAnsi="Arial"/>
          <w:color w:val="auto"/>
          <w:szCs w:val="24"/>
        </w:rPr>
        <w:t>Número total de pacientes acolhidos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>Fórmula....:</w:t>
      </w:r>
      <w:r>
        <w:rPr>
          <w:rFonts w:cs="Arial" w:ascii="Arial" w:hAnsi="Arial"/>
          <w:color w:val="auto"/>
          <w:szCs w:val="24"/>
          <w:u w:val="single"/>
        </w:rPr>
        <w:t xml:space="preserve"> </w:t>
      </w:r>
      <w:r>
        <w:rPr>
          <w:rFonts w:eastAsia="Calibri" w:cs="Arial" w:ascii="Arial" w:hAnsi="Arial"/>
          <w:color w:val="auto"/>
          <w:kern w:val="0"/>
          <w:sz w:val="24"/>
          <w:szCs w:val="24"/>
          <w:u w:val="single"/>
          <w:lang w:val="pt-BR" w:eastAsia="en-US" w:bidi="ar-SA"/>
        </w:rPr>
        <w:t>6.154</w:t>
      </w:r>
      <w:r>
        <w:rPr>
          <w:rFonts w:eastAsia="Calibri" w:cs="Arial" w:ascii="Arial" w:hAnsi="Arial"/>
          <w:color w:val="auto"/>
          <w:sz w:val="24"/>
          <w:szCs w:val="24"/>
          <w:u w:val="single"/>
          <w:lang w:val="pt-BR" w:eastAsia="en-US" w:bidi="ar-SA"/>
        </w:rPr>
        <w:t xml:space="preserve">  </w:t>
      </w:r>
      <w:r>
        <w:rPr>
          <w:rFonts w:cs="Arial" w:ascii="Arial" w:hAnsi="Arial"/>
          <w:color w:val="auto"/>
          <w:szCs w:val="24"/>
          <w:u w:val="single"/>
        </w:rPr>
        <w:t xml:space="preserve">x 100 </w:t>
      </w:r>
      <w:r>
        <w:rPr>
          <w:rFonts w:cs="Arial" w:ascii="Arial" w:hAnsi="Arial"/>
          <w:color w:val="auto"/>
          <w:szCs w:val="24"/>
        </w:rPr>
        <w:t xml:space="preserve"> =</w:t>
      </w:r>
      <w:r>
        <w:rPr>
          <w:rFonts w:cs="Arial" w:ascii="Arial" w:hAnsi="Arial"/>
          <w:color w:val="auto"/>
          <w:szCs w:val="24"/>
          <w:lang w:val="pt-BR"/>
        </w:rPr>
        <w:t xml:space="preserve"> 99</w:t>
      </w:r>
      <w:r>
        <w:rPr>
          <w:rFonts w:cs="Arial" w:ascii="Arial" w:hAnsi="Arial"/>
          <w:color w:val="auto"/>
          <w:szCs w:val="24"/>
        </w:rPr>
        <w:t>%</w:t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 xml:space="preserve">               </w:t>
      </w:r>
      <w:r>
        <w:rPr>
          <w:rFonts w:cs="Arial" w:ascii="Arial" w:hAnsi="Arial"/>
          <w:color w:val="auto"/>
          <w:szCs w:val="24"/>
          <w:lang w:val="pt-BR"/>
        </w:rPr>
        <w:t xml:space="preserve">      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 xml:space="preserve">6.218    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i w:val="false"/>
          <w:i w:val="false"/>
          <w:iCs w:val="false"/>
          <w:color w:val="auto"/>
          <w:szCs w:val="24"/>
          <w:u w:val="single"/>
          <w:lang w:val="pt-BR"/>
        </w:rPr>
      </w:pPr>
      <w:r>
        <w:rPr>
          <w:rFonts w:cs="Arial" w:ascii="Arial" w:hAnsi="Arial"/>
          <w:b/>
          <w:bCs/>
          <w:i w:val="false"/>
          <w:iCs w:val="false"/>
          <w:color w:val="auto"/>
          <w:szCs w:val="24"/>
          <w:u w:val="single"/>
          <w:lang w:val="pt-BR"/>
        </w:rPr>
        <w:t>OBSERVAÇÃO 1: A CTAA aponta, mensalmente, que a meta global a partir do indicador de desempenho tem sido calculado baseado no número de atendimentos efetivos da Unidade e não do número de atendimentos que a Unidade suportaria, conforme previsto em Termo de Referência, que seriam 337 atendimentos diários.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i w:val="false"/>
          <w:i w:val="false"/>
          <w:iCs w:val="false"/>
          <w:color w:val="auto"/>
          <w:szCs w:val="24"/>
          <w:u w:val="single"/>
          <w:lang w:val="pt-BR"/>
        </w:rPr>
      </w:pPr>
      <w:r>
        <w:rPr>
          <w:rFonts w:cs="Arial" w:ascii="Arial" w:hAnsi="Arial"/>
          <w:b/>
          <w:bCs/>
          <w:i w:val="false"/>
          <w:iCs w:val="false"/>
          <w:color w:val="auto"/>
          <w:szCs w:val="24"/>
          <w:u w:val="single"/>
          <w:lang w:val="pt-BR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b/>
          <w:bCs/>
          <w:i w:val="false"/>
          <w:iCs w:val="false"/>
          <w:color w:val="auto"/>
          <w:szCs w:val="24"/>
          <w:u w:val="single"/>
          <w:lang w:val="pt-BR"/>
        </w:rPr>
        <w:t xml:space="preserve">OBSERVAÇÃO 2: De acordo com o Termo de Referência, o porte da UPA é para 10.000 (dez mil) atendimentos. Observamos que nesta prestação de contas houve  </w:t>
      </w:r>
      <w:r>
        <w:rPr>
          <w:rFonts w:eastAsia="Calibri" w:cs="Arial" w:ascii="Arial" w:hAnsi="Arial"/>
          <w:b/>
          <w:bCs/>
          <w:i w:val="false"/>
          <w:iCs w:val="false"/>
          <w:color w:val="auto"/>
          <w:kern w:val="0"/>
          <w:sz w:val="24"/>
          <w:szCs w:val="24"/>
          <w:u w:val="single"/>
          <w:lang w:val="pt-BR" w:eastAsia="en-US" w:bidi="ar-SA"/>
        </w:rPr>
        <w:t xml:space="preserve">6.301  </w:t>
      </w:r>
      <w:r>
        <w:rPr>
          <w:rFonts w:cs="Arial" w:ascii="Arial" w:hAnsi="Arial"/>
          <w:b/>
          <w:bCs/>
          <w:i w:val="false"/>
          <w:iCs w:val="false"/>
          <w:color w:val="auto"/>
          <w:szCs w:val="24"/>
          <w:u w:val="single"/>
          <w:lang w:val="pt-BR"/>
        </w:rPr>
        <w:t xml:space="preserve"> atendimentos, atingindo apenas 6</w:t>
      </w:r>
      <w:r>
        <w:rPr>
          <w:rFonts w:cs="Arial" w:ascii="Arial" w:hAnsi="Arial"/>
          <w:b/>
          <w:bCs/>
          <w:i w:val="false"/>
          <w:iCs w:val="false"/>
          <w:color w:val="auto"/>
          <w:szCs w:val="24"/>
          <w:u w:val="single"/>
          <w:lang w:val="pt-BR"/>
        </w:rPr>
        <w:t>3</w:t>
      </w:r>
      <w:r>
        <w:rPr>
          <w:rFonts w:cs="Arial" w:ascii="Arial" w:hAnsi="Arial"/>
          <w:b/>
          <w:bCs/>
          <w:i w:val="false"/>
          <w:iCs w:val="false"/>
          <w:color w:val="auto"/>
          <w:szCs w:val="24"/>
          <w:u w:val="single"/>
          <w:lang w:val="pt-BR"/>
        </w:rPr>
        <w:t>%  de sua capacidade.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i w:val="false"/>
          <w:i w:val="false"/>
          <w:iCs w:val="false"/>
          <w:color w:val="auto"/>
          <w:szCs w:val="24"/>
          <w:u w:val="single"/>
          <w:lang w:val="pt-BR"/>
        </w:rPr>
      </w:pPr>
      <w:r>
        <w:rPr>
          <w:rFonts w:cs="Arial" w:ascii="Arial" w:hAnsi="Arial"/>
          <w:b/>
          <w:bCs/>
          <w:i w:val="false"/>
          <w:iCs w:val="false"/>
          <w:color w:val="auto"/>
          <w:szCs w:val="24"/>
          <w:u w:val="single"/>
          <w:lang w:val="pt-BR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color w:val="auto"/>
          <w:szCs w:val="24"/>
        </w:rPr>
      </w:pPr>
      <w:r>
        <w:rPr>
          <w:rFonts w:cs="Arial" w:ascii="Arial" w:hAnsi="Arial"/>
          <w:b/>
          <w:bCs/>
          <w:color w:val="auto"/>
          <w:szCs w:val="24"/>
        </w:rPr>
        <w:t xml:space="preserve">Item 2- Indicadores Qualitativos </w:t>
      </w:r>
    </w:p>
    <w:p>
      <w:pPr>
        <w:pStyle w:val="Normal"/>
        <w:spacing w:lineRule="auto" w:line="240" w:before="0" w:after="0"/>
        <w:ind w:left="720" w:right="0" w:firstLine="400"/>
        <w:jc w:val="both"/>
        <w:rPr>
          <w:rFonts w:ascii="Arial" w:hAnsi="Arial" w:cs="Arial"/>
          <w:color w:val="auto"/>
          <w:sz w:val="16"/>
          <w:szCs w:val="16"/>
        </w:rPr>
      </w:pPr>
      <w:r>
        <w:rPr>
          <w:rFonts w:cs="Arial" w:ascii="Arial" w:hAnsi="Arial"/>
          <w:color w:val="auto"/>
          <w:sz w:val="16"/>
          <w:szCs w:val="16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color w:val="auto"/>
          <w:szCs w:val="24"/>
        </w:rPr>
      </w:pPr>
      <w:r>
        <w:rPr>
          <w:rFonts w:cs="Arial" w:ascii="Arial" w:hAnsi="Arial"/>
          <w:b/>
          <w:bCs/>
          <w:color w:val="auto"/>
          <w:szCs w:val="24"/>
        </w:rPr>
        <w:t>2.1) Percentual de revisão de prontuários pela comissão de revisão de prontuários: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 xml:space="preserve">Conforme verificado na tabela, </w:t>
      </w:r>
      <w:r>
        <w:rPr>
          <w:rFonts w:cs="Arial" w:ascii="Arial" w:hAnsi="Arial"/>
          <w:color w:val="auto"/>
          <w:szCs w:val="24"/>
          <w:lang w:val="pt-BR"/>
        </w:rPr>
        <w:t xml:space="preserve">página 12, </w:t>
      </w:r>
      <w:r>
        <w:rPr>
          <w:rFonts w:cs="Arial" w:ascii="Arial" w:hAnsi="Arial"/>
          <w:color w:val="auto"/>
          <w:szCs w:val="24"/>
        </w:rPr>
        <w:t xml:space="preserve">Processo nº 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>29.252</w:t>
      </w:r>
      <w:r>
        <w:rPr>
          <w:rFonts w:cs="Arial" w:ascii="Arial" w:hAnsi="Arial"/>
          <w:color w:val="auto"/>
          <w:szCs w:val="24"/>
        </w:rPr>
        <w:t>/202</w:t>
      </w:r>
      <w:r>
        <w:rPr>
          <w:rFonts w:cs="Arial" w:ascii="Arial" w:hAnsi="Arial"/>
          <w:color w:val="auto"/>
          <w:szCs w:val="24"/>
          <w:lang w:val="pt-BR"/>
        </w:rPr>
        <w:t>5</w:t>
      </w:r>
      <w:r>
        <w:rPr>
          <w:rFonts w:cs="Arial" w:ascii="Arial" w:hAnsi="Arial"/>
          <w:color w:val="auto"/>
          <w:szCs w:val="24"/>
        </w:rPr>
        <w:t>,</w:t>
      </w:r>
      <w:r>
        <w:rPr>
          <w:rFonts w:cs="Arial" w:ascii="Arial" w:hAnsi="Arial"/>
          <w:color w:val="auto"/>
          <w:szCs w:val="24"/>
          <w:lang w:val="pt-BR"/>
        </w:rPr>
        <w:t xml:space="preserve"> </w:t>
      </w:r>
      <w:r>
        <w:rPr>
          <w:rFonts w:cs="Arial" w:ascii="Arial" w:hAnsi="Arial"/>
          <w:color w:val="auto"/>
          <w:szCs w:val="24"/>
        </w:rPr>
        <w:t xml:space="preserve">o </w:t>
      </w:r>
      <w:r>
        <w:rPr>
          <w:rFonts w:cs="Arial" w:ascii="Arial" w:hAnsi="Arial"/>
          <w:color w:val="auto"/>
          <w:szCs w:val="24"/>
          <w:lang w:val="pt-BR"/>
        </w:rPr>
        <w:t>p</w:t>
      </w:r>
      <w:r>
        <w:rPr>
          <w:rFonts w:cs="Arial" w:ascii="Arial" w:hAnsi="Arial"/>
          <w:color w:val="auto"/>
          <w:szCs w:val="24"/>
        </w:rPr>
        <w:t>ercentual de revisão de prontuários pela Comissão de Revisão de Óbito e Prontuários não alcançou pontuação quanto ao referido item, tendo assim a pontuação zerada.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 xml:space="preserve">Fórmula....:  </w:t>
      </w:r>
      <w:r>
        <w:rPr>
          <w:rFonts w:cs="Arial" w:ascii="Arial" w:hAnsi="Arial"/>
          <w:color w:val="auto"/>
          <w:szCs w:val="24"/>
          <w:u w:val="single"/>
        </w:rPr>
        <w:t>Prontuários analisados</w:t>
      </w:r>
      <w:r>
        <w:rPr>
          <w:rFonts w:cs="Arial" w:ascii="Arial" w:hAnsi="Arial"/>
          <w:color w:val="auto"/>
          <w:szCs w:val="24"/>
          <w:u w:val="single"/>
          <w:lang w:val="pt-BR"/>
        </w:rPr>
        <w:t xml:space="preserve"> </w:t>
      </w:r>
      <w:r>
        <w:rPr>
          <w:rFonts w:cs="Arial" w:ascii="Arial" w:hAnsi="Arial"/>
          <w:color w:val="auto"/>
          <w:szCs w:val="24"/>
        </w:rPr>
        <w:t>= Meta 90%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  <w:t xml:space="preserve">                       </w:t>
      </w:r>
      <w:r>
        <w:rPr>
          <w:rFonts w:cs="Arial" w:ascii="Arial" w:hAnsi="Arial"/>
          <w:color w:val="auto"/>
          <w:szCs w:val="24"/>
        </w:rPr>
        <w:t>Total de prontuários</w:t>
      </w:r>
    </w:p>
    <w:p>
      <w:pPr>
        <w:pStyle w:val="Normal"/>
        <w:spacing w:lineRule="auto" w:line="240" w:before="0" w:after="0"/>
        <w:ind w:left="720" w:right="0" w:firstLine="250"/>
        <w:jc w:val="both"/>
        <w:rPr>
          <w:rFonts w:ascii="Arial" w:hAnsi="Arial" w:cs="Arial"/>
          <w:color w:val="auto"/>
          <w:sz w:val="10"/>
          <w:szCs w:val="10"/>
        </w:rPr>
      </w:pPr>
      <w:r>
        <w:rPr>
          <w:rFonts w:cs="Arial" w:ascii="Arial" w:hAnsi="Arial"/>
          <w:color w:val="auto"/>
          <w:sz w:val="10"/>
          <w:szCs w:val="10"/>
        </w:rPr>
      </w:r>
    </w:p>
    <w:p>
      <w:pPr>
        <w:pStyle w:val="Normal"/>
        <w:spacing w:lineRule="auto" w:line="240" w:before="0" w:after="0"/>
        <w:ind w:left="720" w:right="0" w:firstLine="325"/>
        <w:jc w:val="both"/>
        <w:rPr>
          <w:rFonts w:ascii="Arial" w:hAnsi="Arial" w:cs="Arial"/>
          <w:color w:val="auto"/>
          <w:sz w:val="13"/>
          <w:szCs w:val="13"/>
        </w:rPr>
      </w:pPr>
      <w:r>
        <w:rPr>
          <w:rFonts w:cs="Arial" w:ascii="Arial" w:hAnsi="Arial"/>
          <w:color w:val="auto"/>
          <w:sz w:val="13"/>
          <w:szCs w:val="13"/>
        </w:rPr>
        <w:t xml:space="preserve">                                                                                                                            </w:t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>Fórmula....:</w:t>
      </w:r>
      <w:r>
        <w:rPr>
          <w:rFonts w:cs="Arial" w:ascii="Arial" w:hAnsi="Arial"/>
          <w:color w:val="auto"/>
          <w:szCs w:val="24"/>
          <w:lang w:val="pt-BR"/>
        </w:rPr>
        <w:t xml:space="preserve"> 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 xml:space="preserve">190  /6.154 </w:t>
      </w:r>
      <w:r>
        <w:rPr>
          <w:rFonts w:cs="Arial" w:ascii="Arial" w:hAnsi="Arial"/>
          <w:color w:val="auto"/>
          <w:szCs w:val="24"/>
          <w:lang w:val="pt-BR"/>
        </w:rPr>
        <w:t xml:space="preserve"> </w:t>
      </w:r>
      <w:r>
        <w:rPr>
          <w:rFonts w:cs="Arial" w:ascii="Arial" w:hAnsi="Arial"/>
          <w:color w:val="auto"/>
          <w:szCs w:val="24"/>
          <w:u w:val="single"/>
          <w:lang w:val="pt-BR"/>
        </w:rPr>
        <w:t xml:space="preserve"> </w:t>
      </w:r>
      <w:r>
        <w:rPr>
          <w:rFonts w:cs="Arial" w:ascii="Arial" w:hAnsi="Arial"/>
          <w:color w:val="auto"/>
          <w:szCs w:val="24"/>
        </w:rPr>
        <w:t>=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>3,09%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  <w:t xml:space="preserve">               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color w:val="auto"/>
          <w:szCs w:val="24"/>
        </w:rPr>
      </w:pPr>
      <w:r>
        <w:rPr>
          <w:rFonts w:cs="Arial" w:ascii="Arial" w:hAnsi="Arial"/>
          <w:b/>
          <w:bCs/>
          <w:color w:val="auto"/>
          <w:szCs w:val="24"/>
        </w:rPr>
        <w:t>2.2) Percentual de óbitos em usuários classificados como risco vermelho.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color w:val="auto"/>
          <w:szCs w:val="24"/>
        </w:rPr>
      </w:pPr>
      <w:r>
        <w:rPr>
          <w:rFonts w:cs="Arial" w:ascii="Arial" w:hAnsi="Arial"/>
          <w:b/>
          <w:bCs/>
          <w:color w:val="auto"/>
          <w:szCs w:val="24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 w:val="false"/>
          <w:b w:val="false"/>
          <w:bCs w:val="false"/>
          <w:color w:val="auto"/>
          <w:szCs w:val="24"/>
        </w:rPr>
      </w:pPr>
      <w:r>
        <w:rPr>
          <w:rFonts w:cs="Arial" w:ascii="Arial" w:hAnsi="Arial"/>
          <w:b w:val="false"/>
          <w:bCs w:val="false"/>
          <w:color w:val="auto"/>
          <w:szCs w:val="24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b w:val="false"/>
          <w:bCs w:val="false"/>
          <w:color w:val="auto"/>
          <w:szCs w:val="24"/>
        </w:rPr>
        <w:t xml:space="preserve">Fórmula:  </w:t>
      </w:r>
      <w:r>
        <w:rPr>
          <w:rFonts w:cs="Arial" w:ascii="Arial" w:hAnsi="Arial"/>
          <w:b w:val="false"/>
          <w:bCs w:val="false"/>
          <w:color w:val="auto"/>
          <w:szCs w:val="24"/>
          <w:u w:val="single"/>
        </w:rPr>
        <w:t xml:space="preserve">                 nº óbito                       =</w:t>
      </w:r>
      <w:r>
        <w:rPr>
          <w:rFonts w:cs="Arial" w:ascii="Arial" w:hAnsi="Arial"/>
          <w:b w:val="false"/>
          <w:bCs w:val="false"/>
          <w:color w:val="auto"/>
          <w:szCs w:val="24"/>
        </w:rPr>
        <w:t xml:space="preserve"> 0%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 w:val="false"/>
          <w:b w:val="false"/>
          <w:bCs w:val="false"/>
          <w:color w:val="auto"/>
          <w:szCs w:val="24"/>
        </w:rPr>
      </w:pPr>
      <w:r>
        <w:rPr>
          <w:rFonts w:cs="Arial" w:ascii="Arial" w:hAnsi="Arial"/>
          <w:b w:val="false"/>
          <w:bCs w:val="false"/>
          <w:color w:val="auto"/>
          <w:szCs w:val="24"/>
        </w:rPr>
        <w:t xml:space="preserve">                 </w:t>
      </w:r>
      <w:r>
        <w:rPr>
          <w:rFonts w:cs="Arial" w:ascii="Arial" w:hAnsi="Arial"/>
          <w:b w:val="false"/>
          <w:bCs w:val="false"/>
          <w:color w:val="auto"/>
          <w:szCs w:val="24"/>
        </w:rPr>
        <w:t>Total de atendimentos médicos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color w:val="auto"/>
          <w:szCs w:val="24"/>
        </w:rPr>
      </w:pPr>
      <w:r>
        <w:rPr>
          <w:rFonts w:cs="Arial" w:ascii="Arial" w:hAnsi="Arial"/>
          <w:b/>
          <w:bCs/>
          <w:color w:val="auto"/>
          <w:szCs w:val="24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>Fórmula:</w:t>
      </w:r>
      <w:r>
        <w:rPr>
          <w:rFonts w:cs="Arial" w:ascii="Arial" w:hAnsi="Arial"/>
          <w:color w:val="auto"/>
          <w:szCs w:val="24"/>
          <w:u w:val="single"/>
        </w:rPr>
        <w:t xml:space="preserve"> 12</w:t>
      </w:r>
      <w:r>
        <w:rPr>
          <w:rFonts w:cs="Arial" w:ascii="Arial" w:hAnsi="Arial"/>
          <w:color w:val="auto"/>
          <w:szCs w:val="24"/>
          <w:u w:val="single"/>
          <w:lang w:val="pt-BR"/>
        </w:rPr>
        <w:t xml:space="preserve"> </w:t>
      </w:r>
      <w:r>
        <w:rPr>
          <w:rFonts w:cs="Arial" w:ascii="Arial" w:hAnsi="Arial"/>
          <w:color w:val="auto"/>
          <w:szCs w:val="24"/>
        </w:rPr>
        <w:t xml:space="preserve">= </w:t>
      </w:r>
      <w:r>
        <w:rPr>
          <w:rFonts w:cs="Arial" w:ascii="Arial" w:hAnsi="Arial"/>
          <w:color w:val="auto"/>
          <w:szCs w:val="24"/>
          <w:lang w:val="pt-BR"/>
        </w:rPr>
        <w:t>0,0</w:t>
      </w:r>
      <w:r>
        <w:rPr>
          <w:rFonts w:cs="Arial" w:ascii="Arial" w:hAnsi="Arial"/>
          <w:color w:val="auto"/>
          <w:szCs w:val="24"/>
        </w:rPr>
        <w:t>%</w:t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 xml:space="preserve">           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>6.154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 xml:space="preserve">Neste índice foi alcançada a pontuação </w:t>
      </w:r>
      <w:r>
        <w:rPr>
          <w:rFonts w:cs="Arial" w:ascii="Arial" w:hAnsi="Arial"/>
          <w:color w:val="auto"/>
          <w:szCs w:val="24"/>
          <w:lang w:val="pt-BR"/>
        </w:rPr>
        <w:t>10.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  <w:u w:val="single"/>
        </w:rPr>
      </w:pPr>
      <w:r>
        <w:rPr>
          <w:rFonts w:cs="Arial" w:ascii="Arial" w:hAnsi="Arial"/>
          <w:color w:val="auto"/>
          <w:szCs w:val="24"/>
          <w:u w:val="single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b/>
          <w:bCs/>
          <w:color w:val="auto"/>
          <w:szCs w:val="24"/>
        </w:rPr>
        <w:t xml:space="preserve">2.3) Percentual de usuários com permanência na emergência </w:t>
      </w:r>
      <w:r>
        <w:rPr>
          <w:rFonts w:cs="Arial" w:ascii="Arial" w:hAnsi="Arial"/>
          <w:b/>
          <w:bCs/>
          <w:color w:val="auto"/>
          <w:szCs w:val="24"/>
          <w:lang w:val="pt-BR"/>
        </w:rPr>
        <w:t>&gt;</w:t>
      </w:r>
      <w:r>
        <w:rPr>
          <w:rFonts w:cs="Arial" w:ascii="Arial" w:hAnsi="Arial"/>
          <w:b/>
          <w:bCs/>
          <w:color w:val="auto"/>
          <w:szCs w:val="24"/>
        </w:rPr>
        <w:t>24h.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 xml:space="preserve">Conforme verificado na tabela </w:t>
      </w:r>
      <w:r>
        <w:rPr>
          <w:rFonts w:cs="Arial" w:ascii="Arial" w:hAnsi="Arial"/>
          <w:color w:val="auto"/>
          <w:szCs w:val="24"/>
          <w:lang w:val="pt-BR"/>
        </w:rPr>
        <w:t>da página 13</w:t>
      </w:r>
      <w:r>
        <w:rPr>
          <w:rFonts w:cs="Arial" w:ascii="Arial" w:hAnsi="Arial"/>
          <w:color w:val="auto"/>
          <w:szCs w:val="24"/>
        </w:rPr>
        <w:t xml:space="preserve"> </w:t>
      </w:r>
      <w:r>
        <w:rPr>
          <w:rFonts w:cs="Arial" w:ascii="Arial" w:hAnsi="Arial"/>
          <w:color w:val="auto"/>
          <w:szCs w:val="24"/>
          <w:lang w:val="pt-BR"/>
        </w:rPr>
        <w:t xml:space="preserve">do </w:t>
      </w:r>
      <w:r>
        <w:rPr>
          <w:rFonts w:cs="Arial" w:ascii="Arial" w:hAnsi="Arial"/>
          <w:color w:val="auto"/>
          <w:szCs w:val="24"/>
        </w:rPr>
        <w:t xml:space="preserve">Processo nº 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>25.244</w:t>
      </w:r>
      <w:r>
        <w:rPr>
          <w:rFonts w:ascii="Arial" w:hAnsi="Arial"/>
          <w:color w:val="auto"/>
          <w:szCs w:val="24"/>
          <w:lang w:val="pt-BR"/>
        </w:rPr>
        <w:t xml:space="preserve">/2025 </w:t>
      </w:r>
      <w:r>
        <w:rPr>
          <w:rFonts w:cs="Arial" w:ascii="Arial" w:hAnsi="Arial"/>
          <w:color w:val="auto"/>
          <w:szCs w:val="24"/>
        </w:rPr>
        <w:t>constata-se que não se alcançou a meta</w:t>
      </w:r>
      <w:r>
        <w:rPr>
          <w:rFonts w:cs="Arial" w:ascii="Arial" w:hAnsi="Arial"/>
          <w:color w:val="auto"/>
          <w:szCs w:val="24"/>
          <w:lang w:val="pt-BR"/>
        </w:rPr>
        <w:t xml:space="preserve"> estipulada.</w:t>
      </w:r>
    </w:p>
    <w:p>
      <w:pPr>
        <w:pStyle w:val="Normal"/>
        <w:spacing w:lineRule="auto" w:line="240" w:before="0" w:after="0"/>
        <w:ind w:left="720" w:right="0" w:firstLine="400"/>
        <w:jc w:val="both"/>
        <w:rPr>
          <w:rFonts w:ascii="Arial" w:hAnsi="Arial" w:cs="Arial"/>
          <w:color w:val="auto"/>
          <w:sz w:val="16"/>
          <w:szCs w:val="16"/>
        </w:rPr>
      </w:pPr>
      <w:r>
        <w:rPr>
          <w:rFonts w:cs="Arial" w:ascii="Arial" w:hAnsi="Arial"/>
          <w:color w:val="auto"/>
          <w:sz w:val="16"/>
          <w:szCs w:val="16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b/>
          <w:color w:val="auto"/>
          <w:szCs w:val="24"/>
        </w:rPr>
        <w:t xml:space="preserve">No que diz respeito </w:t>
      </w:r>
      <w:r>
        <w:rPr>
          <w:rFonts w:cs="Arial" w:ascii="Arial" w:hAnsi="Arial"/>
          <w:b/>
          <w:color w:val="auto"/>
          <w:szCs w:val="24"/>
          <w:lang w:val="pt-BR"/>
        </w:rPr>
        <w:t>à</w:t>
      </w:r>
      <w:r>
        <w:rPr>
          <w:rFonts w:cs="Arial" w:ascii="Arial" w:hAnsi="Arial"/>
          <w:b/>
          <w:color w:val="auto"/>
          <w:szCs w:val="24"/>
        </w:rPr>
        <w:t xml:space="preserve"> deficiência na pontuação dos índices, a CTAA já encaminhou à Secretaria de Saúde, em prestações de Contas anteriores, solicitação da O.S. Viva Rio quanto </w:t>
      </w:r>
      <w:r>
        <w:rPr>
          <w:rFonts w:cs="Arial" w:ascii="Arial" w:hAnsi="Arial"/>
          <w:b/>
          <w:color w:val="auto"/>
          <w:szCs w:val="24"/>
          <w:lang w:val="pt-BR"/>
        </w:rPr>
        <w:t>à</w:t>
      </w:r>
      <w:r>
        <w:rPr>
          <w:rFonts w:cs="Arial" w:ascii="Arial" w:hAnsi="Arial"/>
          <w:b/>
          <w:color w:val="auto"/>
          <w:szCs w:val="24"/>
        </w:rPr>
        <w:t xml:space="preserve"> revisão dos referidos índices.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  <w:t xml:space="preserve"> </w:t>
      </w:r>
    </w:p>
    <w:p>
      <w:pPr>
        <w:pStyle w:val="Normal"/>
        <w:shd w:val="clear" w:fill="000000"/>
        <w:spacing w:lineRule="auto" w:line="240" w:before="0" w:after="0"/>
        <w:ind w:left="720" w:right="0" w:firstLine="250"/>
        <w:jc w:val="both"/>
        <w:rPr>
          <w:rFonts w:ascii="Arial" w:hAnsi="Arial" w:cs="Arial"/>
          <w:color w:val="auto"/>
          <w:sz w:val="10"/>
          <w:szCs w:val="28"/>
        </w:rPr>
      </w:pPr>
      <w:r>
        <w:rPr>
          <w:rFonts w:cs="Arial" w:ascii="Arial" w:hAnsi="Arial"/>
          <w:color w:val="auto"/>
          <w:sz w:val="10"/>
          <w:szCs w:val="28"/>
        </w:rPr>
      </w:r>
    </w:p>
    <w:p>
      <w:pPr>
        <w:pStyle w:val="Normal"/>
        <w:shd w:val="clear" w:fill="000000"/>
        <w:spacing w:lineRule="auto" w:line="240" w:before="0" w:after="0"/>
        <w:ind w:left="720" w:right="0" w:firstLine="700"/>
        <w:jc w:val="both"/>
        <w:rPr>
          <w:rFonts w:ascii="Arial" w:hAnsi="Arial" w:cs="Arial"/>
          <w:color w:val="auto"/>
          <w:sz w:val="28"/>
          <w:szCs w:val="28"/>
        </w:rPr>
      </w:pPr>
      <w:r>
        <w:rPr>
          <w:rFonts w:cs="Arial" w:ascii="Arial" w:hAnsi="Arial"/>
          <w:color w:val="auto"/>
          <w:sz w:val="28"/>
          <w:szCs w:val="28"/>
        </w:rPr>
        <w:t>Da Pesquisa de Satisfação</w:t>
      </w:r>
    </w:p>
    <w:p>
      <w:pPr>
        <w:pStyle w:val="Normal"/>
        <w:shd w:val="clear" w:fill="000000"/>
        <w:spacing w:lineRule="auto" w:line="240" w:before="0" w:after="0"/>
        <w:ind w:left="720" w:right="0" w:firstLine="250"/>
        <w:jc w:val="both"/>
        <w:rPr>
          <w:rFonts w:ascii="Arial" w:hAnsi="Arial" w:cs="Arial"/>
          <w:color w:val="auto"/>
          <w:sz w:val="10"/>
          <w:szCs w:val="28"/>
        </w:rPr>
      </w:pPr>
      <w:r>
        <w:rPr>
          <w:rFonts w:cs="Arial" w:ascii="Arial" w:hAnsi="Arial"/>
          <w:color w:val="auto"/>
          <w:sz w:val="10"/>
          <w:szCs w:val="28"/>
        </w:rPr>
      </w:r>
    </w:p>
    <w:p>
      <w:pPr>
        <w:pStyle w:val="Normal"/>
        <w:spacing w:lineRule="auto" w:line="240" w:before="0" w:after="0"/>
        <w:ind w:left="720" w:right="0" w:firstLine="275"/>
        <w:jc w:val="both"/>
        <w:rPr>
          <w:rFonts w:ascii="Arial" w:hAnsi="Arial" w:cs="Arial"/>
          <w:color w:val="auto"/>
          <w:sz w:val="11"/>
          <w:szCs w:val="11"/>
        </w:rPr>
      </w:pPr>
      <w:r>
        <w:rPr>
          <w:rFonts w:cs="Arial" w:ascii="Arial" w:hAnsi="Arial"/>
          <w:color w:val="auto"/>
          <w:sz w:val="11"/>
          <w:szCs w:val="11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>Com relação à satisfação dos usuários, no mês de JULHO de 2025 foram registradas 259 avaliações, sendo 247 realizadas de forma manual nas salas de observação e 12 por meio do totem de autoatendimento. Nas pesquisas manuais aplicadas nas salas de observação, 178 usuários classificaram o atendimento como "excelente" e 51 como "bom", totalizando 229 avaliações positivas, o que corresponde a 93% de satisfação nesse canal. Pág. 3595 029252/2025.</w:t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 xml:space="preserve"> </w:t>
      </w:r>
      <w:r>
        <w:rPr>
          <w:rFonts w:cs="Arial" w:ascii="Arial" w:hAnsi="Arial"/>
          <w:color w:val="auto"/>
          <w:szCs w:val="24"/>
        </w:rPr>
        <w:t xml:space="preserve">Relatório Mensal de Acompanhamento do Contrato de Gestão nº 162/2019 referente ao mês de JULHO/2025 10 Das 12 avaliações registradas por meio do totem, 6 usuários demonstraram satisfação com o atendimento — 1 avaliou como "excelente" e 5 como "bom". </w:t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 xml:space="preserve">Outros 3 classificaram o atendimento como "regular" e os 3 restantes como "ruim", resultando em 50% de avaliações consideradas satisfatórias. A principal causa apontada para o índice de 50% de insatisfação nas avaliações do totem parece estar relacionada às obras em andamento na unidade, que envolvem a reforma de três banheiros. Essas intervenções visam melhorar a infraestrutura e, por consequência, elevar a qualidade do atendimento oferecido 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 w:val="4"/>
          <w:szCs w:val="4"/>
          <w:lang w:val="pt-BR"/>
        </w:rPr>
      </w:pPr>
      <w:r>
        <w:rPr>
          <w:rFonts w:cs="Arial" w:ascii="Arial" w:hAnsi="Arial"/>
          <w:color w:val="auto"/>
          <w:sz w:val="4"/>
          <w:szCs w:val="4"/>
          <w:lang w:val="pt-BR"/>
        </w:rPr>
      </w:r>
    </w:p>
    <w:p>
      <w:pPr>
        <w:pStyle w:val="Normal"/>
        <w:spacing w:lineRule="auto" w:line="240" w:before="0" w:after="0"/>
        <w:ind w:left="720" w:right="0" w:firstLine="100"/>
        <w:jc w:val="both"/>
        <w:rPr>
          <w:rFonts w:ascii="Arial" w:hAnsi="Arial" w:cs="Arial"/>
          <w:color w:val="auto"/>
          <w:sz w:val="4"/>
          <w:szCs w:val="4"/>
          <w:lang w:val="pt-BR"/>
        </w:rPr>
      </w:pPr>
      <w:r>
        <w:rPr>
          <w:rFonts w:cs="Arial" w:ascii="Arial" w:hAnsi="Arial"/>
          <w:color w:val="auto"/>
          <w:sz w:val="4"/>
          <w:szCs w:val="4"/>
          <w:lang w:val="pt-BR"/>
        </w:rPr>
      </w:r>
    </w:p>
    <w:p>
      <w:pPr>
        <w:pStyle w:val="Normal"/>
        <w:spacing w:lineRule="auto" w:line="240" w:before="0" w:after="0"/>
        <w:ind w:left="720" w:right="0" w:firstLine="100"/>
        <w:jc w:val="both"/>
        <w:rPr>
          <w:rFonts w:ascii="Arial" w:hAnsi="Arial" w:cs="Arial"/>
          <w:color w:val="auto"/>
          <w:sz w:val="4"/>
          <w:szCs w:val="4"/>
          <w:lang w:val="pt-BR"/>
        </w:rPr>
      </w:pPr>
      <w:r>
        <w:rPr>
          <w:rFonts w:cs="Arial" w:ascii="Arial" w:hAnsi="Arial"/>
          <w:color w:val="auto"/>
          <w:sz w:val="4"/>
          <w:szCs w:val="4"/>
          <w:lang w:val="pt-BR"/>
        </w:rPr>
      </w:r>
    </w:p>
    <w:p>
      <w:pPr>
        <w:pStyle w:val="Normal"/>
        <w:spacing w:lineRule="auto" w:line="240" w:before="0" w:after="0"/>
        <w:ind w:left="720" w:right="0" w:firstLine="100"/>
        <w:jc w:val="both"/>
        <w:rPr>
          <w:rFonts w:ascii="Arial" w:hAnsi="Arial" w:cs="Arial"/>
          <w:color w:val="auto"/>
          <w:sz w:val="4"/>
          <w:szCs w:val="4"/>
          <w:lang w:val="pt-BR"/>
        </w:rPr>
      </w:pPr>
      <w:r>
        <w:rPr>
          <w:rFonts w:cs="Arial" w:ascii="Arial" w:hAnsi="Arial"/>
          <w:color w:val="auto"/>
          <w:sz w:val="4"/>
          <w:szCs w:val="4"/>
          <w:lang w:val="pt-BR"/>
        </w:rPr>
      </w:r>
    </w:p>
    <w:p>
      <w:pPr>
        <w:pStyle w:val="Normal"/>
        <w:spacing w:lineRule="auto" w:line="240" w:before="0" w:after="0"/>
        <w:ind w:left="720" w:right="0" w:firstLine="100"/>
        <w:jc w:val="both"/>
        <w:rPr>
          <w:rFonts w:ascii="Arial" w:hAnsi="Arial" w:cs="Arial"/>
          <w:color w:val="auto"/>
          <w:sz w:val="4"/>
          <w:szCs w:val="4"/>
          <w:lang w:val="pt-BR"/>
        </w:rPr>
      </w:pPr>
      <w:r>
        <w:rPr>
          <w:rFonts w:cs="Arial" w:ascii="Arial" w:hAnsi="Arial"/>
          <w:color w:val="auto"/>
          <w:sz w:val="4"/>
          <w:szCs w:val="4"/>
          <w:lang w:val="pt-BR"/>
        </w:rPr>
      </w:r>
    </w:p>
    <w:p>
      <w:pPr>
        <w:pStyle w:val="Normal"/>
        <w:shd w:val="clear" w:fill="000000"/>
        <w:spacing w:lineRule="auto" w:line="240" w:before="0" w:after="0"/>
        <w:ind w:left="720" w:right="0" w:firstLine="250"/>
        <w:jc w:val="both"/>
        <w:rPr>
          <w:rFonts w:ascii="Arial" w:hAnsi="Arial" w:cs="Arial"/>
          <w:color w:val="auto"/>
          <w:sz w:val="10"/>
          <w:szCs w:val="18"/>
        </w:rPr>
      </w:pPr>
      <w:r>
        <w:rPr>
          <w:rFonts w:cs="Arial" w:ascii="Arial" w:hAnsi="Arial"/>
          <w:color w:val="auto"/>
          <w:sz w:val="10"/>
          <w:szCs w:val="18"/>
        </w:rPr>
      </w:r>
    </w:p>
    <w:p>
      <w:pPr>
        <w:pStyle w:val="Normal"/>
        <w:shd w:val="clear" w:fill="000000"/>
        <w:spacing w:lineRule="auto" w:line="240" w:before="0" w:after="0"/>
        <w:ind w:left="720" w:right="0" w:firstLine="700"/>
        <w:jc w:val="both"/>
        <w:rPr>
          <w:rFonts w:ascii="Arial" w:hAnsi="Arial" w:cs="Arial"/>
          <w:color w:val="auto"/>
          <w:sz w:val="28"/>
          <w:szCs w:val="28"/>
        </w:rPr>
      </w:pPr>
      <w:r>
        <w:rPr>
          <w:rFonts w:cs="Arial" w:ascii="Arial" w:hAnsi="Arial"/>
          <w:color w:val="auto"/>
          <w:sz w:val="28"/>
          <w:szCs w:val="28"/>
        </w:rPr>
        <w:t>Da Folha de Pagamento de Salário</w:t>
      </w:r>
    </w:p>
    <w:p>
      <w:pPr>
        <w:pStyle w:val="Normal"/>
        <w:shd w:val="clear" w:fill="000000"/>
        <w:spacing w:lineRule="auto" w:line="240" w:before="0" w:after="0"/>
        <w:ind w:left="720" w:right="0" w:firstLine="250"/>
        <w:jc w:val="both"/>
        <w:rPr>
          <w:rFonts w:ascii="Arial" w:hAnsi="Arial" w:cs="Arial"/>
          <w:color w:val="auto"/>
          <w:sz w:val="10"/>
          <w:szCs w:val="18"/>
        </w:rPr>
      </w:pPr>
      <w:r>
        <w:rPr>
          <w:rFonts w:cs="Arial" w:ascii="Arial" w:hAnsi="Arial"/>
          <w:color w:val="auto"/>
          <w:sz w:val="10"/>
          <w:szCs w:val="18"/>
        </w:rPr>
      </w:r>
    </w:p>
    <w:p>
      <w:pPr>
        <w:pStyle w:val="Normal"/>
        <w:spacing w:lineRule="auto" w:line="240" w:before="0" w:after="0"/>
        <w:ind w:left="720" w:right="0" w:firstLine="275"/>
        <w:jc w:val="both"/>
        <w:rPr>
          <w:rFonts w:ascii="Arial" w:hAnsi="Arial" w:cs="Arial"/>
          <w:color w:val="auto"/>
          <w:sz w:val="11"/>
          <w:szCs w:val="11"/>
          <w:lang w:val="pt-BR"/>
        </w:rPr>
      </w:pPr>
      <w:r>
        <w:rPr>
          <w:rFonts w:cs="Arial" w:ascii="Arial" w:hAnsi="Arial"/>
          <w:color w:val="auto"/>
          <w:sz w:val="11"/>
          <w:szCs w:val="11"/>
          <w:lang w:val="pt-BR"/>
        </w:rPr>
      </w:r>
    </w:p>
    <w:p>
      <w:pPr>
        <w:pStyle w:val="Normal"/>
        <w:spacing w:lineRule="auto" w:line="240" w:before="0" w:after="0"/>
        <w:ind w:left="720" w:right="0" w:firstLine="275"/>
        <w:jc w:val="both"/>
        <w:rPr>
          <w:rFonts w:ascii="Arial" w:hAnsi="Arial" w:cs="Arial"/>
          <w:color w:val="auto"/>
          <w:sz w:val="11"/>
          <w:szCs w:val="11"/>
        </w:rPr>
      </w:pPr>
      <w:r>
        <w:rPr>
          <w:rFonts w:cs="Arial" w:ascii="Arial" w:hAnsi="Arial"/>
          <w:color w:val="auto"/>
          <w:sz w:val="11"/>
          <w:szCs w:val="11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b/>
          <w:bCs/>
          <w:color w:val="auto"/>
          <w:szCs w:val="24"/>
          <w:lang w:val="pt-BR"/>
        </w:rPr>
        <w:t>No mês julho</w:t>
      </w:r>
      <w:r>
        <w:rPr>
          <w:rFonts w:eastAsia="Calibri" w:cs="Arial" w:ascii="Arial" w:hAnsi="Arial"/>
          <w:b/>
          <w:bCs/>
          <w:color w:val="auto"/>
          <w:kern w:val="0"/>
          <w:sz w:val="24"/>
          <w:szCs w:val="24"/>
          <w:lang w:val="pt-BR" w:eastAsia="en-US" w:bidi="ar-SA"/>
        </w:rPr>
        <w:t xml:space="preserve"> </w:t>
      </w:r>
      <w:r>
        <w:rPr>
          <w:rFonts w:cs="Arial" w:ascii="Arial" w:hAnsi="Arial"/>
          <w:b/>
          <w:bCs/>
          <w:color w:val="auto"/>
          <w:szCs w:val="24"/>
          <w:lang w:val="pt-BR"/>
        </w:rPr>
        <w:t>de 2025  não houve contratação por RPA.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color w:val="auto"/>
          <w:sz w:val="24"/>
          <w:szCs w:val="24"/>
          <w:lang w:val="pt-BR"/>
        </w:rPr>
      </w:pPr>
      <w:r>
        <w:rPr>
          <w:rFonts w:cs="Arial" w:ascii="Arial" w:hAnsi="Arial"/>
          <w:b/>
          <w:bCs/>
          <w:color w:val="auto"/>
          <w:sz w:val="24"/>
          <w:szCs w:val="24"/>
          <w:lang w:val="pt-BR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color w:val="auto"/>
          <w:sz w:val="24"/>
          <w:szCs w:val="24"/>
          <w:lang w:val="pt-BR"/>
        </w:rPr>
      </w:pPr>
      <w:r>
        <w:rPr>
          <w:rFonts w:cs="Arial" w:ascii="Arial" w:hAnsi="Arial"/>
          <w:b/>
          <w:bCs/>
          <w:color w:val="auto"/>
          <w:sz w:val="24"/>
          <w:szCs w:val="24"/>
          <w:lang w:val="pt-BR"/>
        </w:rPr>
        <w:t xml:space="preserve">A CTAA constatou que, através de seu trabalho de análise e fiscalização da Prestação de Contas, estava sendo glosado, mensalmente, apenas o valor líquido pago aos profissionais contratados por RPA. 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color w:val="auto"/>
          <w:sz w:val="24"/>
          <w:szCs w:val="24"/>
          <w:lang w:val="pt-BR"/>
        </w:rPr>
      </w:pPr>
      <w:r>
        <w:rPr>
          <w:rFonts w:cs="Arial" w:ascii="Arial" w:hAnsi="Arial"/>
          <w:b/>
          <w:bCs/>
          <w:color w:val="auto"/>
          <w:sz w:val="24"/>
          <w:szCs w:val="24"/>
          <w:lang w:val="pt-BR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color w:val="auto"/>
          <w:sz w:val="24"/>
          <w:szCs w:val="24"/>
          <w:lang w:val="pt-BR"/>
        </w:rPr>
      </w:pPr>
      <w:r>
        <w:rPr>
          <w:rFonts w:cs="Arial" w:ascii="Arial" w:hAnsi="Arial"/>
          <w:b/>
          <w:bCs/>
          <w:color w:val="auto"/>
          <w:sz w:val="24"/>
          <w:szCs w:val="24"/>
          <w:lang w:val="pt-BR"/>
        </w:rPr>
        <w:t>Frisamos que a Comissão está fazendo o levantamento desde Janeiro/2021 até Junho/2022, em relação a tal questão a afim de que os valores corretos sejam apontados e se necessário, glosados ou restituídos.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color w:val="auto"/>
          <w:sz w:val="24"/>
          <w:szCs w:val="24"/>
          <w:lang w:val="pt-BR"/>
        </w:rPr>
      </w:pPr>
      <w:r>
        <w:rPr>
          <w:rFonts w:cs="Arial" w:ascii="Arial" w:hAnsi="Arial"/>
          <w:b/>
          <w:bCs/>
          <w:color w:val="auto"/>
          <w:sz w:val="24"/>
          <w:szCs w:val="24"/>
          <w:lang w:val="pt-BR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b/>
          <w:b/>
          <w:bCs/>
          <w:color w:val="auto"/>
          <w:szCs w:val="24"/>
        </w:rPr>
      </w:pPr>
      <w:r>
        <w:rPr>
          <w:rFonts w:cs="Arial" w:ascii="Arial" w:hAnsi="Arial"/>
          <w:b/>
          <w:bCs/>
          <w:color w:val="auto"/>
          <w:szCs w:val="24"/>
        </w:rPr>
      </w:r>
    </w:p>
    <w:p>
      <w:pPr>
        <w:pStyle w:val="Normal"/>
        <w:shd w:val="clear" w:fill="000000"/>
        <w:spacing w:lineRule="auto" w:line="240" w:before="0" w:after="0"/>
        <w:ind w:left="720" w:right="0" w:firstLine="45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cs="Arial" w:ascii="Arial" w:hAnsi="Arial"/>
          <w:color w:val="auto"/>
          <w:sz w:val="18"/>
          <w:szCs w:val="18"/>
        </w:rPr>
      </w:r>
    </w:p>
    <w:p>
      <w:pPr>
        <w:pStyle w:val="Normal"/>
        <w:shd w:val="clear" w:fill="000000"/>
        <w:spacing w:lineRule="auto" w:line="240" w:before="0" w:after="0"/>
        <w:ind w:left="720" w:right="0" w:firstLine="700"/>
        <w:jc w:val="both"/>
        <w:rPr>
          <w:rFonts w:ascii="Arial" w:hAnsi="Arial" w:cs="Arial"/>
          <w:color w:val="auto"/>
          <w:sz w:val="28"/>
          <w:szCs w:val="28"/>
        </w:rPr>
      </w:pPr>
      <w:r>
        <w:rPr>
          <w:rFonts w:cs="Arial" w:ascii="Arial" w:hAnsi="Arial"/>
          <w:color w:val="auto"/>
          <w:sz w:val="28"/>
          <w:szCs w:val="28"/>
        </w:rPr>
        <w:t>Das recomendações e esclarecimentos</w:t>
      </w:r>
    </w:p>
    <w:p>
      <w:pPr>
        <w:pStyle w:val="Normal"/>
        <w:shd w:val="clear" w:fill="000000"/>
        <w:spacing w:lineRule="auto" w:line="240" w:before="0" w:after="0"/>
        <w:ind w:left="720" w:right="0" w:firstLine="45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cs="Arial" w:ascii="Arial" w:hAnsi="Arial"/>
          <w:color w:val="auto"/>
          <w:sz w:val="18"/>
          <w:szCs w:val="18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>Diante da verificação e das constatações realizadas relativas à Prestação de Contas</w:t>
      </w:r>
      <w:r>
        <w:rPr>
          <w:rFonts w:cs="Arial" w:ascii="Arial" w:hAnsi="Arial"/>
          <w:color w:val="auto"/>
          <w:szCs w:val="24"/>
          <w:lang w:val="pt-BR"/>
        </w:rPr>
        <w:t xml:space="preserve"> julho</w:t>
      </w:r>
      <w:r>
        <w:rPr>
          <w:rFonts w:cs="Arial" w:ascii="Arial" w:hAnsi="Arial"/>
          <w:color w:val="auto"/>
          <w:szCs w:val="24"/>
        </w:rPr>
        <w:t>/202</w:t>
      </w:r>
      <w:r>
        <w:rPr>
          <w:rFonts w:cs="Arial" w:ascii="Arial" w:hAnsi="Arial"/>
          <w:color w:val="auto"/>
          <w:szCs w:val="24"/>
          <w:lang w:val="pt-BR"/>
        </w:rPr>
        <w:t>5</w:t>
      </w:r>
      <w:r>
        <w:rPr>
          <w:rFonts w:cs="Arial" w:ascii="Arial" w:hAnsi="Arial"/>
          <w:color w:val="auto"/>
          <w:szCs w:val="24"/>
        </w:rPr>
        <w:t>, expedimos as seguintes recomendações e solicitamos esclarecimentos: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left="720" w:right="0" w:hanging="0"/>
        <w:contextualSpacing/>
        <w:jc w:val="both"/>
        <w:rPr/>
      </w:pPr>
      <w:r>
        <w:rPr>
          <w:rFonts w:cs="Arial" w:ascii="Arial" w:hAnsi="Arial"/>
          <w:color w:val="auto"/>
          <w:szCs w:val="24"/>
        </w:rPr>
        <w:t xml:space="preserve">Que </w:t>
      </w:r>
      <w:r>
        <w:rPr>
          <w:rFonts w:cs="Arial" w:ascii="Arial" w:hAnsi="Arial"/>
          <w:color w:val="auto"/>
          <w:szCs w:val="24"/>
          <w:u w:val="single"/>
        </w:rPr>
        <w:t>sejam apreciadas e avaliadas pela Subsecretaria de Atenção Hospitalar</w:t>
      </w:r>
      <w:r>
        <w:rPr>
          <w:rFonts w:cs="Arial" w:ascii="Arial" w:hAnsi="Arial"/>
          <w:color w:val="auto"/>
          <w:szCs w:val="24"/>
        </w:rPr>
        <w:t xml:space="preserve"> as questões levantadas pela O.S. Viva Rio quanto </w:t>
      </w:r>
      <w:r>
        <w:rPr>
          <w:rFonts w:cs="Arial" w:ascii="Arial" w:hAnsi="Arial"/>
          <w:color w:val="auto"/>
          <w:szCs w:val="24"/>
          <w:lang w:val="pt-BR"/>
        </w:rPr>
        <w:t>à</w:t>
      </w:r>
      <w:r>
        <w:rPr>
          <w:rFonts w:cs="Arial" w:ascii="Arial" w:hAnsi="Arial"/>
          <w:color w:val="auto"/>
          <w:szCs w:val="24"/>
        </w:rPr>
        <w:t>s Metas e Indicadores de Desempenho nos quesitos abordados acima no presente relatório;</w:t>
      </w:r>
      <w:r>
        <w:rPr>
          <w:rFonts w:cs="Arial" w:ascii="Arial" w:hAnsi="Arial"/>
          <w:b/>
          <w:bCs/>
          <w:color w:val="auto"/>
          <w:szCs w:val="24"/>
          <w:lang w:val="pt-BR" w:eastAsia="zh-CN"/>
        </w:rPr>
        <w:tab/>
      </w:r>
    </w:p>
    <w:p>
      <w:pPr>
        <w:pStyle w:val="ListParagraph"/>
        <w:spacing w:lineRule="auto" w:line="240" w:before="0" w:after="0"/>
        <w:ind w:left="720" w:right="0" w:firstLine="600"/>
        <w:contextualSpacing/>
        <w:jc w:val="both"/>
        <w:rPr>
          <w:rFonts w:ascii="Arial" w:hAnsi="Arial"/>
          <w:b/>
          <w:b/>
          <w:bCs/>
          <w:color w:val="auto"/>
          <w:szCs w:val="24"/>
          <w:lang w:val="pt-BR" w:eastAsia="zh-CN"/>
        </w:rPr>
      </w:pPr>
      <w:r>
        <w:rPr>
          <w:rFonts w:ascii="Arial" w:hAnsi="Arial"/>
          <w:b/>
          <w:bCs/>
          <w:color w:val="auto"/>
          <w:szCs w:val="24"/>
          <w:lang w:val="pt-BR" w:eastAsia="zh-CN"/>
        </w:rPr>
        <w:t xml:space="preserve">  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left="720" w:right="0" w:hanging="0"/>
        <w:contextualSpacing/>
        <w:jc w:val="both"/>
        <w:rPr>
          <w:rFonts w:ascii="Arial" w:hAnsi="Arial" w:cs="Arial"/>
          <w:b w:val="false"/>
          <w:b w:val="false"/>
          <w:bCs w:val="false"/>
          <w:color w:val="auto"/>
          <w:szCs w:val="24"/>
          <w:lang w:val="pt-BR" w:eastAsia="zh-CN"/>
        </w:rPr>
      </w:pPr>
      <w:r>
        <w:rPr>
          <w:rFonts w:cs="Arial" w:ascii="Arial" w:hAnsi="Arial"/>
          <w:b w:val="false"/>
          <w:bCs w:val="false"/>
          <w:color w:val="auto"/>
          <w:szCs w:val="24"/>
          <w:lang w:val="pt-BR" w:eastAsia="zh-CN"/>
        </w:rPr>
        <w:t>Verificamos que o limite de 70% de despesa com pessoal, previsto em TAC( Cláusula 7° inc VII), além de estabelecido em Repactuação de Contrato de Gestão, foi excedido novamente nesse mês;</w:t>
      </w:r>
    </w:p>
    <w:p>
      <w:pPr>
        <w:pStyle w:val="ListParagraph"/>
        <w:spacing w:lineRule="auto" w:line="240" w:before="0" w:after="0"/>
        <w:ind w:left="720" w:right="0" w:firstLine="600"/>
        <w:contextualSpacing/>
        <w:jc w:val="both"/>
        <w:rPr>
          <w:rFonts w:ascii="Arial" w:hAnsi="Arial" w:cs="Arial"/>
          <w:b w:val="false"/>
          <w:b w:val="false"/>
          <w:bCs w:val="false"/>
          <w:color w:val="auto"/>
          <w:szCs w:val="24"/>
          <w:lang w:val="pt-BR" w:eastAsia="zh-CN"/>
        </w:rPr>
      </w:pPr>
      <w:r>
        <w:rPr>
          <w:rFonts w:cs="Arial" w:ascii="Arial" w:hAnsi="Arial"/>
          <w:b w:val="false"/>
          <w:bCs w:val="false"/>
          <w:color w:val="auto"/>
          <w:szCs w:val="24"/>
          <w:lang w:val="pt-BR" w:eastAsia="zh-CN"/>
        </w:rPr>
        <w:t>Importante mencionar que, de acordo com a notificação 5.3 e 7.4 do ACÓRDÃO N°064036/2023-PLENV DO TCE-RJ:</w:t>
      </w:r>
    </w:p>
    <w:p>
      <w:pPr>
        <w:pStyle w:val="ListParagraph"/>
        <w:spacing w:lineRule="auto" w:line="240" w:before="0" w:after="0"/>
        <w:ind w:left="720" w:right="0" w:firstLine="600"/>
        <w:contextualSpacing/>
        <w:jc w:val="both"/>
        <w:rPr>
          <w:rFonts w:ascii="Arial" w:hAnsi="Arial" w:cs="Arial"/>
          <w:b w:val="false"/>
          <w:b w:val="false"/>
          <w:bCs w:val="false"/>
          <w:color w:val="auto"/>
          <w:szCs w:val="24"/>
          <w:lang w:val="pt-BR" w:eastAsia="zh-CN"/>
        </w:rPr>
      </w:pPr>
      <w:r>
        <w:rPr>
          <w:rFonts w:cs="Arial" w:ascii="Arial" w:hAnsi="Arial"/>
          <w:b w:val="false"/>
          <w:bCs w:val="false"/>
          <w:color w:val="auto"/>
          <w:szCs w:val="24"/>
          <w:lang w:val="pt-BR" w:eastAsia="zh-CN"/>
        </w:rPr>
        <w:t>“</w:t>
      </w:r>
      <w:r>
        <w:rPr>
          <w:rFonts w:cs="Arial" w:ascii="Arial" w:hAnsi="Arial"/>
          <w:b w:val="false"/>
          <w:bCs w:val="false"/>
          <w:color w:val="auto"/>
          <w:szCs w:val="24"/>
          <w:lang w:val="pt-BR" w:eastAsia="zh-CN"/>
        </w:rPr>
        <w:t>(...) descumprimento, pela VIVA RIO, da cláusula 4ª, ítem 4.7 d, do Contrato de gestão n°162/19, ao desobedecer ao limite máximo de 70% para despesas de pessoal proporcionalmente às despesas de custeio totais ao longo de 2020(ACHADO 7);”</w:t>
      </w:r>
    </w:p>
    <w:p>
      <w:pPr>
        <w:pStyle w:val="ListParagraph"/>
        <w:spacing w:lineRule="auto" w:line="240" w:before="0" w:after="0"/>
        <w:ind w:left="720" w:right="0" w:firstLine="600"/>
        <w:contextualSpacing/>
        <w:jc w:val="both"/>
        <w:rPr>
          <w:rFonts w:ascii="Arial" w:hAnsi="Arial" w:cs="Arial"/>
          <w:b w:val="false"/>
          <w:b w:val="false"/>
          <w:bCs w:val="false"/>
          <w:color w:val="auto"/>
          <w:szCs w:val="24"/>
          <w:lang w:val="pt-BR" w:eastAsia="zh-CN"/>
        </w:rPr>
      </w:pPr>
      <w:r>
        <w:rPr>
          <w:rFonts w:cs="Arial" w:ascii="Arial" w:hAnsi="Arial"/>
          <w:b w:val="false"/>
          <w:bCs w:val="false"/>
          <w:color w:val="auto"/>
          <w:szCs w:val="24"/>
          <w:lang w:val="pt-BR" w:eastAsia="zh-CN"/>
        </w:rPr>
        <w:t>Desse modo, é urgente a adoção de medidas vislumbrando o cumprimento dos limites contratuais e em TAC para despesa com pessoal.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left="720" w:right="0" w:hanging="0"/>
        <w:contextualSpacing/>
        <w:jc w:val="both"/>
        <w:rPr>
          <w:rFonts w:ascii="Arial" w:hAnsi="Arial"/>
          <w:b/>
          <w:b/>
          <w:bCs/>
          <w:color w:val="auto"/>
          <w:szCs w:val="24"/>
          <w:lang w:val="pt-BR" w:eastAsia="zh-CN"/>
        </w:rPr>
      </w:pPr>
      <w:r>
        <w:rPr>
          <w:rFonts w:ascii="Arial" w:hAnsi="Arial"/>
          <w:b/>
          <w:bCs/>
          <w:color w:val="auto"/>
          <w:szCs w:val="24"/>
          <w:lang w:val="pt-BR" w:eastAsia="zh-CN"/>
        </w:rPr>
        <w:t>De acordo com recomendação da PGM nos autos do processo de prestação de contas (fls. 128), DEVERÁ SER GLOSADO O VALOR QUE EXTRAPOLAR O LIMITE DE 70% (SETENTA POR CENTO) DAS DESPESAS COM PESSOAL.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left="720" w:right="0" w:hanging="0"/>
        <w:contextualSpacing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  <w:t>Conforme decisão do TCE-RJ no Processo N°212.527-0/2022 TCE-RJ e no P.A. 10904/2024, a CTAA recomenda que sejam glosados quaisquer pagamentos em favor das empresas discriminadas abaixo:</w:t>
      </w:r>
    </w:p>
    <w:p>
      <w:pPr>
        <w:pStyle w:val="ListParagraph"/>
        <w:spacing w:lineRule="auto" w:line="240" w:before="0" w:after="0"/>
        <w:ind w:left="720" w:right="0" w:hanging="0"/>
        <w:contextualSpacing/>
        <w:jc w:val="both"/>
        <w:rPr/>
      </w:pPr>
      <w:r>
        <w:rPr>
          <w:rFonts w:cs="Arial" w:ascii="Arial" w:hAnsi="Arial"/>
          <w:color w:val="auto"/>
          <w:szCs w:val="24"/>
          <w:lang w:val="pt-BR"/>
        </w:rPr>
        <w:t>“</w:t>
      </w:r>
      <w:r>
        <w:rPr>
          <w:rFonts w:eastAsia="SimSun" w:cs="SimSun" w:ascii="SimSun" w:hAnsi="SimSun"/>
          <w:color w:val="auto"/>
          <w:sz w:val="24"/>
          <w:szCs w:val="24"/>
        </w:rPr>
        <w:t xml:space="preserve">d) Adotem as providências necessárias junto à Viva Rio e à Comissão Fiscalizadora do ajuste com vistas ao não reconhecimento da regularidade das despesas com as sociedades a seguir elencadas, abstendo-se de efetuar pagamentos em seu favor até o fim da vigência do Contrato de Gestão n.º 162/19, tendo em vista as robustas evidências de ilegalidade das contratações: 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ind w:left="1440" w:right="0" w:hanging="0"/>
        <w:contextualSpacing/>
        <w:jc w:val="both"/>
        <w:rPr/>
      </w:pPr>
      <w:r>
        <w:rPr>
          <w:rFonts w:eastAsia="SimSun" w:cs="SimSun" w:ascii="SimSun" w:hAnsi="SimSun"/>
          <w:color w:val="auto"/>
          <w:sz w:val="24"/>
          <w:szCs w:val="24"/>
        </w:rPr>
        <w:t xml:space="preserve">Consulte Consultoria e Serviços Médicos Ltda; </w:t>
      </w:r>
      <w:r>
        <w:rPr>
          <w:rFonts w:eastAsia="SimSun" w:cs="SimSun" w:ascii="SimSun" w:hAnsi="SimSun"/>
          <w:color w:val="auto"/>
          <w:sz w:val="24"/>
          <w:szCs w:val="24"/>
          <w:lang w:val="pt-BR"/>
        </w:rPr>
        <w:t xml:space="preserve">            </w:t>
      </w:r>
      <w:r>
        <w:rPr>
          <w:rFonts w:eastAsia="SimSun" w:cs="SimSun" w:ascii="SimSun" w:hAnsi="SimSun"/>
          <w:color w:val="auto"/>
          <w:sz w:val="24"/>
          <w:szCs w:val="24"/>
        </w:rPr>
        <w:t xml:space="preserve">(II) Do It Serviços Combinados de Apoio Administrativo, Consultoria e Treinamento em Logística Ltda; </w:t>
      </w:r>
      <w:r>
        <w:rPr>
          <w:rFonts w:eastAsia="SimSun" w:cs="SimSun" w:ascii="SimSun" w:hAnsi="SimSun"/>
          <w:color w:val="auto"/>
          <w:sz w:val="24"/>
          <w:szCs w:val="24"/>
          <w:lang w:val="pt-BR"/>
        </w:rPr>
        <w:t xml:space="preserve">               </w:t>
      </w:r>
      <w:r>
        <w:rPr>
          <w:rFonts w:eastAsia="SimSun" w:cs="SimSun" w:ascii="SimSun" w:hAnsi="SimSun"/>
          <w:color w:val="auto"/>
          <w:sz w:val="24"/>
          <w:szCs w:val="24"/>
        </w:rPr>
        <w:t xml:space="preserve">(III) LC Mendes Gestão Estratégica Administrativa Financeira e Contábil; </w:t>
      </w:r>
      <w:r>
        <w:rPr>
          <w:rFonts w:eastAsia="SimSun" w:cs="SimSun" w:ascii="SimSun" w:hAnsi="SimSun"/>
          <w:color w:val="auto"/>
          <w:sz w:val="24"/>
          <w:szCs w:val="24"/>
          <w:lang w:val="pt-BR"/>
        </w:rPr>
        <w:t xml:space="preserve">                                                   </w:t>
      </w:r>
      <w:r>
        <w:rPr>
          <w:rFonts w:eastAsia="SimSun" w:cs="SimSun" w:ascii="SimSun" w:hAnsi="SimSun"/>
          <w:color w:val="auto"/>
          <w:sz w:val="24"/>
          <w:szCs w:val="24"/>
        </w:rPr>
        <w:t xml:space="preserve">(IV) Elbleocadio Consultoria em Gestão Empresarial Ltda; </w:t>
      </w:r>
      <w:r>
        <w:rPr>
          <w:rFonts w:eastAsia="SimSun" w:cs="SimSun" w:ascii="SimSun" w:hAnsi="SimSun"/>
          <w:color w:val="auto"/>
          <w:sz w:val="24"/>
          <w:szCs w:val="24"/>
          <w:lang w:val="pt-BR"/>
        </w:rPr>
        <w:t xml:space="preserve">     </w:t>
      </w:r>
      <w:r>
        <w:rPr>
          <w:rFonts w:eastAsia="SimSun" w:cs="SimSun" w:ascii="SimSun" w:hAnsi="SimSun"/>
          <w:color w:val="auto"/>
          <w:sz w:val="24"/>
          <w:szCs w:val="24"/>
        </w:rPr>
        <w:t>(V) Eco Empresa de Consultoria e Organização em Sistema e Editoração</w:t>
      </w:r>
      <w:r>
        <w:rPr>
          <w:rFonts w:eastAsia="SimSun" w:cs="SimSun" w:ascii="SimSun" w:hAnsi="SimSun"/>
          <w:color w:val="auto"/>
          <w:sz w:val="24"/>
          <w:szCs w:val="24"/>
          <w:lang w:val="pt-BR"/>
        </w:rPr>
        <w:t xml:space="preserve"> </w:t>
      </w:r>
      <w:r>
        <w:rPr>
          <w:rFonts w:eastAsia="SimSun" w:cs="SimSun" w:ascii="SimSun" w:hAnsi="SimSun"/>
          <w:color w:val="auto"/>
          <w:sz w:val="24"/>
          <w:szCs w:val="24"/>
        </w:rPr>
        <w:t xml:space="preserve">Ltda </w:t>
      </w:r>
      <w:r>
        <w:rPr>
          <w:rFonts w:eastAsia="SimSun" w:cs="SimSun" w:ascii="SimSun" w:hAnsi="SimSun"/>
          <w:color w:val="auto"/>
          <w:sz w:val="24"/>
          <w:szCs w:val="24"/>
          <w:lang w:val="pt-BR"/>
        </w:rPr>
        <w:t xml:space="preserve">                                             </w:t>
      </w:r>
      <w:r>
        <w:rPr>
          <w:rFonts w:eastAsia="SimSun" w:cs="SimSun" w:ascii="SimSun" w:hAnsi="SimSun"/>
          <w:color w:val="auto"/>
          <w:sz w:val="24"/>
          <w:szCs w:val="24"/>
        </w:rPr>
        <w:t xml:space="preserve">(VI) Lapa Comunicação e Marketing Ltda; </w:t>
      </w:r>
      <w:r>
        <w:rPr>
          <w:rFonts w:eastAsia="SimSun" w:cs="SimSun" w:ascii="SimSun" w:hAnsi="SimSun"/>
          <w:color w:val="auto"/>
          <w:sz w:val="24"/>
          <w:szCs w:val="24"/>
          <w:lang w:val="pt-BR"/>
        </w:rPr>
        <w:t xml:space="preserve">                         </w:t>
      </w:r>
      <w:r>
        <w:rPr>
          <w:rFonts w:eastAsia="SimSun" w:cs="SimSun" w:ascii="SimSun" w:hAnsi="SimSun"/>
          <w:color w:val="auto"/>
          <w:sz w:val="24"/>
          <w:szCs w:val="24"/>
        </w:rPr>
        <w:t xml:space="preserve">(VII) Tera Tecnologia e Segurança da Informação Ltda; </w:t>
      </w:r>
      <w:r>
        <w:rPr>
          <w:rFonts w:eastAsia="SimSun" w:cs="SimSun" w:ascii="SimSun" w:hAnsi="SimSun"/>
          <w:color w:val="auto"/>
          <w:sz w:val="24"/>
          <w:szCs w:val="24"/>
          <w:lang w:val="pt-BR"/>
        </w:rPr>
        <w:t xml:space="preserve">               </w:t>
      </w:r>
      <w:r>
        <w:rPr>
          <w:rFonts w:eastAsia="SimSun" w:cs="SimSun" w:ascii="SimSun" w:hAnsi="SimSun"/>
          <w:color w:val="auto"/>
          <w:sz w:val="24"/>
          <w:szCs w:val="24"/>
        </w:rPr>
        <w:t xml:space="preserve">(VIII) Bambu Apoio Administrativo e Consultoria Ltda; </w:t>
      </w:r>
      <w:r>
        <w:rPr>
          <w:rFonts w:eastAsia="SimSun" w:cs="SimSun" w:ascii="SimSun" w:hAnsi="SimSun"/>
          <w:color w:val="auto"/>
          <w:sz w:val="24"/>
          <w:szCs w:val="24"/>
          <w:lang w:val="pt-BR"/>
        </w:rPr>
        <w:t xml:space="preserve">        </w:t>
      </w:r>
      <w:r>
        <w:rPr>
          <w:rFonts w:eastAsia="SimSun" w:cs="SimSun" w:ascii="SimSun" w:hAnsi="SimSun"/>
          <w:color w:val="auto"/>
          <w:sz w:val="24"/>
          <w:szCs w:val="24"/>
        </w:rPr>
        <w:t>(IX) Teykal Consultoria e Gestão Estratégica de Pessoas Ltda; (X) Siqueira Malheiros Sociedade de Advogados e Pablo Siqueira Sociedade</w:t>
      </w:r>
      <w:r>
        <w:rPr>
          <w:rFonts w:eastAsia="SimSun" w:cs="SimSun" w:ascii="SimSun" w:hAnsi="SimSun"/>
          <w:color w:val="auto"/>
          <w:sz w:val="24"/>
          <w:szCs w:val="24"/>
          <w:lang w:val="pt-BR"/>
        </w:rPr>
        <w:t xml:space="preserve"> </w:t>
      </w:r>
      <w:r>
        <w:rPr>
          <w:rFonts w:eastAsia="SimSun" w:cs="SimSun" w:ascii="SimSun" w:hAnsi="SimSun"/>
          <w:color w:val="auto"/>
          <w:sz w:val="24"/>
          <w:szCs w:val="24"/>
        </w:rPr>
        <w:t xml:space="preserve">Individual de Advocacia; </w:t>
      </w:r>
      <w:r>
        <w:rPr>
          <w:rFonts w:eastAsia="SimSun" w:cs="SimSun" w:ascii="SimSun" w:hAnsi="SimSun"/>
          <w:color w:val="auto"/>
          <w:sz w:val="24"/>
          <w:szCs w:val="24"/>
          <w:lang w:val="pt-BR"/>
        </w:rPr>
        <w:t xml:space="preserve">                           </w:t>
      </w:r>
      <w:r>
        <w:rPr>
          <w:rFonts w:eastAsia="SimSun" w:cs="SimSun" w:ascii="SimSun" w:hAnsi="SimSun"/>
          <w:color w:val="auto"/>
          <w:sz w:val="24"/>
          <w:szCs w:val="24"/>
        </w:rPr>
        <w:t xml:space="preserve">(XI) LSC Motta Assessoria e Serviços Empresariais; </w:t>
      </w:r>
      <w:r>
        <w:rPr>
          <w:rFonts w:eastAsia="SimSun" w:cs="SimSun" w:ascii="SimSun" w:hAnsi="SimSun"/>
          <w:color w:val="auto"/>
          <w:sz w:val="24"/>
          <w:szCs w:val="24"/>
          <w:lang w:val="pt-BR"/>
        </w:rPr>
        <w:t xml:space="preserve">                 </w:t>
      </w:r>
      <w:r>
        <w:rPr>
          <w:rFonts w:eastAsia="SimSun" w:cs="SimSun" w:ascii="SimSun" w:hAnsi="SimSun"/>
          <w:color w:val="auto"/>
          <w:sz w:val="24"/>
          <w:szCs w:val="24"/>
        </w:rPr>
        <w:t xml:space="preserve">(XII) Martins Labanca Sociedade Individual de Advocacia e Guimarães e Labanca Advogados Associados; e </w:t>
      </w:r>
      <w:r>
        <w:rPr>
          <w:rFonts w:eastAsia="SimSun" w:cs="SimSun" w:ascii="SimSun" w:hAnsi="SimSun"/>
          <w:color w:val="auto"/>
          <w:sz w:val="24"/>
          <w:szCs w:val="24"/>
          <w:lang w:val="pt-BR"/>
        </w:rPr>
        <w:t xml:space="preserve">                 </w:t>
      </w:r>
      <w:r>
        <w:rPr>
          <w:rFonts w:eastAsia="SimSun" w:cs="SimSun" w:ascii="SimSun" w:hAnsi="SimSun"/>
          <w:color w:val="auto"/>
          <w:sz w:val="24"/>
          <w:szCs w:val="24"/>
        </w:rPr>
        <w:t>(XIII) Wisdom Consultoria.</w:t>
      </w:r>
    </w:p>
    <w:p>
      <w:pPr>
        <w:pStyle w:val="ListParagraph"/>
        <w:spacing w:lineRule="auto" w:line="240" w:before="0" w:after="0"/>
        <w:ind w:left="720" w:right="0" w:hanging="0"/>
        <w:contextualSpacing/>
        <w:jc w:val="both"/>
        <w:rPr/>
      </w:pPr>
      <w:r>
        <w:rPr>
          <w:rFonts w:eastAsia="SimSun" w:cs="SimSun" w:ascii="SimSun" w:hAnsi="SimSun"/>
          <w:color w:val="auto"/>
          <w:sz w:val="24"/>
          <w:szCs w:val="24"/>
          <w:lang w:val="pt-BR"/>
        </w:rPr>
        <w:t xml:space="preserve">          </w:t>
      </w:r>
      <w:r>
        <w:rPr>
          <w:rFonts w:eastAsia="SimSun" w:cs="Arial" w:ascii="Arial" w:hAnsi="Arial"/>
          <w:color w:val="auto"/>
          <w:sz w:val="24"/>
          <w:szCs w:val="24"/>
          <w:lang w:val="pt-BR"/>
        </w:rPr>
        <w:t xml:space="preserve"> </w:t>
      </w:r>
      <w:r>
        <w:rPr>
          <w:rFonts w:eastAsia="SimSun" w:cs="Arial" w:ascii="Arial" w:hAnsi="Arial"/>
          <w:color w:val="auto"/>
          <w:sz w:val="24"/>
          <w:szCs w:val="24"/>
          <w:lang w:val="pt-BR"/>
        </w:rPr>
        <w:t>Foram identificados pela CTAA pagamentos realizados em favor das empresas :</w:t>
      </w:r>
    </w:p>
    <w:p>
      <w:pPr>
        <w:pStyle w:val="ListParagraph"/>
        <w:spacing w:lineRule="auto" w:line="240" w:before="0" w:after="0"/>
        <w:ind w:left="720" w:right="0" w:hanging="0"/>
        <w:contextualSpacing/>
        <w:jc w:val="both"/>
        <w:rPr>
          <w:rFonts w:ascii="Arial" w:hAnsi="Arial" w:eastAsia="SimSun" w:cs="Arial"/>
          <w:color w:val="auto"/>
          <w:sz w:val="24"/>
          <w:szCs w:val="24"/>
          <w:lang w:val="pt-BR"/>
        </w:rPr>
      </w:pPr>
      <w:r>
        <w:rPr>
          <w:rFonts w:eastAsia="SimSun" w:cs="Arial" w:ascii="Arial" w:hAnsi="Arial"/>
          <w:color w:val="auto"/>
          <w:sz w:val="24"/>
          <w:szCs w:val="24"/>
          <w:lang w:val="pt-BR"/>
        </w:rPr>
        <w:t xml:space="preserve">                  </w:t>
      </w:r>
    </w:p>
    <w:tbl>
      <w:tblPr>
        <w:tblW w:w="8430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8"/>
        <w:gridCol w:w="2217"/>
        <w:gridCol w:w="3035"/>
      </w:tblGrid>
      <w:tr>
        <w:trPr>
          <w:trHeight w:val="641" w:hRule="atLeast"/>
        </w:trPr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i w:val="false"/>
                <w:i w:val="false"/>
                <w:iCs w:val="false"/>
                <w:color w:val="auto"/>
                <w:sz w:val="21"/>
                <w:szCs w:val="21"/>
              </w:rPr>
            </w:pPr>
            <w:r>
              <w:rPr>
                <w:rFonts w:cs="Arial" w:ascii="Arial" w:hAnsi="Arial"/>
                <w:i w:val="false"/>
                <w:iCs w:val="false"/>
                <w:color w:val="auto"/>
                <w:sz w:val="21"/>
                <w:szCs w:val="21"/>
              </w:rPr>
              <w:t>ECO-EMPRESA DE CONSULTORIA E ORG. DE SISTEMAS E EDITORAÇÃO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Arial" w:hAnsi="Arial"/>
                <w:color w:val="auto"/>
                <w:sz w:val="22"/>
              </w:rPr>
              <w:t>Prontuário</w:t>
            </w:r>
            <w:r>
              <w:rPr>
                <w:rFonts w:cs="Arial" w:ascii="Arial" w:hAnsi="Arial"/>
                <w:color w:val="auto"/>
                <w:sz w:val="22"/>
                <w:lang w:val="pt-BR"/>
              </w:rPr>
              <w:t xml:space="preserve"> eletrónico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/>
            </w:pPr>
            <w:r>
              <w:rPr>
                <w:rFonts w:cs="Arial" w:ascii="Arial" w:hAnsi="Arial"/>
                <w:color w:val="auto"/>
                <w:sz w:val="22"/>
              </w:rPr>
              <w:t>R$</w:t>
            </w:r>
            <w:r>
              <w:rPr>
                <w:rFonts w:cs="Arial" w:ascii="Arial" w:hAnsi="Arial"/>
                <w:color w:val="auto"/>
                <w:sz w:val="22"/>
                <w:lang w:val="pt-BR"/>
              </w:rPr>
              <w:t xml:space="preserve"> </w:t>
            </w:r>
            <w:r>
              <w:rPr>
                <w:rFonts w:eastAsia="Calibri" w:cs="Arial" w:ascii="Arial" w:hAnsi="Arial"/>
                <w:color w:val="auto"/>
                <w:kern w:val="0"/>
                <w:sz w:val="22"/>
                <w:szCs w:val="22"/>
                <w:lang w:val="pt-BR" w:eastAsia="en-US" w:bidi="ar-SA"/>
              </w:rPr>
              <w:t>4.692,50</w:t>
            </w:r>
          </w:p>
        </w:tc>
      </w:tr>
      <w:tr>
        <w:trPr>
          <w:trHeight w:val="817" w:hRule="atLeast"/>
        </w:trPr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 w:cs="Arial"/>
                <w:color w:val="auto"/>
                <w:sz w:val="21"/>
                <w:szCs w:val="21"/>
              </w:rPr>
            </w:pPr>
            <w:r>
              <w:rPr>
                <w:rFonts w:cs="Arial" w:ascii="Arial" w:hAnsi="Arial"/>
                <w:color w:val="auto"/>
                <w:sz w:val="21"/>
                <w:szCs w:val="21"/>
              </w:rPr>
              <w:t>DO IT SERV.COMB. DE APOIO ADM., CONSULT. E TREINAMENTO EM LOGÍSTICA LTDA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</w:rPr>
            </w:pPr>
            <w:r>
              <w:rPr>
                <w:rFonts w:cs="Arial" w:ascii="Arial" w:hAnsi="Arial"/>
                <w:color w:val="auto"/>
                <w:sz w:val="22"/>
              </w:rPr>
              <w:t>Gestao Integrada de estoques e operação logística integrada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/>
            </w:pPr>
            <w:r>
              <w:rPr>
                <w:rFonts w:cs="Arial" w:ascii="Arial" w:hAnsi="Arial"/>
                <w:color w:val="auto"/>
                <w:sz w:val="22"/>
              </w:rPr>
              <w:t>R$</w:t>
            </w:r>
            <w:r>
              <w:rPr>
                <w:rFonts w:cs="Arial" w:ascii="Arial" w:hAnsi="Arial"/>
                <w:color w:val="auto"/>
                <w:sz w:val="22"/>
                <w:lang w:val="pt-BR"/>
              </w:rPr>
              <w:t xml:space="preserve"> 11.775,09</w:t>
            </w:r>
          </w:p>
        </w:tc>
      </w:tr>
      <w:tr>
        <w:trPr>
          <w:trHeight w:val="1459" w:hRule="atLeast"/>
        </w:trPr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/>
                <w:i w:val="false"/>
                <w:i w:val="false"/>
                <w:iCs w:val="false"/>
                <w:color w:val="auto"/>
                <w:sz w:val="21"/>
                <w:szCs w:val="21"/>
                <w:lang w:val="pt-BR"/>
              </w:rPr>
            </w:pPr>
            <w:r>
              <w:rPr>
                <w:rFonts w:ascii="Arial" w:hAnsi="Arial"/>
                <w:i w:val="false"/>
                <w:iCs w:val="false"/>
                <w:color w:val="auto"/>
                <w:sz w:val="21"/>
                <w:szCs w:val="21"/>
                <w:lang w:val="pt-BR"/>
              </w:rPr>
              <w:t>TERA TECNOLOGIA E SEGURANÇA DA</w:t>
            </w:r>
          </w:p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>
                <w:rFonts w:ascii="Arial" w:hAnsi="Arial"/>
                <w:i w:val="false"/>
                <w:i w:val="false"/>
                <w:iCs w:val="false"/>
                <w:color w:val="auto"/>
                <w:sz w:val="21"/>
                <w:szCs w:val="21"/>
                <w:lang w:val="pt-BR"/>
              </w:rPr>
            </w:pPr>
            <w:r>
              <w:rPr>
                <w:rFonts w:ascii="Arial" w:hAnsi="Arial"/>
                <w:i w:val="false"/>
                <w:iCs w:val="false"/>
                <w:color w:val="auto"/>
                <w:sz w:val="21"/>
                <w:szCs w:val="21"/>
                <w:lang w:val="pt-BR"/>
              </w:rPr>
              <w:t>INFORMAÇÃO EIRELI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color w:val="auto"/>
                <w:sz w:val="22"/>
                <w:lang w:val="pt-BR"/>
              </w:rPr>
            </w:pPr>
            <w:r>
              <w:rPr>
                <w:rFonts w:cs="Arial" w:ascii="Arial" w:hAnsi="Arial"/>
                <w:color w:val="auto"/>
                <w:sz w:val="22"/>
                <w:lang w:val="pt-BR"/>
              </w:rPr>
              <w:t>Gestão Integrada de Tecnol.Seg.Inf.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50"/>
              <w:jc w:val="both"/>
              <w:rPr/>
            </w:pPr>
            <w:r>
              <w:rPr>
                <w:rFonts w:cs="Arial" w:ascii="Arial" w:hAnsi="Arial"/>
                <w:color w:val="auto"/>
                <w:sz w:val="22"/>
                <w:lang w:val="pt-BR"/>
              </w:rPr>
              <w:t>R$6.</w:t>
            </w:r>
            <w:r>
              <w:rPr>
                <w:rFonts w:eastAsia="Calibri" w:cs="Arial" w:ascii="Arial" w:hAnsi="Arial"/>
                <w:color w:val="auto"/>
                <w:kern w:val="0"/>
                <w:sz w:val="22"/>
                <w:szCs w:val="22"/>
                <w:lang w:val="pt-BR" w:eastAsia="en-US" w:bidi="ar-SA"/>
              </w:rPr>
              <w:t>029,26</w:t>
            </w:r>
          </w:p>
        </w:tc>
      </w:tr>
      <w:tr>
        <w:trPr>
          <w:trHeight w:val="1459" w:hRule="atLeast"/>
        </w:trPr>
        <w:tc>
          <w:tcPr>
            <w:tcW w:w="31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720" w:right="0" w:firstLine="525"/>
              <w:jc w:val="both"/>
              <w:rPr/>
            </w:pPr>
            <w:r>
              <w:rPr/>
              <w:t xml:space="preserve">CONSULTE CONSULTORIA E SERVIÇOS MÉDICOS LTDA </w:t>
            </w:r>
          </w:p>
        </w:tc>
        <w:tc>
          <w:tcPr>
            <w:tcW w:w="22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  <w:t xml:space="preserve">Consultoria em Gestão em Saúde </w:t>
            </w:r>
          </w:p>
        </w:tc>
        <w:tc>
          <w:tcPr>
            <w:tcW w:w="30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both"/>
              <w:rPr/>
            </w:pPr>
            <w:r>
              <w:rPr/>
              <w:t xml:space="preserve">           </w:t>
            </w:r>
            <w:r>
              <w:rPr>
                <w:rFonts w:eastAsia="Calibri"/>
              </w:rPr>
              <w:t xml:space="preserve">            </w:t>
            </w:r>
            <w:r>
              <w:rPr>
                <w:rFonts w:eastAsia="Calibri"/>
              </w:rPr>
              <w:t xml:space="preserve">R$ 6128,55 </w:t>
            </w:r>
          </w:p>
        </w:tc>
      </w:tr>
    </w:tbl>
    <w:p>
      <w:pPr>
        <w:pStyle w:val="ListParagraph"/>
        <w:spacing w:lineRule="auto" w:line="240" w:before="0" w:after="0"/>
        <w:ind w:left="720" w:right="0" w:hanging="0"/>
        <w:contextualSpacing/>
        <w:jc w:val="both"/>
        <w:rPr>
          <w:rFonts w:ascii="Arial" w:hAnsi="Arial" w:eastAsia="SimSun" w:cs="Arial"/>
          <w:color w:val="auto"/>
          <w:sz w:val="24"/>
          <w:szCs w:val="24"/>
          <w:lang w:val="pt-BR"/>
        </w:rPr>
      </w:pPr>
      <w:r>
        <w:rPr>
          <w:rFonts w:eastAsia="SimSun" w:cs="Arial" w:ascii="Arial" w:hAnsi="Arial"/>
          <w:color w:val="auto"/>
          <w:sz w:val="24"/>
          <w:szCs w:val="24"/>
          <w:lang w:val="pt-BR"/>
        </w:rPr>
      </w:r>
    </w:p>
    <w:p>
      <w:pPr>
        <w:pStyle w:val="ListParagraph"/>
        <w:spacing w:lineRule="auto" w:line="240" w:before="0" w:after="0"/>
        <w:ind w:left="720" w:right="0" w:firstLine="600"/>
        <w:contextualSpacing/>
        <w:jc w:val="both"/>
        <w:rPr>
          <w:rFonts w:ascii="Arial" w:hAnsi="Arial" w:eastAsia="SimSun" w:cs="Arial"/>
          <w:color w:val="auto"/>
          <w:sz w:val="24"/>
          <w:szCs w:val="24"/>
          <w:lang w:val="pt-BR"/>
        </w:rPr>
      </w:pPr>
      <w:r>
        <w:rPr>
          <w:rFonts w:eastAsia="SimSun" w:cs="Arial" w:ascii="Arial" w:hAnsi="Arial"/>
          <w:color w:val="auto"/>
          <w:sz w:val="24"/>
          <w:szCs w:val="24"/>
          <w:lang w:val="pt-BR"/>
        </w:rPr>
        <w:t xml:space="preserve"> </w:t>
      </w:r>
      <w:r>
        <w:rPr>
          <w:rFonts w:eastAsia="SimSun" w:cs="Arial" w:ascii="Arial" w:hAnsi="Arial"/>
          <w:color w:val="auto"/>
          <w:sz w:val="24"/>
          <w:szCs w:val="24"/>
          <w:lang w:val="pt-BR"/>
        </w:rPr>
        <w:t>A CTAA recomenda que sejam glosados os pagamentos em favor das referidas empresas conforme recomendação do TCE-RJ.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left="720" w:right="0" w:firstLine="600"/>
        <w:contextualSpacing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  <w:t>Que sejam normatizados e determinados pela Secretaria de Saúde os prazos para análise da Prestação de Contas mensal da UPA/NF, conforme abaixo:</w:t>
      </w:r>
    </w:p>
    <w:p>
      <w:pPr>
        <w:pStyle w:val="ListParagraph"/>
        <w:spacing w:lineRule="auto" w:line="240" w:before="0" w:after="0"/>
        <w:ind w:left="720" w:right="0" w:firstLine="325"/>
        <w:contextualSpacing/>
        <w:jc w:val="both"/>
        <w:rPr>
          <w:rFonts w:ascii="Arial" w:hAnsi="Arial" w:cs="Arial"/>
          <w:color w:val="auto"/>
          <w:sz w:val="13"/>
          <w:szCs w:val="13"/>
          <w:lang w:val="pt-BR"/>
        </w:rPr>
      </w:pPr>
      <w:r>
        <w:rPr>
          <w:rFonts w:cs="Arial" w:ascii="Arial" w:hAnsi="Arial"/>
          <w:color w:val="auto"/>
          <w:sz w:val="13"/>
          <w:szCs w:val="13"/>
          <w:lang w:val="pt-BR"/>
        </w:rPr>
      </w:r>
    </w:p>
    <w:p>
      <w:pPr>
        <w:pStyle w:val="ListParagraph"/>
        <w:spacing w:lineRule="auto" w:line="240" w:before="0" w:after="0"/>
        <w:ind w:left="720" w:right="0" w:firstLine="600"/>
        <w:contextualSpacing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  <w:t>GPOF------------------------------------ 01 dias (montagem processo)</w:t>
      </w:r>
    </w:p>
    <w:p>
      <w:pPr>
        <w:pStyle w:val="ListParagraph"/>
        <w:spacing w:lineRule="auto" w:line="240" w:before="0" w:after="0"/>
        <w:ind w:left="720" w:right="0" w:firstLine="600"/>
        <w:contextualSpacing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  <w:t>CTAA----------------------------------- 10 dias (análise da CTAA)</w:t>
      </w:r>
    </w:p>
    <w:p>
      <w:pPr>
        <w:pStyle w:val="ListParagraph"/>
        <w:spacing w:lineRule="auto" w:line="240" w:before="0" w:after="0"/>
        <w:ind w:left="720" w:right="0" w:firstLine="600"/>
        <w:contextualSpacing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  <w:t>FISCAL DO CONTRATO--------- 03 dias ( verificação e atesto)</w:t>
      </w:r>
    </w:p>
    <w:p>
      <w:pPr>
        <w:pStyle w:val="ListParagraph"/>
        <w:spacing w:lineRule="auto" w:line="240" w:before="0" w:after="0"/>
        <w:ind w:left="720" w:right="0" w:firstLine="600"/>
        <w:contextualSpacing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  <w:t>GESTOR DO CONTRATO------- 03 dias (verificação )</w:t>
      </w:r>
    </w:p>
    <w:p>
      <w:pPr>
        <w:pStyle w:val="ListParagraph"/>
        <w:spacing w:lineRule="auto" w:line="240" w:before="0" w:after="0"/>
        <w:ind w:left="720" w:right="0" w:firstLine="600"/>
        <w:contextualSpacing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  <w:t>GPOF---------------------------------- 02 dias ( autorização de pagamento)</w:t>
      </w:r>
    </w:p>
    <w:p>
      <w:pPr>
        <w:pStyle w:val="ListParagraph"/>
        <w:spacing w:lineRule="auto" w:line="240" w:before="0" w:after="0"/>
        <w:ind w:left="720" w:right="0" w:firstLine="600"/>
        <w:contextualSpacing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left="720" w:right="0" w:firstLine="600"/>
        <w:contextualSpacing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  <w:t>Que a entidade Viva Rio continue realizando processos seletivos a fim de preencher a vaga de Pessoa com Deficiência (PCD).</w:t>
      </w:r>
    </w:p>
    <w:p>
      <w:pPr>
        <w:pStyle w:val="ListParagraph"/>
        <w:spacing w:lineRule="auto" w:line="240" w:before="0" w:after="0"/>
        <w:ind w:left="1780" w:right="0" w:hanging="0"/>
        <w:contextualSpacing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left="720" w:right="0" w:firstLine="600"/>
        <w:contextualSpacing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  <w:t xml:space="preserve"> </w:t>
      </w:r>
      <w:r>
        <w:rPr>
          <w:rFonts w:cs="Arial" w:ascii="Arial" w:hAnsi="Arial"/>
          <w:color w:val="auto"/>
          <w:szCs w:val="24"/>
          <w:lang w:val="pt-BR"/>
        </w:rPr>
        <w:t xml:space="preserve">Considerando o Ofício CTAA N° 001/2024  ( em anexo)   a CTAA requer os comprovantes de cumprimentos das citadas exigências atualizadas, atendendo o Termo de Referência. 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left="720" w:right="0" w:firstLine="600"/>
        <w:contextualSpacing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  <w:t xml:space="preserve">  </w:t>
      </w:r>
      <w:r>
        <w:rPr>
          <w:rFonts w:cs="Arial" w:ascii="Arial" w:hAnsi="Arial"/>
          <w:b/>
          <w:bCs/>
          <w:color w:val="auto"/>
          <w:szCs w:val="24"/>
          <w:lang w:val="pt-BR"/>
        </w:rPr>
        <w:t xml:space="preserve"> </w:t>
      </w:r>
      <w:r>
        <w:rPr>
          <w:rFonts w:cs="Arial" w:ascii="Arial" w:hAnsi="Arial"/>
          <w:b/>
          <w:bCs/>
          <w:color w:val="auto"/>
          <w:szCs w:val="24"/>
          <w:lang w:val="pt-BR"/>
        </w:rPr>
        <w:t xml:space="preserve">Por último, com objetivo de trazer mais segurança, eficiência, celeridade e racionalizar os procedimentos na forma eletrônica, recomendamos que o Órgão demandante se atente a identificar/nomear os arquivos e peças digitais com a respectiva referência/assunto (Ata Viva Rio , Assembleia, Balancete, Estatuto Social, Extratos, Relatório, Parecer Técnico, ou outros que se mostrem pertinentes)na fase de inclusão no sistema digital adotado pela Municipalidade.                  </w:t>
      </w:r>
    </w:p>
    <w:p>
      <w:pPr>
        <w:pStyle w:val="ListParagraph"/>
        <w:spacing w:lineRule="auto" w:line="240" w:before="0" w:after="0"/>
        <w:ind w:left="720" w:right="0" w:hanging="0"/>
        <w:contextualSpacing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  <w:t xml:space="preserve">                    </w:t>
      </w:r>
    </w:p>
    <w:p>
      <w:pPr>
        <w:pStyle w:val="Normal"/>
        <w:shd w:val="clear" w:fill="000000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</w:r>
    </w:p>
    <w:p>
      <w:pPr>
        <w:pStyle w:val="Normal"/>
        <w:shd w:val="clear" w:fill="000000"/>
        <w:spacing w:lineRule="auto" w:line="240" w:before="0" w:after="0"/>
        <w:ind w:left="720" w:right="0" w:firstLine="700"/>
        <w:jc w:val="both"/>
        <w:rPr>
          <w:rFonts w:ascii="Arial" w:hAnsi="Arial" w:cs="Arial"/>
          <w:color w:val="auto"/>
          <w:sz w:val="28"/>
          <w:szCs w:val="28"/>
        </w:rPr>
      </w:pPr>
      <w:r>
        <w:rPr>
          <w:rFonts w:cs="Arial" w:ascii="Arial" w:hAnsi="Arial"/>
          <w:color w:val="auto"/>
          <w:sz w:val="28"/>
          <w:szCs w:val="28"/>
        </w:rPr>
        <w:t>Considerações Finais</w:t>
      </w:r>
    </w:p>
    <w:p>
      <w:pPr>
        <w:pStyle w:val="Normal"/>
        <w:shd w:val="clear" w:fill="000000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  <w:t xml:space="preserve">    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  <w:t xml:space="preserve">      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bookmarkStart w:id="1" w:name="_GoBack"/>
      <w:r>
        <w:rPr>
          <w:rFonts w:cs="Arial" w:ascii="Arial" w:hAnsi="Arial"/>
          <w:color w:val="auto"/>
          <w:szCs w:val="24"/>
        </w:rPr>
        <w:t xml:space="preserve">Diante da análise da referida Prestação de Contas, damos </w:t>
      </w:r>
      <w:r>
        <w:rPr>
          <w:rFonts w:cs="Arial" w:ascii="Arial" w:hAnsi="Arial"/>
          <w:b/>
          <w:bCs/>
          <w:color w:val="auto"/>
          <w:szCs w:val="24"/>
        </w:rPr>
        <w:t xml:space="preserve">PARECER </w:t>
      </w:r>
      <w:bookmarkEnd w:id="1"/>
      <w:r>
        <w:rPr>
          <w:rFonts w:cs="Arial" w:ascii="Arial" w:hAnsi="Arial"/>
          <w:b/>
          <w:bCs/>
          <w:color w:val="auto"/>
          <w:szCs w:val="24"/>
        </w:rPr>
        <w:t>FAVORÁVEL</w:t>
      </w:r>
      <w:r>
        <w:rPr>
          <w:rFonts w:cs="Arial" w:ascii="Arial" w:hAnsi="Arial"/>
          <w:color w:val="auto"/>
          <w:szCs w:val="24"/>
        </w:rPr>
        <w:t>, observadas as RECOMENDAÇÕES apontadas acima.</w:t>
      </w:r>
      <w:r>
        <w:rPr>
          <w:rFonts w:cs="Arial" w:ascii="Arial" w:hAnsi="Arial"/>
          <w:color w:val="auto"/>
          <w:szCs w:val="24"/>
          <w:lang w:val="pt-BR"/>
        </w:rPr>
        <w:t xml:space="preserve">Frisamos que o P.A. </w:t>
      </w:r>
      <w:r>
        <w:rPr>
          <w:rFonts w:eastAsia="Calibri" w:cs="Arial" w:ascii="Arial" w:hAnsi="Arial"/>
          <w:color w:val="auto"/>
          <w:kern w:val="0"/>
          <w:sz w:val="28"/>
          <w:szCs w:val="28"/>
          <w:lang w:val="pt-BR" w:eastAsia="en-US" w:bidi="ar-SA"/>
        </w:rPr>
        <w:t>29.252</w:t>
      </w:r>
      <w:r>
        <w:rPr>
          <w:rFonts w:cs="Arial" w:ascii="Arial" w:hAnsi="Arial"/>
          <w:color w:val="auto"/>
          <w:sz w:val="28"/>
          <w:szCs w:val="28"/>
          <w:lang w:val="pt-BR"/>
        </w:rPr>
        <w:t>/2025</w:t>
      </w:r>
      <w:r>
        <w:rPr>
          <w:rFonts w:cs="Arial" w:ascii="Arial" w:hAnsi="Arial"/>
          <w:color w:val="auto"/>
          <w:szCs w:val="24"/>
          <w:lang w:val="pt-BR"/>
        </w:rPr>
        <w:t xml:space="preserve"> foi recebido em 15/08/2025 e encaminhado com o relatório finalizado em 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>18</w:t>
      </w:r>
      <w:r>
        <w:rPr>
          <w:rFonts w:cs="Arial" w:ascii="Arial" w:hAnsi="Arial"/>
          <w:color w:val="auto"/>
          <w:szCs w:val="24"/>
          <w:lang w:val="pt-BR"/>
        </w:rPr>
        <w:t>/08/2025, portanto, encaminhado tempestivamente antes do prazo de 10 dias.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  <w:t>Remetemos os autos à Secretaria Municipal de Saúde para apreciação, tomada das  providências cabíveis e posterior efetivação do pagamento.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  <w:t xml:space="preserve">                                                            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</w:rPr>
      </w:pPr>
      <w:r>
        <w:rPr>
          <w:rFonts w:cs="Arial" w:ascii="Arial" w:hAnsi="Arial"/>
          <w:color w:val="auto"/>
          <w:szCs w:val="24"/>
        </w:rPr>
        <w:t xml:space="preserve">                                       </w:t>
      </w:r>
    </w:p>
    <w:p>
      <w:pPr>
        <w:pStyle w:val="Normal"/>
        <w:spacing w:lineRule="auto" w:line="240" w:before="0" w:after="0"/>
        <w:ind w:left="720" w:right="0" w:firstLine="600"/>
        <w:jc w:val="both"/>
        <w:rPr/>
      </w:pPr>
      <w:r>
        <w:rPr>
          <w:rFonts w:cs="Arial" w:ascii="Arial" w:hAnsi="Arial"/>
          <w:color w:val="auto"/>
          <w:szCs w:val="24"/>
        </w:rPr>
        <w:t xml:space="preserve">Nova Friburgo, 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>18</w:t>
      </w:r>
      <w:r>
        <w:rPr>
          <w:rFonts w:cs="Arial" w:ascii="Arial" w:hAnsi="Arial"/>
          <w:color w:val="auto"/>
          <w:szCs w:val="24"/>
          <w:lang w:val="pt-BR"/>
        </w:rPr>
        <w:t xml:space="preserve"> de</w:t>
      </w:r>
      <w:bookmarkStart w:id="2" w:name="__UnoMark__967_2282155213"/>
      <w:bookmarkEnd w:id="2"/>
      <w:r>
        <w:rPr>
          <w:rFonts w:cs="Arial" w:ascii="Arial" w:hAnsi="Arial"/>
          <w:color w:val="auto"/>
          <w:szCs w:val="24"/>
          <w:lang w:val="pt-BR"/>
        </w:rPr>
        <w:t xml:space="preserve"> </w:t>
      </w:r>
      <w:r>
        <w:rPr>
          <w:rFonts w:eastAsia="Calibri" w:cs="Arial" w:ascii="Arial" w:hAnsi="Arial"/>
          <w:color w:val="auto"/>
          <w:kern w:val="0"/>
          <w:sz w:val="24"/>
          <w:szCs w:val="24"/>
          <w:lang w:val="pt-BR" w:eastAsia="en-US" w:bidi="ar-SA"/>
        </w:rPr>
        <w:t>julho</w:t>
      </w:r>
      <w:r>
        <w:rPr>
          <w:rFonts w:cs="Arial" w:ascii="Arial" w:hAnsi="Arial"/>
          <w:color w:val="auto"/>
          <w:szCs w:val="24"/>
          <w:lang w:val="pt-BR"/>
        </w:rPr>
        <w:t xml:space="preserve"> </w:t>
      </w:r>
      <w:r>
        <w:rPr>
          <w:rFonts w:cs="Arial" w:ascii="Arial" w:hAnsi="Arial"/>
          <w:color w:val="auto"/>
          <w:szCs w:val="24"/>
        </w:rPr>
        <w:t>de 2025</w:t>
      </w:r>
      <w:r>
        <w:rPr>
          <w:rFonts w:cs="Arial" w:ascii="Arial" w:hAnsi="Arial"/>
          <w:color w:val="auto"/>
          <w:szCs w:val="24"/>
          <w:lang w:val="pt-BR"/>
        </w:rPr>
        <w:t xml:space="preserve">  </w:t>
      </w:r>
    </w:p>
    <w:p>
      <w:pPr>
        <w:pStyle w:val="Normal"/>
        <w:spacing w:lineRule="auto" w:line="240" w:before="0" w:after="0"/>
        <w:ind w:left="720" w:right="0" w:firstLine="600"/>
        <w:jc w:val="both"/>
        <w:rPr>
          <w:rFonts w:ascii="Arial" w:hAnsi="Arial" w:cs="Arial"/>
          <w:color w:val="auto"/>
          <w:szCs w:val="24"/>
          <w:lang w:val="pt-BR"/>
        </w:rPr>
      </w:pPr>
      <w:r>
        <w:rPr>
          <w:rFonts w:cs="Arial" w:ascii="Arial" w:hAnsi="Arial"/>
          <w:color w:val="auto"/>
          <w:szCs w:val="24"/>
          <w:lang w:val="pt-BR"/>
        </w:rPr>
      </w:r>
    </w:p>
    <w:p>
      <w:pPr>
        <w:pStyle w:val="Normal"/>
        <w:spacing w:lineRule="auto" w:line="240" w:before="0" w:after="0"/>
        <w:ind w:left="720" w:right="0" w:firstLine="450"/>
        <w:jc w:val="both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10">
                <wp:simplePos x="0" y="0"/>
                <wp:positionH relativeFrom="column">
                  <wp:posOffset>2625090</wp:posOffset>
                </wp:positionH>
                <wp:positionV relativeFrom="paragraph">
                  <wp:posOffset>1337310</wp:posOffset>
                </wp:positionV>
                <wp:extent cx="3291205" cy="496570"/>
                <wp:effectExtent l="0" t="0" r="0" b="0"/>
                <wp:wrapNone/>
                <wp:docPr id="1" name="Caixa de Texto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0400" cy="496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48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auto" w:line="240" w:before="0" w:after="0"/>
                              <w:jc w:val="center"/>
                              <w:rPr>
                                <w:rFonts w:ascii="Verdana" w:hAnsi="Verdana" w:cs="Verdana"/>
                                <w:b/>
                                <w:b/>
                                <w:bCs/>
                                <w:color w:val="000000"/>
                                <w:sz w:val="22"/>
                                <w:lang w:val="pt-BR"/>
                              </w:rPr>
                            </w:pPr>
                            <w:r>
                              <w:rPr>
                                <w:rFonts w:cs="Verdana" w:ascii="Verdana" w:hAnsi="Verdana"/>
                                <w:b/>
                                <w:bCs/>
                                <w:color w:val="000000"/>
                                <w:sz w:val="22"/>
                                <w:lang w:val="pt-BR"/>
                              </w:rPr>
                              <w:t xml:space="preserve">Ezequiel Mafort Martins </w:t>
                            </w:r>
                          </w:p>
                          <w:p>
                            <w:pPr>
                              <w:pStyle w:val="Contedodoquadro"/>
                              <w:jc w:val="center"/>
                              <w:rPr/>
                            </w:pP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</w:rPr>
                              <w:t>Matr</w:t>
                            </w: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  <w:lang w:val="pt-BR"/>
                              </w:rPr>
                              <w:t>:062</w:t>
                            </w: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  <w:lang w:val="pt-BR"/>
                              </w:rPr>
                              <w:t>207</w:t>
                            </w:r>
                          </w:p>
                          <w:p>
                            <w:pPr>
                              <w:pStyle w:val="Contedodoquadro"/>
                              <w:spacing w:before="0" w:after="16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aixa de Texto 5" fillcolor="white" stroked="f" style="position:absolute;margin-left:206.7pt;margin-top:105.3pt;width:259.05pt;height:39pt">
                <w10:wrap type="square"/>
                <v:fill o:detectmouseclick="t" type="solid" color2="black"/>
                <v:stroke color="#3465a4" weight="6480" joinstyle="round" endcap="flat"/>
                <v:textbox>
                  <w:txbxContent>
                    <w:p>
                      <w:pPr>
                        <w:pStyle w:val="Contedodoquadro"/>
                        <w:spacing w:lineRule="auto" w:line="240" w:before="0" w:after="0"/>
                        <w:jc w:val="center"/>
                        <w:rPr>
                          <w:rFonts w:ascii="Verdana" w:hAnsi="Verdana" w:cs="Verdana"/>
                          <w:b/>
                          <w:b/>
                          <w:bCs/>
                          <w:color w:val="000000"/>
                          <w:sz w:val="22"/>
                          <w:lang w:val="pt-BR"/>
                        </w:rPr>
                      </w:pPr>
                      <w:r>
                        <w:rPr>
                          <w:rFonts w:cs="Verdana" w:ascii="Verdana" w:hAnsi="Verdana"/>
                          <w:b/>
                          <w:bCs/>
                          <w:color w:val="000000"/>
                          <w:sz w:val="22"/>
                          <w:lang w:val="pt-BR"/>
                        </w:rPr>
                        <w:t xml:space="preserve">Ezequiel Mafort Martins </w:t>
                      </w:r>
                    </w:p>
                    <w:p>
                      <w:pPr>
                        <w:pStyle w:val="Contedodoquadro"/>
                        <w:jc w:val="center"/>
                        <w:rPr/>
                      </w:pPr>
                      <w:r>
                        <w:rPr>
                          <w:rFonts w:cs="Verdana" w:ascii="Verdana" w:hAnsi="Verdana"/>
                          <w:color w:val="000000"/>
                          <w:sz w:val="22"/>
                        </w:rPr>
                        <w:t>Matr</w:t>
                      </w:r>
                      <w:r>
                        <w:rPr>
                          <w:rFonts w:cs="Verdana" w:ascii="Verdana" w:hAnsi="Verdana"/>
                          <w:color w:val="000000"/>
                          <w:sz w:val="22"/>
                          <w:lang w:val="pt-BR"/>
                        </w:rPr>
                        <w:t>:062</w:t>
                      </w:r>
                      <w:r>
                        <w:rPr>
                          <w:rFonts w:cs="Verdana" w:ascii="Verdana" w:hAnsi="Verdana"/>
                          <w:color w:val="000000"/>
                          <w:sz w:val="22"/>
                        </w:rPr>
                        <w:t>.</w:t>
                      </w:r>
                      <w:r>
                        <w:rPr>
                          <w:rFonts w:cs="Verdana" w:ascii="Verdana" w:hAnsi="Verdana"/>
                          <w:color w:val="000000"/>
                          <w:sz w:val="22"/>
                          <w:lang w:val="pt-BR"/>
                        </w:rPr>
                        <w:t>207</w:t>
                      </w:r>
                    </w:p>
                    <w:p>
                      <w:pPr>
                        <w:pStyle w:val="Contedodoquadro"/>
                        <w:spacing w:before="0" w:after="160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1">
                <wp:simplePos x="0" y="0"/>
                <wp:positionH relativeFrom="column">
                  <wp:posOffset>-661035</wp:posOffset>
                </wp:positionH>
                <wp:positionV relativeFrom="paragraph">
                  <wp:posOffset>1280160</wp:posOffset>
                </wp:positionV>
                <wp:extent cx="3291205" cy="496570"/>
                <wp:effectExtent l="0" t="0" r="0" b="0"/>
                <wp:wrapNone/>
                <wp:docPr id="3" name="Caixa de Texto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0400" cy="496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48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jc w:val="center"/>
                              <w:rPr/>
                            </w:pPr>
                            <w:r>
                              <w:rPr>
                                <w:rFonts w:cs="Verdana" w:ascii="Verdana" w:hAnsi="Verdana"/>
                                <w:b/>
                                <w:bCs/>
                                <w:color w:val="000000"/>
                                <w:sz w:val="22"/>
                                <w:lang w:val="pt-BR"/>
                              </w:rPr>
                              <w:t>Pierre Gripp Gibaja</w:t>
                            </w: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  <w:lang w:val="pt-BR"/>
                              </w:rPr>
                              <w:t xml:space="preserve">                     </w:t>
                            </w: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</w:rPr>
                              <w:t>Matr.2</w:t>
                            </w: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  <w:lang w:val="pt-BR"/>
                              </w:rPr>
                              <w:t>99</w:t>
                            </w: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  <w:lang w:val="pt-BR"/>
                              </w:rPr>
                              <w:t>503</w:t>
                            </w:r>
                          </w:p>
                          <w:p>
                            <w:pPr>
                              <w:pStyle w:val="Contedodoquadro"/>
                              <w:spacing w:before="0" w:after="16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aixa de Texto 1" fillcolor="white" stroked="f" style="position:absolute;margin-left:-52.05pt;margin-top:100.8pt;width:259.05pt;height:39pt">
                <w10:wrap type="square"/>
                <v:fill o:detectmouseclick="t" type="solid" color2="black"/>
                <v:stroke color="#3465a4" weight="6480" joinstyle="round" endcap="flat"/>
                <v:textbox>
                  <w:txbxContent>
                    <w:p>
                      <w:pPr>
                        <w:pStyle w:val="Contedodoquadro"/>
                        <w:jc w:val="center"/>
                        <w:rPr/>
                      </w:pPr>
                      <w:r>
                        <w:rPr>
                          <w:rFonts w:cs="Verdana" w:ascii="Verdana" w:hAnsi="Verdana"/>
                          <w:b/>
                          <w:bCs/>
                          <w:color w:val="000000"/>
                          <w:sz w:val="22"/>
                          <w:lang w:val="pt-BR"/>
                        </w:rPr>
                        <w:t>Pierre Gripp Gibaja</w:t>
                      </w:r>
                      <w:r>
                        <w:rPr>
                          <w:rFonts w:cs="Verdana" w:ascii="Verdana" w:hAnsi="Verdana"/>
                          <w:color w:val="000000"/>
                          <w:sz w:val="22"/>
                        </w:rPr>
                        <w:t xml:space="preserve"> </w:t>
                      </w:r>
                      <w:r>
                        <w:rPr>
                          <w:rFonts w:cs="Verdana" w:ascii="Verdana" w:hAnsi="Verdana"/>
                          <w:color w:val="000000"/>
                          <w:sz w:val="22"/>
                          <w:lang w:val="pt-BR"/>
                        </w:rPr>
                        <w:t xml:space="preserve">                     </w:t>
                      </w:r>
                      <w:r>
                        <w:rPr>
                          <w:rFonts w:cs="Verdana" w:ascii="Verdana" w:hAnsi="Verdana"/>
                          <w:color w:val="000000"/>
                          <w:sz w:val="22"/>
                        </w:rPr>
                        <w:t>Matr.2</w:t>
                      </w:r>
                      <w:r>
                        <w:rPr>
                          <w:rFonts w:cs="Verdana" w:ascii="Verdana" w:hAnsi="Verdana"/>
                          <w:color w:val="000000"/>
                          <w:sz w:val="22"/>
                          <w:lang w:val="pt-BR"/>
                        </w:rPr>
                        <w:t>99</w:t>
                      </w:r>
                      <w:r>
                        <w:rPr>
                          <w:rFonts w:cs="Verdana" w:ascii="Verdana" w:hAnsi="Verdana"/>
                          <w:color w:val="000000"/>
                          <w:sz w:val="22"/>
                        </w:rPr>
                        <w:t>.</w:t>
                      </w:r>
                      <w:r>
                        <w:rPr>
                          <w:rFonts w:cs="Verdana" w:ascii="Verdana" w:hAnsi="Verdana"/>
                          <w:color w:val="000000"/>
                          <w:sz w:val="22"/>
                          <w:lang w:val="pt-BR"/>
                        </w:rPr>
                        <w:t>503</w:t>
                      </w:r>
                    </w:p>
                    <w:p>
                      <w:pPr>
                        <w:pStyle w:val="Contedodoquadro"/>
                        <w:spacing w:before="0" w:after="160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2">
                <wp:simplePos x="0" y="0"/>
                <wp:positionH relativeFrom="column">
                  <wp:posOffset>-362585</wp:posOffset>
                </wp:positionH>
                <wp:positionV relativeFrom="paragraph">
                  <wp:posOffset>281940</wp:posOffset>
                </wp:positionV>
                <wp:extent cx="3224530" cy="632460"/>
                <wp:effectExtent l="0" t="0" r="0" b="0"/>
                <wp:wrapNone/>
                <wp:docPr id="5" name="Caixa de Texto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3800" cy="6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48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jc w:val="center"/>
                              <w:rPr>
                                <w:rFonts w:ascii="Verdana" w:hAnsi="Verdana" w:cs="Verdana"/>
                                <w:b/>
                                <w:b/>
                                <w:bCs/>
                                <w:color w:val="000000"/>
                                <w:sz w:val="22"/>
                                <w:lang w:val="pt-BR"/>
                              </w:rPr>
                            </w:pPr>
                            <w:r>
                              <w:rPr>
                                <w:rFonts w:cs="Verdana" w:ascii="Verdana" w:hAnsi="Verdana"/>
                                <w:b/>
                                <w:bCs/>
                                <w:color w:val="000000"/>
                                <w:sz w:val="22"/>
                                <w:lang w:val="pt-BR"/>
                              </w:rPr>
                              <w:t>Fernando Luiz Fernandes</w:t>
                            </w:r>
                          </w:p>
                          <w:p>
                            <w:pPr>
                              <w:pStyle w:val="Contedodoquadro"/>
                              <w:spacing w:before="0" w:after="160"/>
                              <w:jc w:val="center"/>
                              <w:rPr/>
                            </w:pP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</w:rPr>
                              <w:t>Matr</w:t>
                            </w: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  <w:lang w:val="pt-BR"/>
                              </w:rPr>
                              <w:t>:</w:t>
                            </w: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</w:rPr>
                              <w:t>115.</w:t>
                            </w: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  <w:lang w:val="pt-BR"/>
                              </w:rPr>
                              <w:t>347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aixa de Texto 4" fillcolor="white" stroked="f" style="position:absolute;margin-left:-28.55pt;margin-top:22.2pt;width:253.8pt;height:49.7pt">
                <w10:wrap type="square"/>
                <v:fill o:detectmouseclick="t" type="solid" color2="black"/>
                <v:stroke color="#3465a4" weight="6480" joinstyle="round" endcap="flat"/>
                <v:textbox>
                  <w:txbxContent>
                    <w:p>
                      <w:pPr>
                        <w:pStyle w:val="Contedodoquadro"/>
                        <w:jc w:val="center"/>
                        <w:rPr>
                          <w:rFonts w:ascii="Verdana" w:hAnsi="Verdana" w:cs="Verdana"/>
                          <w:b/>
                          <w:b/>
                          <w:bCs/>
                          <w:color w:val="000000"/>
                          <w:sz w:val="22"/>
                          <w:lang w:val="pt-BR"/>
                        </w:rPr>
                      </w:pPr>
                      <w:r>
                        <w:rPr>
                          <w:rFonts w:cs="Verdana" w:ascii="Verdana" w:hAnsi="Verdana"/>
                          <w:b/>
                          <w:bCs/>
                          <w:color w:val="000000"/>
                          <w:sz w:val="22"/>
                          <w:lang w:val="pt-BR"/>
                        </w:rPr>
                        <w:t>Fernando Luiz Fernandes</w:t>
                      </w:r>
                    </w:p>
                    <w:p>
                      <w:pPr>
                        <w:pStyle w:val="Contedodoquadro"/>
                        <w:spacing w:before="0" w:after="160"/>
                        <w:jc w:val="center"/>
                        <w:rPr/>
                      </w:pPr>
                      <w:r>
                        <w:rPr>
                          <w:rFonts w:cs="Verdana" w:ascii="Verdana" w:hAnsi="Verdana"/>
                          <w:color w:val="000000"/>
                          <w:sz w:val="22"/>
                        </w:rPr>
                        <w:t>Matr</w:t>
                      </w:r>
                      <w:r>
                        <w:rPr>
                          <w:rFonts w:cs="Verdana" w:ascii="Verdana" w:hAnsi="Verdana"/>
                          <w:color w:val="000000"/>
                          <w:sz w:val="22"/>
                          <w:lang w:val="pt-BR"/>
                        </w:rPr>
                        <w:t>:</w:t>
                      </w:r>
                      <w:r>
                        <w:rPr>
                          <w:rFonts w:cs="Verdana" w:ascii="Verdana" w:hAnsi="Verdana"/>
                          <w:color w:val="000000"/>
                          <w:sz w:val="22"/>
                        </w:rPr>
                        <w:t>115.</w:t>
                      </w:r>
                      <w:r>
                        <w:rPr>
                          <w:rFonts w:cs="Verdana" w:ascii="Verdana" w:hAnsi="Verdana"/>
                          <w:color w:val="000000"/>
                          <w:sz w:val="22"/>
                          <w:lang w:val="pt-BR"/>
                        </w:rPr>
                        <w:t>347</w:t>
                      </w:r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3">
                <wp:simplePos x="0" y="0"/>
                <wp:positionH relativeFrom="column">
                  <wp:posOffset>2691765</wp:posOffset>
                </wp:positionH>
                <wp:positionV relativeFrom="paragraph">
                  <wp:posOffset>313690</wp:posOffset>
                </wp:positionV>
                <wp:extent cx="3291205" cy="496570"/>
                <wp:effectExtent l="0" t="0" r="0" b="0"/>
                <wp:wrapNone/>
                <wp:docPr id="7" name="Caixa de Texto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0400" cy="496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48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jc w:val="center"/>
                              <w:rPr/>
                            </w:pPr>
                            <w:r>
                              <w:rPr>
                                <w:rFonts w:cs="Verdana" w:ascii="Verdana" w:hAnsi="Verdana"/>
                                <w:b/>
                                <w:bCs/>
                                <w:color w:val="000000"/>
                                <w:sz w:val="22"/>
                              </w:rPr>
                              <w:t>Júlio Cezar Maia Turque</w:t>
                            </w: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  <w:lang w:val="pt-BR"/>
                              </w:rPr>
                              <w:t xml:space="preserve">                     </w:t>
                            </w:r>
                            <w:r>
                              <w:rPr>
                                <w:rFonts w:cs="Verdana" w:ascii="Verdana" w:hAnsi="Verdana"/>
                                <w:color w:val="000000"/>
                                <w:sz w:val="22"/>
                              </w:rPr>
                              <w:t xml:space="preserve">Matr. 207.264  </w:t>
                            </w:r>
                          </w:p>
                          <w:p>
                            <w:pPr>
                              <w:pStyle w:val="Contedodoquadro"/>
                              <w:spacing w:before="0" w:after="16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aixa de Texto 3" fillcolor="white" stroked="f" style="position:absolute;margin-left:211.95pt;margin-top:24.7pt;width:259.05pt;height:39pt">
                <w10:wrap type="square"/>
                <v:fill o:detectmouseclick="t" type="solid" color2="black"/>
                <v:stroke color="#3465a4" weight="6480" joinstyle="round" endcap="flat"/>
                <v:textbox>
                  <w:txbxContent>
                    <w:p>
                      <w:pPr>
                        <w:pStyle w:val="Contedodoquadro"/>
                        <w:jc w:val="center"/>
                        <w:rPr/>
                      </w:pPr>
                      <w:r>
                        <w:rPr>
                          <w:rFonts w:cs="Verdana" w:ascii="Verdana" w:hAnsi="Verdana"/>
                          <w:b/>
                          <w:bCs/>
                          <w:color w:val="000000"/>
                          <w:sz w:val="22"/>
                        </w:rPr>
                        <w:t>Júlio Cezar Maia Turque</w:t>
                      </w:r>
                      <w:r>
                        <w:rPr>
                          <w:rFonts w:cs="Verdana" w:ascii="Verdana" w:hAnsi="Verdana"/>
                          <w:color w:val="000000"/>
                          <w:sz w:val="22"/>
                        </w:rPr>
                        <w:t xml:space="preserve"> </w:t>
                      </w:r>
                      <w:r>
                        <w:rPr>
                          <w:rFonts w:cs="Verdana" w:ascii="Verdana" w:hAnsi="Verdana"/>
                          <w:color w:val="000000"/>
                          <w:sz w:val="22"/>
                          <w:lang w:val="pt-BR"/>
                        </w:rPr>
                        <w:t xml:space="preserve">                     </w:t>
                      </w:r>
                      <w:r>
                        <w:rPr>
                          <w:rFonts w:cs="Verdana" w:ascii="Verdana" w:hAnsi="Verdana"/>
                          <w:color w:val="000000"/>
                          <w:sz w:val="22"/>
                        </w:rPr>
                        <w:t xml:space="preserve">Matr. 207.264  </w:t>
                      </w:r>
                    </w:p>
                    <w:p>
                      <w:pPr>
                        <w:pStyle w:val="Contedodoquadro"/>
                        <w:spacing w:before="0" w:after="160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spacing w:lineRule="auto" w:line="240" w:before="0" w:after="0"/>
        <w:ind w:left="720" w:right="0" w:firstLine="450"/>
        <w:jc w:val="both"/>
        <w:rPr/>
      </w:pPr>
      <w:r>
        <w:rPr/>
      </w:r>
    </w:p>
    <w:p>
      <w:pPr>
        <w:pStyle w:val="Normal"/>
        <w:spacing w:lineRule="auto" w:line="240" w:before="0" w:after="0"/>
        <w:ind w:left="720" w:right="0" w:firstLine="450"/>
        <w:jc w:val="both"/>
        <w:rPr/>
      </w:pPr>
      <w:r>
        <w:rPr/>
      </w:r>
    </w:p>
    <w:p>
      <w:pPr>
        <w:pStyle w:val="Normal"/>
        <w:spacing w:lineRule="auto" w:line="240" w:before="0" w:after="0"/>
        <w:ind w:left="720" w:right="0" w:firstLine="450"/>
        <w:jc w:val="both"/>
        <w:rPr/>
      </w:pPr>
      <w:r>
        <w:rPr/>
      </w:r>
    </w:p>
    <w:p>
      <w:pPr>
        <w:pStyle w:val="Normal"/>
        <w:spacing w:lineRule="auto" w:line="240" w:before="0" w:after="0"/>
        <w:ind w:left="720" w:right="0" w:firstLine="450"/>
        <w:jc w:val="both"/>
        <w:rPr/>
      </w:pPr>
      <w:r>
        <w:rPr/>
      </w:r>
    </w:p>
    <w:p>
      <w:pPr>
        <w:pStyle w:val="Normal"/>
        <w:spacing w:lineRule="auto" w:line="240" w:before="0" w:after="0"/>
        <w:ind w:left="720" w:right="0" w:firstLine="450"/>
        <w:jc w:val="left"/>
        <w:rPr/>
      </w:pPr>
      <w:r>
        <w:rPr/>
        <w:t xml:space="preserve">                                                                                                       </w:t>
      </w:r>
    </w:p>
    <w:sectPr>
      <w:headerReference w:type="default" r:id="rId2"/>
      <w:footerReference w:type="default" r:id="rId3"/>
      <w:type w:val="nextPage"/>
      <w:pgSz w:w="11906" w:h="16838"/>
      <w:pgMar w:left="1703" w:right="1134" w:header="709" w:top="1440" w:footer="709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Arial Black">
    <w:charset w:val="00"/>
    <w:family w:val="roman"/>
    <w:pitch w:val="variable"/>
  </w:font>
  <w:font w:name="SimSun">
    <w:charset w:val="00"/>
    <w:family w:val="roman"/>
    <w:pitch w:val="variable"/>
  </w:font>
  <w:font w:name="Verdana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right"/>
      <w:rPr/>
    </w:pPr>
    <w:r>
      <w:rPr>
        <w:sz w:val="14"/>
        <w:szCs w:val="14"/>
      </w:rPr>
      <w:fldChar w:fldCharType="begin"/>
    </w:r>
    <w:r>
      <w:rPr>
        <w:sz w:val="14"/>
        <w:szCs w:val="14"/>
      </w:rPr>
      <w:instrText> PAGE </w:instrText>
    </w:r>
    <w:r>
      <w:rPr>
        <w:sz w:val="14"/>
        <w:szCs w:val="14"/>
      </w:rPr>
      <w:fldChar w:fldCharType="separate"/>
    </w:r>
    <w:r>
      <w:rPr>
        <w:sz w:val="14"/>
        <w:szCs w:val="14"/>
      </w:rPr>
      <w:t>6</w:t>
    </w:r>
    <w:r>
      <w:rPr>
        <w:sz w:val="14"/>
        <w:szCs w:val="14"/>
      </w:rPr>
      <w:fldChar w:fldCharType="end"/>
    </w:r>
  </w:p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8777" w:type="dxa"/>
      <w:jc w:val="left"/>
      <w:tblInd w:w="0" w:type="dxa"/>
      <w:tblCellMar>
        <w:top w:w="0" w:type="dxa"/>
        <w:left w:w="108" w:type="dxa"/>
        <w:bottom w:w="0" w:type="dxa"/>
        <w:right w:w="108" w:type="dxa"/>
      </w:tblCellMar>
    </w:tblPr>
    <w:tblGrid>
      <w:gridCol w:w="946"/>
      <w:gridCol w:w="7830"/>
    </w:tblGrid>
    <w:tr>
      <w:trPr/>
      <w:tc>
        <w:tcPr>
          <w:tcW w:w="946" w:type="dxa"/>
          <w:tcBorders/>
          <w:shd w:fill="auto" w:val="clear"/>
          <w:vAlign w:val="center"/>
        </w:tcPr>
        <w:p>
          <w:pPr>
            <w:pStyle w:val="Normal"/>
            <w:spacing w:lineRule="auto" w:line="240" w:before="0" w:after="0"/>
            <w:rPr/>
          </w:pPr>
          <w:r>
            <w:rPr/>
            <w:drawing>
              <wp:anchor behindDoc="1" distT="0" distB="0" distL="0" distR="0" simplePos="0" locked="0" layoutInCell="1" allowOverlap="1" relativeHeight="9">
                <wp:simplePos x="0" y="0"/>
                <wp:positionH relativeFrom="column">
                  <wp:posOffset>-20320</wp:posOffset>
                </wp:positionH>
                <wp:positionV relativeFrom="paragraph">
                  <wp:posOffset>-83820</wp:posOffset>
                </wp:positionV>
                <wp:extent cx="400050" cy="487045"/>
                <wp:effectExtent l="0" t="0" r="0" b="0"/>
                <wp:wrapNone/>
                <wp:docPr id="9" name="Imagem 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m 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0050" cy="4870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830" w:type="dxa"/>
          <w:tcBorders/>
          <w:shd w:fill="auto" w:val="clear"/>
          <w:vAlign w:val="center"/>
        </w:tcPr>
        <w:p>
          <w:pPr>
            <w:pStyle w:val="Normal"/>
            <w:spacing w:lineRule="auto" w:line="240" w:before="0" w:after="0"/>
            <w:rPr>
              <w:rFonts w:ascii="Arial" w:hAnsi="Arial" w:cs="Arial"/>
              <w:sz w:val="21"/>
              <w:szCs w:val="32"/>
            </w:rPr>
          </w:pPr>
          <w:r>
            <w:rPr>
              <w:rFonts w:cs="Arial" w:ascii="Arial" w:hAnsi="Arial"/>
              <w:sz w:val="21"/>
              <w:szCs w:val="32"/>
            </w:rPr>
            <w:t>Estado do Rio de Janeiro</w:t>
          </w:r>
        </w:p>
        <w:p>
          <w:pPr>
            <w:pStyle w:val="Normal"/>
            <w:spacing w:lineRule="auto" w:line="240" w:before="0" w:after="0"/>
            <w:rPr>
              <w:rFonts w:ascii="Arial" w:hAnsi="Arial" w:cs="Arial"/>
              <w:b/>
              <w:b/>
              <w:sz w:val="21"/>
              <w:szCs w:val="32"/>
            </w:rPr>
          </w:pPr>
          <w:r>
            <w:rPr>
              <w:rFonts w:cs="Arial" w:ascii="Arial" w:hAnsi="Arial"/>
              <w:b/>
              <w:sz w:val="21"/>
              <w:szCs w:val="32"/>
            </w:rPr>
            <w:t>PREFEITURA MUNICIPAL DE NOVA FRIBURGO</w:t>
          </w:r>
        </w:p>
        <w:p>
          <w:pPr>
            <w:pStyle w:val="Normal"/>
            <w:spacing w:lineRule="auto" w:line="240" w:before="0" w:after="0"/>
            <w:rPr/>
          </w:pPr>
          <w:r>
            <w:rPr>
              <w:rFonts w:cs="Arial" w:ascii="Arial" w:hAnsi="Arial"/>
              <w:bCs/>
              <w:sz w:val="21"/>
              <w:szCs w:val="32"/>
            </w:rPr>
            <w:t xml:space="preserve">CTAA- Comissão Técnica de Acompanhamento e Avaliação- UPA    </w:t>
          </w:r>
          <w:r>
            <w:rPr>
              <w:rFonts w:cs="Arial" w:ascii="Arial" w:hAnsi="Arial"/>
              <w:b/>
              <w:sz w:val="21"/>
              <w:szCs w:val="32"/>
            </w:rPr>
            <w:t xml:space="preserve">                                                                         </w:t>
          </w:r>
        </w:p>
      </w:tc>
    </w:tr>
  </w:tbl>
  <w:p>
    <w:pPr>
      <w:pStyle w:val="Cabealho"/>
      <w:pBdr>
        <w:bottom w:val="single" w:sz="4" w:space="0" w:color="000000"/>
      </w:pBdr>
      <w:rPr>
        <w:sz w:val="10"/>
        <w:szCs w:val="10"/>
      </w:rPr>
    </w:pPr>
    <w:r>
      <w:rPr>
        <w:sz w:val="10"/>
        <w:szCs w:val="1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suff w:val="space"/>
      <w:lvlText w:val="%1)"/>
      <w:lvlJc w:val="left"/>
      <w:pPr>
        <w:ind w:left="0" w:hanging="0"/>
      </w:pPr>
    </w:lvl>
    <w:lvl w:ilvl="1">
      <w:start w:val="1"/>
      <w:numFmt w:val="decimal"/>
      <w:suff w:val="space"/>
      <w:lvlText w:val="%1.%2)"/>
      <w:lvlJc w:val="left"/>
      <w:pPr>
        <w:ind w:left="0" w:hanging="0"/>
      </w:pPr>
    </w:lvl>
    <w:lvl w:ilvl="2">
      <w:start w:val="1"/>
      <w:numFmt w:val="decimal"/>
      <w:suff w:val="space"/>
      <w:lvlText w:val="%1.%2.%3)"/>
      <w:lvlJc w:val="left"/>
      <w:pPr>
        <w:ind w:left="0" w:hanging="0"/>
      </w:pPr>
    </w:lvl>
    <w:lvl w:ilvl="3">
      <w:start w:val="1"/>
      <w:numFmt w:val="decimal"/>
      <w:suff w:val="space"/>
      <w:lvlText w:val="%1.%2.%3.%4)"/>
      <w:lvlJc w:val="left"/>
      <w:pPr>
        <w:ind w:left="0" w:hanging="0"/>
      </w:pPr>
    </w:lvl>
    <w:lvl w:ilvl="4">
      <w:start w:val="1"/>
      <w:numFmt w:val="decimal"/>
      <w:suff w:val="space"/>
      <w:lvlText w:val="%1.%2.%3.%4.%5)"/>
      <w:lvlJc w:val="left"/>
      <w:pPr>
        <w:ind w:left="0" w:hanging="0"/>
      </w:pPr>
    </w:lvl>
    <w:lvl w:ilvl="5">
      <w:start w:val="1"/>
      <w:numFmt w:val="decimal"/>
      <w:suff w:val="space"/>
      <w:lvlText w:val="%1.%2.%3.%4.%5.%6)"/>
      <w:lvlJc w:val="left"/>
      <w:pPr>
        <w:ind w:left="0" w:hanging="0"/>
      </w:pPr>
    </w:lvl>
    <w:lvl w:ilvl="6">
      <w:start w:val="1"/>
      <w:numFmt w:val="decimal"/>
      <w:suff w:val="space"/>
      <w:lvlText w:val="%1.%2.%3.%4.%5.%6.%7)"/>
      <w:lvlJc w:val="left"/>
      <w:pPr>
        <w:ind w:left="0" w:hanging="0"/>
      </w:pPr>
    </w:lvl>
    <w:lvl w:ilvl="7">
      <w:start w:val="1"/>
      <w:numFmt w:val="decimal"/>
      <w:suff w:val="space"/>
      <w:lvlText w:val="%1.%2.%3.%4.%5.%6.%7.%8)"/>
      <w:lvlJc w:val="left"/>
      <w:pPr>
        <w:ind w:left="0" w:hanging="0"/>
      </w:pPr>
    </w:lvl>
    <w:lvl w:ilvl="8">
      <w:start w:val="1"/>
      <w:numFmt w:val="decimal"/>
      <w:suff w:val="space"/>
      <w:lvlText w:val="%1.%2.%3.%4.%5.%6.%7.%8.%9)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ind w:left="1060" w:hanging="360"/>
      </w:pPr>
      <w:rPr>
        <w:b/>
        <w:bCs w:val="false"/>
        <w:rFonts w:ascii="Arial" w:hAnsi="Arial"/>
      </w:rPr>
    </w:lvl>
    <w:lvl w:ilvl="1">
      <w:start w:val="1"/>
      <w:numFmt w:val="lowerLetter"/>
      <w:lvlText w:val="%2."/>
      <w:lvlJc w:val="left"/>
      <w:pPr>
        <w:ind w:left="1780" w:hanging="360"/>
      </w:pPr>
    </w:lvl>
    <w:lvl w:ilvl="2">
      <w:start w:val="1"/>
      <w:numFmt w:val="lowerRoman"/>
      <w:lvlText w:val="%3."/>
      <w:lvlJc w:val="right"/>
      <w:pPr>
        <w:ind w:left="2500" w:hanging="180"/>
      </w:pPr>
    </w:lvl>
    <w:lvl w:ilvl="3">
      <w:start w:val="1"/>
      <w:numFmt w:val="decimal"/>
      <w:lvlText w:val="%4."/>
      <w:lvlJc w:val="left"/>
      <w:pPr>
        <w:ind w:left="3220" w:hanging="360"/>
      </w:pPr>
    </w:lvl>
    <w:lvl w:ilvl="4">
      <w:start w:val="1"/>
      <w:numFmt w:val="lowerLetter"/>
      <w:lvlText w:val="%5."/>
      <w:lvlJc w:val="left"/>
      <w:pPr>
        <w:ind w:left="3940" w:hanging="360"/>
      </w:pPr>
    </w:lvl>
    <w:lvl w:ilvl="5">
      <w:start w:val="1"/>
      <w:numFmt w:val="lowerRoman"/>
      <w:lvlText w:val="%6."/>
      <w:lvlJc w:val="right"/>
      <w:pPr>
        <w:ind w:left="4660" w:hanging="180"/>
      </w:pPr>
    </w:lvl>
    <w:lvl w:ilvl="6">
      <w:start w:val="1"/>
      <w:numFmt w:val="decimal"/>
      <w:lvlText w:val="%7."/>
      <w:lvlJc w:val="left"/>
      <w:pPr>
        <w:ind w:left="5380" w:hanging="360"/>
      </w:pPr>
    </w:lvl>
    <w:lvl w:ilvl="7">
      <w:start w:val="1"/>
      <w:numFmt w:val="lowerLetter"/>
      <w:lvlText w:val="%8."/>
      <w:lvlJc w:val="left"/>
      <w:pPr>
        <w:ind w:left="6100" w:hanging="360"/>
      </w:pPr>
    </w:lvl>
    <w:lvl w:ilvl="8">
      <w:start w:val="1"/>
      <w:numFmt w:val="lowerRoman"/>
      <w:lvlText w:val="%9."/>
      <w:lvlJc w:val="right"/>
      <w:pPr>
        <w:ind w:left="6820" w:hanging="180"/>
      </w:pPr>
    </w:lvl>
  </w:abstractNum>
  <w:abstractNum w:abstractNumId="3">
    <w:lvl w:ilvl="0">
      <w:start w:val="1"/>
      <w:numFmt w:val="upperRoman"/>
      <w:suff w:val="space"/>
      <w:lvlText w:val="(%1)"/>
      <w:lvlJc w:val="left"/>
      <w:pPr>
        <w:ind w:left="-120" w:hanging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40"/>
  <w:defaultTabStop w:val="720"/>
  <w:compat>
    <w:doNotExpandShiftReturn/>
  </w:compat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Times New Roman"/>
        <w:sz w:val="20"/>
        <w:lang w:val="pt-BR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overflowPunct w:val="false"/>
      <w:bidi w:val="0"/>
      <w:spacing w:lineRule="auto" w:line="259" w:before="0" w:after="160"/>
      <w:jc w:val="left"/>
    </w:pPr>
    <w:rPr>
      <w:rFonts w:ascii="Calibri" w:hAnsi="Calibri" w:eastAsia="Calibri" w:cs="Times New Roman"/>
      <w:color w:val="auto"/>
      <w:kern w:val="0"/>
      <w:sz w:val="24"/>
      <w:szCs w:val="22"/>
      <w:lang w:val="pt-BR" w:eastAsia="en-US" w:bidi="ar-SA"/>
    </w:rPr>
  </w:style>
  <w:style w:type="character" w:styleId="DefaultParagraphFont">
    <w:name w:val="Default Paragraph Font"/>
    <w:qFormat/>
    <w:rPr/>
  </w:style>
  <w:style w:type="character" w:styleId="LinkdaInternet">
    <w:name w:val="Link da Internet"/>
    <w:basedOn w:val="DefaultParagraphFont"/>
    <w:rPr>
      <w:color w:val="0563C1"/>
      <w:u w:val="single"/>
    </w:rPr>
  </w:style>
  <w:style w:type="character" w:styleId="TextodebaloChar">
    <w:name w:val="Texto de balão Char"/>
    <w:basedOn w:val="DefaultParagraphFont"/>
    <w:qFormat/>
    <w:rPr>
      <w:rFonts w:ascii="Segoe UI" w:hAnsi="Segoe UI" w:cs="Segoe UI"/>
      <w:sz w:val="18"/>
      <w:szCs w:val="18"/>
    </w:rPr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Smbolosdenumerao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Annotationtext">
    <w:name w:val="annotation text"/>
    <w:basedOn w:val="Normal"/>
    <w:qFormat/>
    <w:pPr>
      <w:jc w:val="left"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720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720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qFormat/>
    <w:pPr>
      <w:spacing w:before="0" w:after="160"/>
      <w:ind w:left="720" w:right="0" w:hanging="0"/>
      <w:contextualSpacing/>
    </w:pPr>
    <w:rPr/>
  </w:style>
  <w:style w:type="paragraph" w:styleId="Ttulo31">
    <w:name w:val="Título 31"/>
    <w:basedOn w:val="Normal"/>
    <w:next w:val="Normal"/>
    <w:autoRedefine/>
    <w:qFormat/>
    <w:pPr>
      <w:keepNext w:val="true"/>
      <w:ind w:left="851" w:right="0" w:hanging="0"/>
      <w:outlineLvl w:val="2"/>
    </w:pPr>
    <w:rPr>
      <w:rFonts w:ascii="Arial" w:hAnsi="Arial" w:eastAsia="Arial Unicode MS"/>
      <w:szCs w:val="20"/>
    </w:rPr>
  </w:style>
  <w:style w:type="paragraph" w:styleId="Cabealho1">
    <w:name w:val="Cabeçalho1"/>
    <w:basedOn w:val="Normal"/>
    <w:autoRedefine/>
    <w:qFormat/>
    <w:pPr>
      <w:tabs>
        <w:tab w:val="clear" w:pos="720"/>
        <w:tab w:val="center" w:pos="4419" w:leader="none"/>
        <w:tab w:val="right" w:pos="8838" w:leader="none"/>
      </w:tabs>
    </w:pPr>
    <w:rPr>
      <w:sz w:val="20"/>
      <w:szCs w:val="20"/>
    </w:rPr>
  </w:style>
  <w:style w:type="paragraph" w:styleId="Rodap1">
    <w:name w:val="Rodapé1"/>
    <w:basedOn w:val="Normal"/>
    <w:autoRedefine/>
    <w:qFormat/>
    <w:pPr>
      <w:tabs>
        <w:tab w:val="clear" w:pos="720"/>
        <w:tab w:val="center" w:pos="4419" w:leader="none"/>
        <w:tab w:val="right" w:pos="8838" w:leader="none"/>
      </w:tabs>
    </w:pPr>
    <w:rPr/>
  </w:style>
  <w:style w:type="paragraph" w:styleId="Style15">
    <w:name w:val="Style 15"/>
    <w:basedOn w:val="Normal"/>
    <w:autoRedefine/>
    <w:qFormat/>
    <w:pPr>
      <w:spacing w:lineRule="auto" w:line="360" w:before="324" w:after="0"/>
      <w:ind w:left="504" w:right="1008" w:hanging="432"/>
      <w:jc w:val="both"/>
    </w:pPr>
    <w:rPr>
      <w:rFonts w:ascii="Arial" w:hAnsi="Arial" w:cs="Arial"/>
      <w:sz w:val="22"/>
    </w:rPr>
  </w:style>
  <w:style w:type="paragraph" w:styleId="Contedodoquadro">
    <w:name w:val="Conteúdo do quadro"/>
    <w:basedOn w:val="Normal"/>
    <w:qFormat/>
    <w:pPr/>
    <w:rPr/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2457</TotalTime>
  <Application>LibreOffice/6.3.0.4$Windows_X86_64 LibreOffice_project/057fc023c990d676a43019934386b85b21a9ee99</Application>
  <Pages>8</Pages>
  <Words>1858</Words>
  <Characters>10678</Characters>
  <CharactersWithSpaces>13552</CharactersWithSpaces>
  <Paragraphs>212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2020-09-09T01:08:00Z</dcterms:created>
  <dc:creator>Alexandre Ricarte</dc:creator>
  <dc:description/>
  <dc:language>pt-BR</dc:language>
  <cp:lastModifiedBy/>
  <cp:lastPrinted>2025-08-18T15:06:40Z</cp:lastPrinted>
  <dcterms:modified xsi:type="dcterms:W3CDTF">2025-08-18T15:14:29Z</dcterms:modified>
  <cp:revision>163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ICV">
    <vt:lpwstr>F9DEC63A162D44A2A59E010EED58CEAB_13</vt:lpwstr>
  </property>
  <property fmtid="{D5CDD505-2E9C-101B-9397-08002B2CF9AE}" pid="4" name="KSOProductBuildVer">
    <vt:lpwstr>1046-12.2.0.18165</vt:lpwstr>
  </property>
  <property fmtid="{D5CDD505-2E9C-101B-9397-08002B2CF9AE}" pid="5" name="LinksUpToDate">
    <vt:bool>0</vt:bool>
  </property>
  <property fmtid="{D5CDD505-2E9C-101B-9397-08002B2CF9AE}" pid="6" name="ScaleCrop">
    <vt:bool>0</vt:bool>
  </property>
</Properties>
</file>