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DB363">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ERRATA </w:t>
      </w:r>
      <w:r>
        <w:rPr>
          <w:rFonts w:hint="default" w:ascii="Times New Roman" w:hAnsi="Times New Roman" w:cs="Times New Roman"/>
          <w:b/>
          <w:bCs/>
          <w:sz w:val="24"/>
          <w:szCs w:val="24"/>
          <w:lang w:val="pt-BR"/>
        </w:rPr>
        <w:t xml:space="preserve"> </w:t>
      </w:r>
      <w:r>
        <w:rPr>
          <w:rFonts w:ascii="Times New Roman" w:hAnsi="Times New Roman" w:cs="Times New Roman"/>
          <w:b/>
          <w:bCs/>
          <w:sz w:val="24"/>
          <w:szCs w:val="24"/>
        </w:rPr>
        <w:t>AO EDITAL DE CONCORRÊNCIA PÚBLICA Nº 90.001/2024 – PRESENCIAL</w:t>
      </w:r>
    </w:p>
    <w:p w14:paraId="4353E3B0">
      <w:pPr>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O Poder Concedente torna público, para conhecimento dos interessados, que foram promovidas as seguintes correções e complementações no </w:t>
      </w:r>
      <w:r>
        <w:rPr>
          <w:rFonts w:ascii="Times New Roman" w:hAnsi="Times New Roman" w:cs="Times New Roman"/>
          <w:b/>
          <w:bCs/>
          <w:sz w:val="24"/>
          <w:szCs w:val="24"/>
        </w:rPr>
        <w:t>Edital de Concorrência Pública nº 90.001/2024 – Presencial</w:t>
      </w:r>
      <w:r>
        <w:rPr>
          <w:rFonts w:ascii="Times New Roman" w:hAnsi="Times New Roman" w:cs="Times New Roman"/>
          <w:sz w:val="24"/>
          <w:szCs w:val="24"/>
        </w:rPr>
        <w:t xml:space="preserve">, referente ao </w:t>
      </w:r>
      <w:r>
        <w:rPr>
          <w:rFonts w:ascii="Times New Roman" w:hAnsi="Times New Roman" w:cs="Times New Roman"/>
          <w:b/>
          <w:bCs/>
          <w:sz w:val="24"/>
          <w:szCs w:val="24"/>
        </w:rPr>
        <w:t>Processo Licitatório nº 28.613/2023</w:t>
      </w:r>
      <w:r>
        <w:rPr>
          <w:rFonts w:ascii="Times New Roman" w:hAnsi="Times New Roman" w:cs="Times New Roman"/>
          <w:sz w:val="24"/>
          <w:szCs w:val="24"/>
        </w:rPr>
        <w:t>, relativas à Concessão Administrativa para prestação dos serviços de manejo e destinação final de resíduos sólidos urbanos, visando sanar inconsistências, atualizar informações e adequar disposições em conformidade com as recomendações constantes do Acórdão TCE/RJ nº 030.341/2025-PLEN.</w:t>
      </w:r>
    </w:p>
    <w:p w14:paraId="0452BEA4">
      <w:pPr>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Foram implementadas as seguintes alterações:</w:t>
      </w:r>
    </w:p>
    <w:p w14:paraId="711B227D">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Documentos disponibilizados</w:t>
      </w:r>
      <w:r>
        <w:rPr>
          <w:rFonts w:ascii="Times New Roman" w:hAnsi="Times New Roman" w:cs="Times New Roman"/>
          <w:sz w:val="24"/>
          <w:szCs w:val="24"/>
        </w:rPr>
        <w:t>: Determinou-se a inclusão, no processo administrativo, no Portal da Transparência e no PNCP, do Anexo V – “Plano de Negócios Referencial” e da Nota Técnica – Plano de Negócios (NT) apresentada ao TCE, contendo justificativas de custos, tributos, investimentos e fundamentos metodológicos do WACC e da estrutura de capital, bem como as planilhas eletrônicas do fluxo de caixa e Demonstração de Resultados (DRE), em formato Excel, que substituem e complementam os documentos anteriormente disponibilizados.</w:t>
      </w:r>
    </w:p>
    <w:p w14:paraId="5FA41C0E">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Cronograma detalhado</w:t>
      </w:r>
      <w:r>
        <w:rPr>
          <w:rFonts w:ascii="Times New Roman" w:hAnsi="Times New Roman" w:cs="Times New Roman"/>
          <w:sz w:val="24"/>
          <w:szCs w:val="24"/>
        </w:rPr>
        <w:t>: Passa a ser disponibilizado o cronograma completo do contrato, com períodos mensais ou anuais de execução de cada etapa, discriminação de rubricas de investimento (aterro, galpão de triagem, caminhões, PEVs, entre outros) e os valores por rubrica e período, em formato Excel, em cumprimento às recomendações do TCE.</w:t>
      </w:r>
    </w:p>
    <w:p w14:paraId="35D525BF">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Valor global do contrato</w:t>
      </w:r>
      <w:r>
        <w:rPr>
          <w:rFonts w:ascii="Times New Roman" w:hAnsi="Times New Roman" w:cs="Times New Roman"/>
          <w:sz w:val="24"/>
          <w:szCs w:val="24"/>
        </w:rPr>
        <w:t>: Foi retificada a seção “Prazo, Eficácia e Valor do Contrato”, para estabelecer que o valor global estimado corresponde ao somatório da contraprestação máxima devida pelo Poder Concedente, sem considerar impacto inflacionário, no montante de R$ 1.642.800.000,00 (um bilhão, seiscentos e quarenta e dois milhões e oitocentos mil reais), substituindo o valor anteriormente indicado (R$ 1.131.334.423,99), conforme determinado pelo TCE e disposto no Anexo V – “Plano de Negócios Referencial”, Tabela 25 e Quadro 1.</w:t>
      </w:r>
      <w:bookmarkStart w:id="0" w:name="_GoBack"/>
      <w:bookmarkEnd w:id="0"/>
    </w:p>
    <w:p w14:paraId="4D15D000">
      <w:pPr>
        <w:spacing w:line="360" w:lineRule="auto"/>
        <w:ind w:firstLine="567"/>
        <w:jc w:val="both"/>
        <w:rPr>
          <w:rFonts w:ascii="Times New Roman" w:hAnsi="Times New Roman" w:cs="Times New Roman"/>
          <w:sz w:val="24"/>
          <w:szCs w:val="24"/>
        </w:rPr>
      </w:pPr>
    </w:p>
    <w:p w14:paraId="28F780AF">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Comprovação de capacidade técnica</w:t>
      </w:r>
      <w:r>
        <w:rPr>
          <w:rFonts w:ascii="Times New Roman" w:hAnsi="Times New Roman" w:cs="Times New Roman"/>
          <w:sz w:val="24"/>
          <w:szCs w:val="24"/>
        </w:rPr>
        <w:t>: Passa a ser admitida a utilização de atestados emitidos em nome de empresa subcontratada, desde que a parcela do objeto subcontratada não ultrapasse 25% (vinte e cinco por cento) do objeto licitado. A utilização de atestados de uma mesma subcontratada por mais de uma licitante será permitida, não constituindo exclusividade nem invalidade, desde que respeitado o limite de subcontratação, conforme inclusão promovida no item de habilitação técnica do edital, em atendimento ao Acórdão TCE/RJ.</w:t>
      </w:r>
    </w:p>
    <w:p w14:paraId="3A1077C4">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Alterações na matriz de riscos</w:t>
      </w:r>
      <w:r>
        <w:rPr>
          <w:rFonts w:ascii="Times New Roman" w:hAnsi="Times New Roman" w:cs="Times New Roman"/>
          <w:sz w:val="24"/>
          <w:szCs w:val="24"/>
        </w:rPr>
        <w:t>:</w:t>
      </w:r>
    </w:p>
    <w:p w14:paraId="24CF6AE7">
      <w:pPr>
        <w:pStyle w:val="31"/>
        <w:numPr>
          <w:ilvl w:val="0"/>
          <w:numId w:val="2"/>
        </w:numPr>
        <w:spacing w:line="360" w:lineRule="auto"/>
        <w:ind w:left="1985"/>
        <w:jc w:val="both"/>
        <w:rPr>
          <w:rFonts w:ascii="Times New Roman" w:hAnsi="Times New Roman" w:cs="Times New Roman"/>
          <w:sz w:val="24"/>
          <w:szCs w:val="24"/>
        </w:rPr>
      </w:pPr>
      <w:r>
        <w:rPr>
          <w:rFonts w:ascii="Times New Roman" w:hAnsi="Times New Roman" w:cs="Times New Roman"/>
          <w:sz w:val="24"/>
          <w:szCs w:val="24"/>
        </w:rPr>
        <w:t>O Risco 54 passa a ter a seguinte redação: “Término do prazo contratual sem amortização integral de investimentos realizados sem autorização prévia do Poder Concedente ou sem previsão contratual expressa.”</w:t>
      </w:r>
    </w:p>
    <w:p w14:paraId="230951DA">
      <w:pPr>
        <w:pStyle w:val="31"/>
        <w:numPr>
          <w:ilvl w:val="0"/>
          <w:numId w:val="2"/>
        </w:numPr>
        <w:spacing w:line="360" w:lineRule="auto"/>
        <w:ind w:left="1985"/>
        <w:jc w:val="both"/>
        <w:rPr>
          <w:rFonts w:ascii="Times New Roman" w:hAnsi="Times New Roman" w:cs="Times New Roman"/>
          <w:sz w:val="24"/>
          <w:szCs w:val="24"/>
        </w:rPr>
      </w:pPr>
      <w:r>
        <w:rPr>
          <w:rFonts w:ascii="Times New Roman" w:hAnsi="Times New Roman" w:cs="Times New Roman"/>
          <w:sz w:val="24"/>
          <w:szCs w:val="24"/>
        </w:rPr>
        <w:t>O Risco 16 passa a ter a seguinte redação: “Criação, alteração ou extinção de tributos (inclusive eventual taxa de regulação e fiscalização dos serviços) ou encargos legais, exceto os impostos sobre a renda, após a data de apresentação da proposta comercial.”</w:t>
      </w:r>
    </w:p>
    <w:p w14:paraId="0B9BD5AA">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Regras para o Verificador Independente (VI)</w:t>
      </w:r>
      <w:r>
        <w:rPr>
          <w:rFonts w:ascii="Times New Roman" w:hAnsi="Times New Roman" w:cs="Times New Roman"/>
          <w:sz w:val="24"/>
          <w:szCs w:val="24"/>
        </w:rPr>
        <w:t>: O contrato passa a prever disposições específicas, incluindo: prazo máximo de atuação, vedação à recontratação para período subsequente, submissão de pedido de rescisão contratual do VI à manifestação prévia do Poder Concedente, sanções em caso de fraude ou conluio (solidárias à concessionária, sem prejuízo de responsabilidades cíveis e penais), validação obrigatória de documentos e análises pelo Poder Concedente, responsabilidade solidária após validação, ampla divulgação de relatórios e documentos em sítio eletrônico e apresentação da minuta do contrato com o VI, junto à lista tríplice, para aprovação prévia do Poder Concedente.</w:t>
      </w:r>
    </w:p>
    <w:p w14:paraId="3831BA7A">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Regulação e fiscalização</w:t>
      </w:r>
      <w:r>
        <w:rPr>
          <w:rFonts w:ascii="Times New Roman" w:hAnsi="Times New Roman" w:cs="Times New Roman"/>
          <w:sz w:val="24"/>
          <w:szCs w:val="24"/>
        </w:rPr>
        <w:t>: Incluiu-se cláusula expressa prevendo que a regulação e fiscalização dos serviços será exercida por entidade a ser indicada ou definida em conformidade com o §5º do art. 8º, inciso II do art. 9º e inciso III do art. 11, bem como os arts. 21, I, 22 e 23 da Lei Federal nº 11.445/2007, observadas as diretrizes e prazos das Resoluções ANA nº 187/2024 e nº 177/2024.</w:t>
      </w:r>
    </w:p>
    <w:p w14:paraId="2EFC63E1">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Índice de Qualidade dos Serviços (IQS)</w:t>
      </w:r>
      <w:r>
        <w:rPr>
          <w:rFonts w:ascii="Times New Roman" w:hAnsi="Times New Roman" w:cs="Times New Roman"/>
          <w:sz w:val="24"/>
          <w:szCs w:val="24"/>
        </w:rPr>
        <w:t>: Foi inserida cláusula estabelecendo que o IQS terá pontuação máxima de 40 pontos, com base nos seguintes indicadores do PMGIRS: ICMT (Coleta Manual e Transporte), ICRM (Coleta Regular Mecanizada), IMHC (Manutenção e Higienização de Contêineres), IQA (Qualidade de Aterro), IAM (Atendimento ao Munícipe), IPS (Pesquisa de Satisfação), IMRO (Redução de Resíduos Orgânicos destinados ao Aterro), IMRS (Redução de Resíduos Secos destinados ao Aterro) e IPEA (Atendimento ao Programa de Educação Ambiental). O Verificador Independente deverá, no prazo máximo de seis meses da emissão da Ordem de Serviço Parcial, detalhar os parâmetros e metodologias de aferição, vedada a criação de novos indicadores ou alteração de metas e pesos já definidos.</w:t>
      </w:r>
    </w:p>
    <w:p w14:paraId="793C39CC">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Metodologia da contraprestação</w:t>
      </w:r>
      <w:r>
        <w:rPr>
          <w:rFonts w:ascii="Times New Roman" w:hAnsi="Times New Roman" w:cs="Times New Roman"/>
          <w:sz w:val="24"/>
          <w:szCs w:val="24"/>
        </w:rPr>
        <w:t>: Foi substituída a sistemática linear anteriormente prevista pela metodologia de faixas não lineares (NAM), com descontos e percentuais definidos nos Anexos I (subitem “e”) e II (item 5) do edital.</w:t>
      </w:r>
    </w:p>
    <w:p w14:paraId="205B09C6">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Estrutura de capital de referência</w:t>
      </w:r>
      <w:r>
        <w:rPr>
          <w:rFonts w:ascii="Times New Roman" w:hAnsi="Times New Roman" w:cs="Times New Roman"/>
          <w:sz w:val="24"/>
          <w:szCs w:val="24"/>
        </w:rPr>
        <w:t>: Foi esclarecido que, para efeitos de modelagem econômico-financeira, considera-se estrutura de capital composta por 70% de capital de terceiros (Kd) e 30% de capital próprio (Ke), em alinhamento com benchmarks de mercado.</w:t>
      </w:r>
    </w:p>
    <w:p w14:paraId="49462795">
      <w:pPr>
        <w:numPr>
          <w:ilvl w:val="0"/>
          <w:numId w:val="1"/>
        </w:numPr>
        <w:tabs>
          <w:tab w:val="left" w:pos="851"/>
          <w:tab w:val="clear" w:pos="720"/>
        </w:tabs>
        <w:spacing w:line="360" w:lineRule="auto"/>
        <w:ind w:left="1276"/>
        <w:jc w:val="both"/>
        <w:rPr>
          <w:rFonts w:ascii="Times New Roman" w:hAnsi="Times New Roman" w:cs="Times New Roman"/>
          <w:sz w:val="24"/>
          <w:szCs w:val="24"/>
        </w:rPr>
      </w:pPr>
      <w:r>
        <w:rPr>
          <w:rFonts w:ascii="Times New Roman" w:hAnsi="Times New Roman" w:cs="Times New Roman"/>
          <w:b/>
          <w:bCs/>
          <w:sz w:val="24"/>
          <w:szCs w:val="24"/>
        </w:rPr>
        <w:t>Revisão estrutural do contrato e minuta contratual</w:t>
      </w:r>
      <w:r>
        <w:rPr>
          <w:rFonts w:ascii="Times New Roman" w:hAnsi="Times New Roman" w:cs="Times New Roman"/>
          <w:sz w:val="24"/>
          <w:szCs w:val="24"/>
        </w:rPr>
        <w:t>: Em cumprimento ao item 8.5 do Acórdão TCE/RJ nº 030.341/2025-PLEN, o contrato e a minuta contratual foram revisados para garantir organização, coerência e compatibilidade com todas as alterações acima, preservando a consistência formal e jurídica do instrumento.</w:t>
      </w:r>
    </w:p>
    <w:p w14:paraId="76A062DE">
      <w:pPr>
        <w:spacing w:line="360" w:lineRule="auto"/>
        <w:jc w:val="both"/>
        <w:rPr>
          <w:rFonts w:ascii="Times New Roman" w:hAnsi="Times New Roman" w:cs="Times New Roman"/>
          <w:sz w:val="24"/>
          <w:szCs w:val="24"/>
        </w:rPr>
      </w:pPr>
      <w:r>
        <w:rPr>
          <w:rFonts w:ascii="Times New Roman" w:hAnsi="Times New Roman" w:cs="Times New Roman"/>
          <w:sz w:val="24"/>
          <w:szCs w:val="24"/>
        </w:rPr>
        <w:t>A presente Errata passa a integrar o Edital e seus Anexos para todos os fins legais, devendo ser publicada no Portal da Transparência, PNCP e Diário Oficial.</w:t>
      </w:r>
    </w:p>
    <w:p w14:paraId="4C451969">
      <w:pPr>
        <w:spacing w:line="240" w:lineRule="auto"/>
        <w:jc w:val="center"/>
        <w:rPr>
          <w:rFonts w:ascii="Times New Roman" w:hAnsi="Times New Roman" w:cs="Times New Roman"/>
          <w:sz w:val="24"/>
          <w:szCs w:val="24"/>
        </w:rPr>
      </w:pPr>
    </w:p>
    <w:p w14:paraId="313507C0">
      <w:pPr>
        <w:keepNext/>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Nova Friburgo </w:t>
      </w:r>
      <w:r>
        <w:rPr>
          <w:rFonts w:ascii="Times New Roman" w:hAnsi="Times New Roman" w:cs="Times New Roman"/>
          <w:sz w:val="24"/>
          <w:szCs w:val="24"/>
          <w:highlight w:val="yellow"/>
        </w:rPr>
        <w:t>___</w:t>
      </w:r>
      <w:r>
        <w:rPr>
          <w:rFonts w:ascii="Times New Roman" w:hAnsi="Times New Roman" w:cs="Times New Roman"/>
          <w:sz w:val="24"/>
          <w:szCs w:val="24"/>
        </w:rPr>
        <w:t xml:space="preserve"> de julho de 2025</w:t>
      </w:r>
    </w:p>
    <w:p w14:paraId="3CCADBC6">
      <w:pPr>
        <w:keepNext/>
        <w:spacing w:line="240" w:lineRule="auto"/>
        <w:jc w:val="center"/>
        <w:rPr>
          <w:rFonts w:ascii="Times New Roman" w:hAnsi="Times New Roman" w:cs="Times New Roman"/>
          <w:sz w:val="24"/>
          <w:szCs w:val="24"/>
        </w:rPr>
      </w:pPr>
    </w:p>
    <w:p w14:paraId="158DF208">
      <w:pPr>
        <w:keepNext/>
        <w:spacing w:line="24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highlight w:val="yellow"/>
        </w:rPr>
        <w:t>Nome completo</w:t>
      </w:r>
      <w:r>
        <w:rPr>
          <w:rFonts w:ascii="Times New Roman" w:hAnsi="Times New Roman" w:cs="Times New Roman"/>
          <w:sz w:val="24"/>
          <w:szCs w:val="24"/>
        </w:rPr>
        <w:t>]</w:t>
      </w:r>
    </w:p>
    <w:p w14:paraId="76893414">
      <w:pPr>
        <w:keepNext/>
        <w:spacing w:line="240" w:lineRule="auto"/>
        <w:jc w:val="center"/>
        <w:rPr>
          <w:rFonts w:ascii="Times New Roman" w:hAnsi="Times New Roman" w:cs="Times New Roman"/>
          <w:sz w:val="24"/>
          <w:szCs w:val="24"/>
        </w:rPr>
      </w:pPr>
      <w:r>
        <w:rPr>
          <w:rFonts w:ascii="Times New Roman" w:hAnsi="Times New Roman" w:cs="Times New Roman"/>
          <w:sz w:val="24"/>
          <w:szCs w:val="24"/>
        </w:rPr>
        <w:t>Presidente da Comissão Especial de Licitação.</w:t>
      </w:r>
    </w:p>
    <w:sectPr>
      <w:headerReference r:id="rId5" w:type="default"/>
      <w:pgSz w:w="11906" w:h="16838"/>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Liberation Mono"/>
    <w:panose1 w:val="00000000000000000000"/>
    <w:charset w:val="00"/>
    <w:family w:val="auto"/>
    <w:pitch w:val="default"/>
    <w:sig w:usb0="00000000" w:usb1="00000000" w:usb2="00000000" w:usb3="00000000" w:csb0="00000000" w:csb1="00000000"/>
  </w:font>
  <w:font w:name="Aptos Display">
    <w:altName w:val="Liberation Mono"/>
    <w:panose1 w:val="00000000000000000000"/>
    <w:charset w:val="00"/>
    <w:family w:val="swiss"/>
    <w:pitch w:val="default"/>
    <w:sig w:usb0="00000000" w:usb1="00000000" w:usb2="00000000" w:usb3="00000000" w:csb0="0000019F" w:csb1="00000000"/>
  </w:font>
  <w:font w:name="等线 Light">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0E720">
    <w:pPr>
      <w:tabs>
        <w:tab w:val="center" w:pos="4252"/>
        <w:tab w:val="right" w:pos="8504"/>
      </w:tabs>
      <w:spacing w:line="240" w:lineRule="auto"/>
      <w:rPr>
        <w:color w:val="000000"/>
      </w:rPr>
    </w:pPr>
    <w:r>
      <w:drawing>
        <wp:inline distT="0" distB="0" distL="114300" distR="114300">
          <wp:extent cx="4219575" cy="1012190"/>
          <wp:effectExtent l="0" t="0" r="0" b="0"/>
          <wp:docPr id="1" name="Imagem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IMG_256"/>
                  <pic:cNvPicPr>
                    <a:picLocks noChangeAspect="1"/>
                  </pic:cNvPicPr>
                </pic:nvPicPr>
                <pic:blipFill>
                  <a:blip r:embed="rId1"/>
                  <a:stretch>
                    <a:fillRect/>
                  </a:stretch>
                </pic:blipFill>
                <pic:spPr>
                  <a:xfrm>
                    <a:off x="0" y="0"/>
                    <a:ext cx="4219575" cy="1012190"/>
                  </a:xfrm>
                  <a:prstGeom prst="rect">
                    <a:avLst/>
                  </a:prstGeom>
                  <a:noFill/>
                  <a:ln>
                    <a:noFill/>
                  </a:ln>
                </pic:spPr>
              </pic:pic>
            </a:graphicData>
          </a:graphic>
        </wp:inline>
      </w:drawing>
    </w:r>
    <w:r>
      <mc:AlternateContent>
        <mc:Choice Requires="wps">
          <w:drawing>
            <wp:anchor distT="0" distB="0" distL="114300" distR="114300" simplePos="0" relativeHeight="251659264" behindDoc="0" locked="0" layoutInCell="1" allowOverlap="1">
              <wp:simplePos x="0" y="0"/>
              <wp:positionH relativeFrom="column">
                <wp:posOffset>4006215</wp:posOffset>
              </wp:positionH>
              <wp:positionV relativeFrom="paragraph">
                <wp:posOffset>173355</wp:posOffset>
              </wp:positionV>
              <wp:extent cx="2101215" cy="675640"/>
              <wp:effectExtent l="4445" t="4445" r="8890" b="5715"/>
              <wp:wrapNone/>
              <wp:docPr id="10" name="Caixa de Texto 10"/>
              <wp:cNvGraphicFramePr/>
              <a:graphic xmlns:a="http://schemas.openxmlformats.org/drawingml/2006/main">
                <a:graphicData uri="http://schemas.microsoft.com/office/word/2010/wordprocessingShape">
                  <wps:wsp>
                    <wps:cNvSpPr txBox="1"/>
                    <wps:spPr>
                      <a:xfrm>
                        <a:off x="0" y="0"/>
                        <a:ext cx="2101215" cy="6756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16A9027A">
                          <w:pPr>
                            <w:spacing w:before="0" w:after="0" w:line="240" w:lineRule="auto"/>
                            <w:rPr>
                              <w:sz w:val="21"/>
                              <w:szCs w:val="21"/>
                            </w:rPr>
                          </w:pPr>
                          <w:r>
                            <w:rPr>
                              <w:sz w:val="20"/>
                              <w:szCs w:val="20"/>
                            </w:rPr>
                            <w:t xml:space="preserve">Processo nº </w:t>
                          </w:r>
                          <w:r>
                            <w:rPr>
                              <w:b/>
                              <w:bCs/>
                            </w:rPr>
                            <w:t>28613/2023</w:t>
                          </w:r>
                        </w:p>
                        <w:p w14:paraId="6CD0BBCA">
                          <w:pPr>
                            <w:spacing w:before="0" w:after="0" w:line="240" w:lineRule="auto"/>
                            <w:rPr>
                              <w:sz w:val="21"/>
                              <w:szCs w:val="21"/>
                            </w:rPr>
                          </w:pPr>
                        </w:p>
                        <w:p w14:paraId="1EC11A70">
                          <w:pPr>
                            <w:spacing w:before="0" w:after="0" w:line="240" w:lineRule="auto"/>
                            <w:rPr>
                              <w:sz w:val="20"/>
                              <w:szCs w:val="20"/>
                            </w:rPr>
                          </w:pPr>
                          <w:r>
                            <w:rPr>
                              <w:sz w:val="20"/>
                              <w:szCs w:val="20"/>
                            </w:rPr>
                            <w:t>Rubrica _____ Fls.nº_____</w:t>
                          </w:r>
                        </w:p>
                        <w:p w14:paraId="711FFD72"/>
                        <w:p w14:paraId="734AF88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45pt;margin-top:13.65pt;height:53.2pt;width:165.45pt;z-index:251659264;mso-width-relative:page;mso-height-relative:page;" fillcolor="#FFFFFF [3201]" filled="t" stroked="t" coordsize="21600,21600" o:gfxdata="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asBiZNYAAAAKAQAADwAAAAAAAAAB&#10;ACAAAAAiAAAAZHJzL2Rvd25yZXYueG1sUEsBAhQAFAAAAAgAh07iQGZlFydLAgAAvwQAAA4AAAAA&#10;AAAAAQAgAAAAJQEAAGRycy9lMm9Eb2MueG1sUEsFBgAAAAAGAAYAWQEAAOIFAAAAAA==&#10;">
              <v:fill on="t" focussize="0,0"/>
              <v:stroke weight="0.5pt" color="#000000 [3213]" joinstyle="round"/>
              <v:imagedata o:title=""/>
              <o:lock v:ext="edit" aspectratio="f"/>
              <v:textbox>
                <w:txbxContent>
                  <w:p w14:paraId="16A9027A">
                    <w:pPr>
                      <w:spacing w:before="0" w:after="0" w:line="240" w:lineRule="auto"/>
                      <w:rPr>
                        <w:sz w:val="21"/>
                        <w:szCs w:val="21"/>
                      </w:rPr>
                    </w:pPr>
                    <w:r>
                      <w:rPr>
                        <w:sz w:val="20"/>
                        <w:szCs w:val="20"/>
                      </w:rPr>
                      <w:t xml:space="preserve">Processo nº </w:t>
                    </w:r>
                    <w:r>
                      <w:rPr>
                        <w:b/>
                        <w:bCs/>
                      </w:rPr>
                      <w:t>28613/2023</w:t>
                    </w:r>
                  </w:p>
                  <w:p w14:paraId="6CD0BBCA">
                    <w:pPr>
                      <w:spacing w:before="0" w:after="0" w:line="240" w:lineRule="auto"/>
                      <w:rPr>
                        <w:sz w:val="21"/>
                        <w:szCs w:val="21"/>
                      </w:rPr>
                    </w:pPr>
                  </w:p>
                  <w:p w14:paraId="1EC11A70">
                    <w:pPr>
                      <w:spacing w:before="0" w:after="0" w:line="240" w:lineRule="auto"/>
                      <w:rPr>
                        <w:sz w:val="20"/>
                        <w:szCs w:val="20"/>
                      </w:rPr>
                    </w:pPr>
                    <w:r>
                      <w:rPr>
                        <w:sz w:val="20"/>
                        <w:szCs w:val="20"/>
                      </w:rPr>
                      <w:t>Rubrica _____ Fls.nº_____</w:t>
                    </w:r>
                  </w:p>
                  <w:p w14:paraId="711FFD72"/>
                  <w:p w14:paraId="734AF88B"/>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76496"/>
    <w:multiLevelType w:val="multilevel"/>
    <w:tmpl w:val="04876496"/>
    <w:lvl w:ilvl="0" w:tentative="0">
      <w:start w:val="1"/>
      <w:numFmt w:val="decimal"/>
      <w:lvlText w:val="%1."/>
      <w:lvlJc w:val="left"/>
      <w:pPr>
        <w:tabs>
          <w:tab w:val="left" w:pos="720"/>
        </w:tabs>
        <w:ind w:left="720" w:hanging="360"/>
      </w:pPr>
      <w:rPr>
        <w:b/>
        <w:bCs/>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7C05310"/>
    <w:multiLevelType w:val="multilevel"/>
    <w:tmpl w:val="17C05310"/>
    <w:lvl w:ilvl="0" w:tentative="0">
      <w:start w:val="1"/>
      <w:numFmt w:val="lowerLetter"/>
      <w:lvlText w:val="%1)"/>
      <w:lvlJc w:val="left"/>
      <w:pPr>
        <w:ind w:left="1287" w:hanging="360"/>
      </w:pPr>
      <w:rPr>
        <w:b/>
        <w:bCs/>
      </w:r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BA8"/>
    <w:rsid w:val="0003346F"/>
    <w:rsid w:val="000A1A0B"/>
    <w:rsid w:val="001C20AE"/>
    <w:rsid w:val="00217457"/>
    <w:rsid w:val="00225B09"/>
    <w:rsid w:val="00245C8D"/>
    <w:rsid w:val="002A0FE3"/>
    <w:rsid w:val="002E4BA8"/>
    <w:rsid w:val="00312AB6"/>
    <w:rsid w:val="003675DE"/>
    <w:rsid w:val="0037078C"/>
    <w:rsid w:val="00385A20"/>
    <w:rsid w:val="004407CF"/>
    <w:rsid w:val="004B7827"/>
    <w:rsid w:val="004E55FE"/>
    <w:rsid w:val="00507FBC"/>
    <w:rsid w:val="005336EF"/>
    <w:rsid w:val="00590E66"/>
    <w:rsid w:val="00612617"/>
    <w:rsid w:val="00666E31"/>
    <w:rsid w:val="006C107C"/>
    <w:rsid w:val="007B7828"/>
    <w:rsid w:val="008B55B0"/>
    <w:rsid w:val="00900221"/>
    <w:rsid w:val="00902442"/>
    <w:rsid w:val="00904880"/>
    <w:rsid w:val="00913B60"/>
    <w:rsid w:val="009334AD"/>
    <w:rsid w:val="009B0C35"/>
    <w:rsid w:val="00A23804"/>
    <w:rsid w:val="00B37AA0"/>
    <w:rsid w:val="00B41B62"/>
    <w:rsid w:val="00B8516D"/>
    <w:rsid w:val="00C46674"/>
    <w:rsid w:val="00D307DD"/>
    <w:rsid w:val="00D33F74"/>
    <w:rsid w:val="00D701AE"/>
    <w:rsid w:val="00E24770"/>
    <w:rsid w:val="00E33DEF"/>
    <w:rsid w:val="00E96D99"/>
    <w:rsid w:val="00EE315E"/>
    <w:rsid w:val="00F03FE5"/>
    <w:rsid w:val="00FA1DD2"/>
    <w:rsid w:val="00FC57CE"/>
    <w:rsid w:val="4654167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t-BR"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14">
    <w:name w:val="Normal (Web)"/>
    <w:basedOn w:val="1"/>
    <w:semiHidden/>
    <w:unhideWhenUsed/>
    <w:uiPriority w:val="99"/>
    <w:rPr>
      <w:rFonts w:ascii="Times New Roman" w:hAnsi="Times New Roman" w:cs="Times New Roman"/>
      <w:sz w:val="24"/>
      <w:szCs w:val="24"/>
    </w:rPr>
  </w:style>
  <w:style w:type="paragraph" w:styleId="15">
    <w:name w:val="header"/>
    <w:basedOn w:val="1"/>
    <w:semiHidden/>
    <w:unhideWhenUsed/>
    <w:uiPriority w:val="99"/>
    <w:pPr>
      <w:tabs>
        <w:tab w:val="center" w:pos="4252"/>
        <w:tab w:val="right" w:pos="8504"/>
      </w:tabs>
    </w:pPr>
  </w:style>
  <w:style w:type="paragraph" w:styleId="16">
    <w:name w:val="footer"/>
    <w:basedOn w:val="1"/>
    <w:semiHidden/>
    <w:unhideWhenUsed/>
    <w:uiPriority w:val="99"/>
    <w:pPr>
      <w:tabs>
        <w:tab w:val="center" w:pos="4252"/>
        <w:tab w:val="right" w:pos="8504"/>
      </w:tabs>
    </w:pPr>
  </w:style>
  <w:style w:type="paragraph" w:styleId="17">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character" w:customStyle="1" w:styleId="18">
    <w:name w:val="Título 1 Char"/>
    <w:basedOn w:val="11"/>
    <w:link w:val="2"/>
    <w:uiPriority w:val="9"/>
    <w:rPr>
      <w:rFonts w:asciiTheme="majorHAnsi" w:hAnsiTheme="majorHAnsi" w:eastAsiaTheme="majorEastAsia" w:cstheme="majorBidi"/>
      <w:color w:val="104862" w:themeColor="accent1" w:themeShade="BF"/>
      <w:sz w:val="40"/>
      <w:szCs w:val="40"/>
    </w:rPr>
  </w:style>
  <w:style w:type="character" w:customStyle="1" w:styleId="19">
    <w:name w:val="Título 2 Ch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20">
    <w:name w:val="Título 3 Char"/>
    <w:basedOn w:val="11"/>
    <w:link w:val="4"/>
    <w:semiHidden/>
    <w:uiPriority w:val="9"/>
    <w:rPr>
      <w:rFonts w:eastAsiaTheme="majorEastAsia" w:cstheme="majorBidi"/>
      <w:color w:val="104862" w:themeColor="accent1" w:themeShade="BF"/>
      <w:sz w:val="28"/>
      <w:szCs w:val="28"/>
    </w:rPr>
  </w:style>
  <w:style w:type="character" w:customStyle="1" w:styleId="21">
    <w:name w:val="Título 4 Char"/>
    <w:basedOn w:val="11"/>
    <w:link w:val="5"/>
    <w:semiHidden/>
    <w:uiPriority w:val="9"/>
    <w:rPr>
      <w:rFonts w:eastAsiaTheme="majorEastAsia" w:cstheme="majorBidi"/>
      <w:i/>
      <w:iCs/>
      <w:color w:val="104862" w:themeColor="accent1" w:themeShade="BF"/>
    </w:rPr>
  </w:style>
  <w:style w:type="character" w:customStyle="1" w:styleId="22">
    <w:name w:val="Título 5 Char"/>
    <w:basedOn w:val="11"/>
    <w:link w:val="6"/>
    <w:semiHidden/>
    <w:uiPriority w:val="9"/>
    <w:rPr>
      <w:rFonts w:eastAsiaTheme="majorEastAsia" w:cstheme="majorBidi"/>
      <w:color w:val="104862" w:themeColor="accent1" w:themeShade="BF"/>
    </w:rPr>
  </w:style>
  <w:style w:type="character" w:customStyle="1" w:styleId="23">
    <w:name w:val="Título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Título 7 Char"/>
    <w:basedOn w:val="11"/>
    <w:link w:val="8"/>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Título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Título 9 Char"/>
    <w:basedOn w:val="11"/>
    <w:link w:val="10"/>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ítulo Char"/>
    <w:basedOn w:val="11"/>
    <w:link w:val="13"/>
    <w:uiPriority w:val="10"/>
    <w:rPr>
      <w:rFonts w:asciiTheme="majorHAnsi" w:hAnsiTheme="majorHAnsi" w:eastAsiaTheme="majorEastAsia" w:cstheme="majorBidi"/>
      <w:spacing w:val="-10"/>
      <w:kern w:val="28"/>
      <w:sz w:val="56"/>
      <w:szCs w:val="56"/>
    </w:rPr>
  </w:style>
  <w:style w:type="character" w:customStyle="1" w:styleId="28">
    <w:name w:val="Subtítulo Char"/>
    <w:basedOn w:val="11"/>
    <w:link w:val="17"/>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Citação Char"/>
    <w:basedOn w:val="11"/>
    <w:link w:val="29"/>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Citação Intensa Char"/>
    <w:basedOn w:val="11"/>
    <w:link w:val="33"/>
    <w:uiPriority w:val="30"/>
    <w:rPr>
      <w:i/>
      <w:iCs/>
      <w:color w:val="104862" w:themeColor="accent1" w:themeShade="BF"/>
    </w:rPr>
  </w:style>
  <w:style w:type="character" w:customStyle="1" w:styleId="35">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936</Words>
  <Characters>5059</Characters>
  <Lines>42</Lines>
  <Paragraphs>11</Paragraphs>
  <TotalTime>2</TotalTime>
  <ScaleCrop>false</ScaleCrop>
  <LinksUpToDate>false</LinksUpToDate>
  <CharactersWithSpaces>5984</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2025-07-28T22:44:00Z</dcterms:created>
  <dc:creator>Daniel Pereira</dc:creator>
  <cp:lastModifiedBy>rodrigo.lima</cp:lastModifiedBy>
  <dcterms:modified xsi:type="dcterms:W3CDTF">2025-07-31T14:23:29Z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79643F940767439AA3223DE2C6FB9D00_12</vt:lpwstr>
  </property>
</Properties>
</file>