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ABA" w:rsidRDefault="002B3ABA" w:rsidP="00C07DEE">
      <w:pPr>
        <w:pStyle w:val="NormalWeb"/>
        <w:shd w:val="pct15" w:color="auto" w:fill="auto"/>
        <w:tabs>
          <w:tab w:val="center" w:pos="6619"/>
        </w:tabs>
        <w:spacing w:after="0"/>
        <w:jc w:val="center"/>
        <w:rPr>
          <w:rFonts w:ascii="Century Gothic" w:hAnsi="Century Gothic"/>
          <w:b/>
          <w:sz w:val="20"/>
          <w:szCs w:val="20"/>
        </w:rPr>
      </w:pPr>
    </w:p>
    <w:p w:rsidR="002B3ABA" w:rsidRDefault="002B3ABA" w:rsidP="00C07DEE">
      <w:pPr>
        <w:pStyle w:val="NormalWeb"/>
        <w:shd w:val="pct15" w:color="auto" w:fill="auto"/>
        <w:tabs>
          <w:tab w:val="center" w:pos="6619"/>
        </w:tabs>
        <w:spacing w:after="0"/>
        <w:jc w:val="center"/>
        <w:rPr>
          <w:rFonts w:ascii="Century Gothic" w:hAnsi="Century Gothic"/>
          <w:b/>
          <w:sz w:val="20"/>
          <w:szCs w:val="20"/>
        </w:rPr>
      </w:pPr>
    </w:p>
    <w:p w:rsidR="00C07DEE" w:rsidRPr="006153B4" w:rsidRDefault="00C07DEE" w:rsidP="00C07DEE">
      <w:pPr>
        <w:pStyle w:val="NormalWeb"/>
        <w:shd w:val="pct15" w:color="auto" w:fill="auto"/>
        <w:tabs>
          <w:tab w:val="center" w:pos="6619"/>
        </w:tabs>
        <w:spacing w:after="0"/>
        <w:jc w:val="center"/>
        <w:rPr>
          <w:rFonts w:ascii="Century Gothic" w:hAnsi="Century Gothic"/>
          <w:b/>
          <w:sz w:val="20"/>
          <w:szCs w:val="20"/>
        </w:rPr>
      </w:pPr>
      <w:r w:rsidRPr="006153B4">
        <w:rPr>
          <w:rFonts w:ascii="Century Gothic" w:hAnsi="Century Gothic"/>
          <w:b/>
          <w:sz w:val="20"/>
          <w:szCs w:val="20"/>
        </w:rPr>
        <w:t>ATA DE SESSÃO – ABERTURA, CLASSIFICAÇÃO E JULGAMENTO.</w:t>
      </w:r>
    </w:p>
    <w:p w:rsidR="00C07DEE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C07DEE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C07DEE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C07DEE" w:rsidRPr="00B947A9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B947A9">
        <w:rPr>
          <w:rFonts w:ascii="Century Gothic" w:hAnsi="Century Gothic"/>
          <w:sz w:val="20"/>
          <w:szCs w:val="20"/>
        </w:rPr>
        <w:t xml:space="preserve">Processo Licitatório nº </w:t>
      </w:r>
      <w:r>
        <w:rPr>
          <w:rFonts w:ascii="Century Gothic" w:hAnsi="Century Gothic"/>
          <w:sz w:val="20"/>
          <w:szCs w:val="20"/>
        </w:rPr>
        <w:t>044</w:t>
      </w:r>
      <w:r w:rsidRPr="00B947A9">
        <w:rPr>
          <w:rFonts w:ascii="Century Gothic" w:hAnsi="Century Gothic"/>
          <w:sz w:val="20"/>
          <w:szCs w:val="20"/>
        </w:rPr>
        <w:t>/2021</w:t>
      </w:r>
    </w:p>
    <w:p w:rsidR="00C07DEE" w:rsidRPr="00B947A9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B947A9">
        <w:rPr>
          <w:rFonts w:ascii="Century Gothic" w:hAnsi="Century Gothic"/>
          <w:sz w:val="20"/>
          <w:szCs w:val="20"/>
        </w:rPr>
        <w:t xml:space="preserve">Modalidade: Pregão Presencial nº </w:t>
      </w:r>
      <w:r>
        <w:rPr>
          <w:rFonts w:ascii="Century Gothic" w:hAnsi="Century Gothic"/>
          <w:sz w:val="20"/>
          <w:szCs w:val="20"/>
        </w:rPr>
        <w:t>017</w:t>
      </w:r>
      <w:r w:rsidRPr="00B947A9">
        <w:rPr>
          <w:rFonts w:ascii="Century Gothic" w:hAnsi="Century Gothic"/>
          <w:sz w:val="20"/>
          <w:szCs w:val="20"/>
        </w:rPr>
        <w:t>/2021</w:t>
      </w:r>
    </w:p>
    <w:p w:rsidR="00C07DEE" w:rsidRPr="00B947A9" w:rsidRDefault="00C07DEE" w:rsidP="00C07DEE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947A9">
        <w:rPr>
          <w:rFonts w:ascii="Century Gothic" w:hAnsi="Century Gothic"/>
          <w:sz w:val="20"/>
          <w:szCs w:val="20"/>
        </w:rPr>
        <w:t xml:space="preserve">Objeto: </w:t>
      </w:r>
      <w:r>
        <w:rPr>
          <w:rFonts w:ascii="Century Gothic" w:hAnsi="Century Gothic" w:cs="Arial"/>
        </w:rPr>
        <w:t>REGISTRO DE PREÇOS PARA A FUTURA E EVENTUAL AQUISIÇÃO DE LANCHES.</w:t>
      </w:r>
    </w:p>
    <w:p w:rsidR="00C07DEE" w:rsidRPr="00B947A9" w:rsidRDefault="00C07DEE" w:rsidP="00C07DEE">
      <w:pPr>
        <w:pStyle w:val="NormalWeb"/>
        <w:shd w:val="pct15" w:color="auto" w:fill="auto"/>
        <w:tabs>
          <w:tab w:val="center" w:pos="6619"/>
        </w:tabs>
        <w:spacing w:after="0"/>
        <w:jc w:val="both"/>
        <w:rPr>
          <w:rFonts w:ascii="Century Gothic" w:hAnsi="Century Gothic"/>
          <w:b/>
          <w:sz w:val="20"/>
          <w:szCs w:val="20"/>
        </w:rPr>
      </w:pPr>
      <w:r w:rsidRPr="00B947A9">
        <w:rPr>
          <w:rFonts w:ascii="Century Gothic" w:hAnsi="Century Gothic"/>
          <w:b/>
          <w:sz w:val="20"/>
          <w:szCs w:val="20"/>
        </w:rPr>
        <w:t>ESCOPO</w:t>
      </w:r>
    </w:p>
    <w:p w:rsidR="00C07DEE" w:rsidRPr="00B947A9" w:rsidRDefault="00C07DEE" w:rsidP="00C07DEE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947A9">
        <w:rPr>
          <w:rFonts w:ascii="Century Gothic" w:hAnsi="Century Gothic"/>
          <w:sz w:val="20"/>
          <w:szCs w:val="20"/>
        </w:rPr>
        <w:t xml:space="preserve">Aos </w:t>
      </w:r>
      <w:r>
        <w:rPr>
          <w:rFonts w:ascii="Century Gothic" w:hAnsi="Century Gothic"/>
          <w:sz w:val="20"/>
          <w:szCs w:val="20"/>
        </w:rPr>
        <w:t>21</w:t>
      </w:r>
      <w:r w:rsidRPr="00B947A9">
        <w:rPr>
          <w:rFonts w:ascii="Century Gothic" w:hAnsi="Century Gothic"/>
          <w:sz w:val="20"/>
          <w:szCs w:val="20"/>
        </w:rPr>
        <w:t xml:space="preserve"> (</w:t>
      </w:r>
      <w:r>
        <w:rPr>
          <w:rFonts w:ascii="Century Gothic" w:hAnsi="Century Gothic"/>
          <w:sz w:val="20"/>
          <w:szCs w:val="20"/>
        </w:rPr>
        <w:t>vinte e um</w:t>
      </w:r>
      <w:r w:rsidRPr="00B947A9">
        <w:rPr>
          <w:rFonts w:ascii="Century Gothic" w:hAnsi="Century Gothic"/>
          <w:sz w:val="20"/>
          <w:szCs w:val="20"/>
        </w:rPr>
        <w:t xml:space="preserve">) dias do mês de </w:t>
      </w:r>
      <w:r>
        <w:rPr>
          <w:rFonts w:ascii="Century Gothic" w:hAnsi="Century Gothic"/>
          <w:sz w:val="20"/>
          <w:szCs w:val="20"/>
        </w:rPr>
        <w:t>julho</w:t>
      </w:r>
      <w:r w:rsidRPr="00B947A9">
        <w:rPr>
          <w:rFonts w:ascii="Century Gothic" w:hAnsi="Century Gothic"/>
          <w:sz w:val="20"/>
          <w:szCs w:val="20"/>
        </w:rPr>
        <w:t xml:space="preserve"> de dois mil e vinte e um às </w:t>
      </w:r>
      <w:r>
        <w:rPr>
          <w:rFonts w:ascii="Century Gothic" w:hAnsi="Century Gothic"/>
          <w:sz w:val="20"/>
          <w:szCs w:val="20"/>
        </w:rPr>
        <w:t>09</w:t>
      </w:r>
      <w:r w:rsidRPr="00B947A9">
        <w:rPr>
          <w:rFonts w:ascii="Century Gothic" w:hAnsi="Century Gothic"/>
          <w:sz w:val="20"/>
          <w:szCs w:val="20"/>
        </w:rPr>
        <w:t xml:space="preserve">:00 horas,  reuniu-se a Pregoeira, juntamente com sua Equipe de Apoio da Prefeitura Municipal de Congonhas do Norte/MG, nomeados através do Portaria n° 024/2021, de 05 de janeiro de 2021 deu início ao julgamento dos proponentes participantes do Processo </w:t>
      </w:r>
      <w:r w:rsidRPr="008527C9">
        <w:rPr>
          <w:rFonts w:ascii="Century Gothic" w:hAnsi="Century Gothic"/>
          <w:sz w:val="20"/>
          <w:szCs w:val="20"/>
        </w:rPr>
        <w:t>de Licitação nº 0</w:t>
      </w:r>
      <w:r>
        <w:rPr>
          <w:rFonts w:ascii="Century Gothic" w:hAnsi="Century Gothic"/>
          <w:sz w:val="20"/>
          <w:szCs w:val="20"/>
        </w:rPr>
        <w:t>44</w:t>
      </w:r>
      <w:r w:rsidRPr="008527C9">
        <w:rPr>
          <w:rFonts w:ascii="Century Gothic" w:hAnsi="Century Gothic"/>
          <w:sz w:val="20"/>
          <w:szCs w:val="20"/>
        </w:rPr>
        <w:t>/2021, Pregão Presencial nº 0</w:t>
      </w:r>
      <w:r>
        <w:rPr>
          <w:rFonts w:ascii="Century Gothic" w:hAnsi="Century Gothic"/>
          <w:sz w:val="20"/>
          <w:szCs w:val="20"/>
        </w:rPr>
        <w:t>17</w:t>
      </w:r>
      <w:r w:rsidRPr="008527C9">
        <w:rPr>
          <w:rFonts w:ascii="Century Gothic" w:hAnsi="Century Gothic"/>
          <w:sz w:val="20"/>
          <w:szCs w:val="20"/>
        </w:rPr>
        <w:t xml:space="preserve">/2021, tipo Menor Preço por Item, </w:t>
      </w:r>
      <w:r>
        <w:rPr>
          <w:rFonts w:ascii="Century Gothic" w:hAnsi="Century Gothic" w:cs="Arial"/>
        </w:rPr>
        <w:t>REGISTRO DE PREÇOS PARA A FUTURA E EVENTUAL AQUISIÇÃO DE LANCHES.</w:t>
      </w:r>
    </w:p>
    <w:p w:rsidR="00C07DEE" w:rsidRPr="00D4059D" w:rsidRDefault="00C07DEE" w:rsidP="00C07DEE">
      <w:pPr>
        <w:pStyle w:val="NormalWeb"/>
        <w:shd w:val="pct15" w:color="auto" w:fill="auto"/>
        <w:tabs>
          <w:tab w:val="center" w:pos="6619"/>
        </w:tabs>
        <w:spacing w:after="0"/>
        <w:jc w:val="both"/>
        <w:rPr>
          <w:rFonts w:ascii="Century Gothic" w:hAnsi="Century Gothic"/>
          <w:b/>
          <w:sz w:val="20"/>
          <w:szCs w:val="20"/>
        </w:rPr>
      </w:pPr>
      <w:r w:rsidRPr="00D4059D">
        <w:rPr>
          <w:rFonts w:ascii="Century Gothic" w:hAnsi="Century Gothic"/>
          <w:b/>
          <w:sz w:val="20"/>
          <w:szCs w:val="20"/>
        </w:rPr>
        <w:t xml:space="preserve">CREDENCIAMENTO </w:t>
      </w:r>
    </w:p>
    <w:p w:rsidR="00C07DEE" w:rsidRPr="006153B4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A11DC8">
        <w:rPr>
          <w:rFonts w:ascii="Century Gothic" w:hAnsi="Century Gothic"/>
          <w:sz w:val="20"/>
          <w:szCs w:val="20"/>
        </w:rPr>
        <w:t xml:space="preserve">Com a  ampla divulgação muitas empresas  solicitaram e receberam o edital de </w:t>
      </w:r>
      <w:r w:rsidRPr="007D5264">
        <w:rPr>
          <w:rFonts w:ascii="Century Gothic" w:hAnsi="Century Gothic"/>
          <w:sz w:val="20"/>
          <w:szCs w:val="20"/>
        </w:rPr>
        <w:t xml:space="preserve">licitação,esteve presente as empresas </w:t>
      </w:r>
      <w:r w:rsidRPr="00DB04E6">
        <w:rPr>
          <w:rFonts w:ascii="Century Gothic" w:hAnsi="Century Gothic"/>
          <w:sz w:val="20"/>
          <w:szCs w:val="20"/>
          <w:highlight w:val="yellow"/>
        </w:rPr>
        <w:t>Diniz Diniz, representada pelo Senhor Artur Souza Diniz,CPF 701.154.346-58, AN materiais de construção, representada pelo Senhor Alecson Nascimento Braga, CPF-074.448.076-04, Anor Alves Dias Eireli,representada pelo Senhor Anor Alves Dias,CPF-002.326.086-60,Carlos Santos Pinho Nogueira -ME representada pelo Senhor Douglas Alexandre Claudino,CPF-070.240.746-12,LS Soluções Eletricas LTDA,representada pelo Senhor, Luiz Milanez Saldanha CPF-117.463.136-84 a empresa Wilian Luiz Barreto,representada pelo Senhor Wilian Luiz Barreto CPF-039.313.136-03,a empresa Organizações Msl Comercio e Industria De Materiasi Eletricos LTDA,representada pelo Senhor Milton dos Santos Silva CPF-704.079.086-68 e a empresa Nelmar De Moraes Franco-ME representada pelo Senhor Nelmar de Moraes Franco CPF-490.044.506-10.</w:t>
      </w:r>
      <w:r w:rsidR="00DB04E6">
        <w:rPr>
          <w:rFonts w:ascii="Century Gothic" w:hAnsi="Century Gothic"/>
          <w:sz w:val="20"/>
          <w:szCs w:val="20"/>
        </w:rPr>
        <w:t>As</w:t>
      </w:r>
      <w:r w:rsidRPr="007D5264">
        <w:rPr>
          <w:rFonts w:ascii="Century Gothic" w:hAnsi="Century Gothic"/>
          <w:sz w:val="20"/>
          <w:szCs w:val="20"/>
        </w:rPr>
        <w:t xml:space="preserve"> licitantes declararam não haver fatos impeditivos à habilitação e foram classificadas para a fase de recebimento dos envelopes.</w:t>
      </w:r>
    </w:p>
    <w:p w:rsidR="00C07DEE" w:rsidRPr="006153B4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C07DEE" w:rsidRPr="006153B4" w:rsidRDefault="00C07DEE" w:rsidP="00C07DEE">
      <w:pPr>
        <w:pStyle w:val="NormalWeb"/>
        <w:shd w:val="pct15" w:color="auto" w:fill="auto"/>
        <w:tabs>
          <w:tab w:val="center" w:pos="6619"/>
        </w:tabs>
        <w:spacing w:after="0"/>
        <w:jc w:val="both"/>
        <w:rPr>
          <w:rFonts w:ascii="Century Gothic" w:hAnsi="Century Gothic"/>
          <w:b/>
          <w:sz w:val="20"/>
          <w:szCs w:val="20"/>
        </w:rPr>
      </w:pPr>
      <w:r w:rsidRPr="006153B4">
        <w:rPr>
          <w:rFonts w:ascii="Century Gothic" w:hAnsi="Century Gothic"/>
          <w:b/>
          <w:sz w:val="20"/>
          <w:szCs w:val="20"/>
        </w:rPr>
        <w:t>ABERTURA DOS ENVELOPES DE PROPOSTAS</w:t>
      </w:r>
    </w:p>
    <w:p w:rsidR="00C07DEE" w:rsidRPr="006153B4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6153B4">
        <w:rPr>
          <w:rFonts w:ascii="Century Gothic" w:hAnsi="Century Gothic"/>
          <w:sz w:val="20"/>
          <w:szCs w:val="20"/>
        </w:rPr>
        <w:t>Após o credenciamento dos licitantes, foi declarada aberta a sessão pela Pregoeira, momento em que não se admite a participação de novos licitantes. Os representantes credenciados entregaram os envelopes 01 e 02, que foram analisados, constado que estavam lacrados foram vistados pela Pregoeira, equipe de apoio e licitantes credenciados</w:t>
      </w:r>
      <w:r>
        <w:rPr>
          <w:rFonts w:ascii="Century Gothic" w:hAnsi="Century Gothic"/>
          <w:sz w:val="20"/>
          <w:szCs w:val="20"/>
        </w:rPr>
        <w:t>. Dando continuidade à sessão a P</w:t>
      </w:r>
      <w:r w:rsidRPr="006153B4">
        <w:rPr>
          <w:rFonts w:ascii="Century Gothic" w:hAnsi="Century Gothic"/>
          <w:sz w:val="20"/>
          <w:szCs w:val="20"/>
        </w:rPr>
        <w:t>regoeira deliberou a abertura do</w:t>
      </w:r>
      <w:r>
        <w:rPr>
          <w:rFonts w:ascii="Century Gothic" w:hAnsi="Century Gothic"/>
          <w:sz w:val="20"/>
          <w:szCs w:val="20"/>
        </w:rPr>
        <w:t>s</w:t>
      </w:r>
      <w:r w:rsidRPr="006153B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envelopes “PROPOSTAS”,</w:t>
      </w:r>
      <w:r w:rsidRPr="001952E4">
        <w:rPr>
          <w:rFonts w:ascii="Century Gothic" w:hAnsi="Century Gothic"/>
          <w:sz w:val="20"/>
          <w:szCs w:val="20"/>
        </w:rPr>
        <w:t xml:space="preserve"> </w:t>
      </w:r>
      <w:r w:rsidRPr="006153B4">
        <w:rPr>
          <w:rFonts w:ascii="Century Gothic" w:hAnsi="Century Gothic"/>
          <w:sz w:val="20"/>
          <w:szCs w:val="20"/>
        </w:rPr>
        <w:t>a</w:t>
      </w:r>
      <w:r>
        <w:rPr>
          <w:rFonts w:ascii="Century Gothic" w:hAnsi="Century Gothic"/>
          <w:sz w:val="20"/>
          <w:szCs w:val="20"/>
        </w:rPr>
        <w:t>s</w:t>
      </w:r>
      <w:r w:rsidR="00DB04E6">
        <w:rPr>
          <w:rFonts w:ascii="Century Gothic" w:hAnsi="Century Gothic"/>
          <w:sz w:val="20"/>
          <w:szCs w:val="20"/>
        </w:rPr>
        <w:t xml:space="preserve"> proposta foram</w:t>
      </w:r>
      <w:r w:rsidRPr="006153B4">
        <w:rPr>
          <w:rFonts w:ascii="Century Gothic" w:hAnsi="Century Gothic"/>
          <w:sz w:val="20"/>
          <w:szCs w:val="20"/>
        </w:rPr>
        <w:t xml:space="preserve"> classificada</w:t>
      </w:r>
      <w:r w:rsidR="00DB04E6">
        <w:rPr>
          <w:rFonts w:ascii="Century Gothic" w:hAnsi="Century Gothic"/>
          <w:sz w:val="20"/>
          <w:szCs w:val="20"/>
        </w:rPr>
        <w:t>s</w:t>
      </w:r>
      <w:r w:rsidRPr="006153B4">
        <w:rPr>
          <w:rFonts w:ascii="Century Gothic" w:hAnsi="Century Gothic"/>
          <w:sz w:val="20"/>
          <w:szCs w:val="20"/>
        </w:rPr>
        <w:t xml:space="preserve"> passando para lançamento e julgamento da</w:t>
      </w:r>
      <w:r w:rsidR="00DB04E6">
        <w:rPr>
          <w:rFonts w:ascii="Century Gothic" w:hAnsi="Century Gothic"/>
          <w:sz w:val="20"/>
          <w:szCs w:val="20"/>
        </w:rPr>
        <w:t>s</w:t>
      </w:r>
      <w:r w:rsidRPr="006153B4">
        <w:rPr>
          <w:rFonts w:ascii="Century Gothic" w:hAnsi="Century Gothic"/>
          <w:sz w:val="20"/>
          <w:szCs w:val="20"/>
        </w:rPr>
        <w:t xml:space="preserve"> proposta</w:t>
      </w:r>
      <w:r w:rsidR="00DB04E6">
        <w:rPr>
          <w:rFonts w:ascii="Century Gothic" w:hAnsi="Century Gothic"/>
          <w:sz w:val="20"/>
          <w:szCs w:val="20"/>
        </w:rPr>
        <w:t>s</w:t>
      </w:r>
      <w:r w:rsidRPr="006153B4">
        <w:rPr>
          <w:rFonts w:ascii="Century Gothic" w:hAnsi="Century Gothic"/>
          <w:sz w:val="20"/>
          <w:szCs w:val="20"/>
        </w:rPr>
        <w:t>.</w:t>
      </w:r>
    </w:p>
    <w:p w:rsidR="00C07DEE" w:rsidRPr="006153B4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C07DEE" w:rsidRPr="006153B4" w:rsidRDefault="00C07DEE" w:rsidP="00C07DEE">
      <w:pPr>
        <w:pStyle w:val="NormalWeb"/>
        <w:shd w:val="pct15" w:color="auto" w:fill="auto"/>
        <w:tabs>
          <w:tab w:val="center" w:pos="6619"/>
        </w:tabs>
        <w:spacing w:after="0"/>
        <w:jc w:val="both"/>
        <w:rPr>
          <w:rFonts w:ascii="Century Gothic" w:hAnsi="Century Gothic"/>
          <w:b/>
          <w:sz w:val="20"/>
          <w:szCs w:val="20"/>
        </w:rPr>
      </w:pPr>
      <w:r w:rsidRPr="006153B4">
        <w:rPr>
          <w:rFonts w:ascii="Century Gothic" w:hAnsi="Century Gothic"/>
          <w:b/>
          <w:sz w:val="20"/>
          <w:szCs w:val="20"/>
        </w:rPr>
        <w:t>JULGAMENTO DA PROPOSTA/</w:t>
      </w:r>
      <w:r>
        <w:rPr>
          <w:rFonts w:ascii="Century Gothic" w:hAnsi="Century Gothic"/>
          <w:b/>
          <w:sz w:val="20"/>
          <w:szCs w:val="20"/>
        </w:rPr>
        <w:t>FASE DE LANCES</w:t>
      </w:r>
    </w:p>
    <w:p w:rsidR="00C07DEE" w:rsidRDefault="00C07DEE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  <w:r w:rsidRPr="006153B4">
        <w:rPr>
          <w:rFonts w:ascii="Century Gothic" w:hAnsi="Century Gothic"/>
          <w:sz w:val="20"/>
          <w:szCs w:val="20"/>
        </w:rPr>
        <w:lastRenderedPageBreak/>
        <w:t xml:space="preserve">Aberto os envelopes proposta dos licitantes classificados a participar do processo, foi verificada a cotação de preço pelo licitante conforme </w:t>
      </w:r>
      <w:r w:rsidRPr="00F4525A">
        <w:rPr>
          <w:rFonts w:ascii="Century Gothic" w:hAnsi="Century Gothic"/>
          <w:sz w:val="20"/>
          <w:szCs w:val="20"/>
        </w:rPr>
        <w:t>tabela</w:t>
      </w:r>
      <w:r w:rsidRPr="006153B4">
        <w:rPr>
          <w:rFonts w:ascii="Century Gothic" w:hAnsi="Century Gothic"/>
          <w:sz w:val="20"/>
          <w:szCs w:val="20"/>
        </w:rPr>
        <w:t>. Iniciada a fase de lance verbal</w:t>
      </w:r>
      <w:r>
        <w:rPr>
          <w:rFonts w:ascii="Century Gothic" w:hAnsi="Century Gothic"/>
          <w:sz w:val="20"/>
          <w:szCs w:val="20"/>
        </w:rPr>
        <w:t xml:space="preserve"> </w:t>
      </w:r>
      <w:r w:rsidRPr="006153B4">
        <w:rPr>
          <w:rFonts w:ascii="Century Gothic" w:hAnsi="Century Gothic"/>
          <w:sz w:val="20"/>
          <w:szCs w:val="20"/>
        </w:rPr>
        <w:t>a Pregoeira convidou os licitantes autores das propostas classificadas para esta fase</w:t>
      </w:r>
      <w:r w:rsidRPr="009C2709">
        <w:rPr>
          <w:rFonts w:ascii="Century Gothic" w:hAnsi="Century Gothic"/>
          <w:sz w:val="20"/>
          <w:szCs w:val="20"/>
        </w:rPr>
        <w:t>, conforme tabela em anexo de preço inicial e fase de lan</w:t>
      </w:r>
      <w:r>
        <w:rPr>
          <w:rFonts w:ascii="Century Gothic" w:hAnsi="Century Gothic"/>
          <w:sz w:val="20"/>
          <w:szCs w:val="20"/>
        </w:rPr>
        <w:t>ce e negociação direta.</w:t>
      </w:r>
    </w:p>
    <w:p w:rsidR="00C07DEE" w:rsidRPr="006153B4" w:rsidRDefault="00C07DEE" w:rsidP="00C07DEE">
      <w:pPr>
        <w:pStyle w:val="NormalWeb"/>
        <w:spacing w:after="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</w:p>
    <w:p w:rsidR="00C07DEE" w:rsidRPr="006153B4" w:rsidRDefault="00C07DEE" w:rsidP="00C07DEE">
      <w:pPr>
        <w:pStyle w:val="NormalWeb"/>
        <w:spacing w:after="0"/>
        <w:jc w:val="both"/>
        <w:rPr>
          <w:rFonts w:ascii="Century Gothic" w:hAnsi="Century Gothic"/>
          <w:b/>
          <w:sz w:val="20"/>
          <w:szCs w:val="20"/>
        </w:rPr>
      </w:pPr>
    </w:p>
    <w:p w:rsidR="00C07DEE" w:rsidRPr="006153B4" w:rsidRDefault="00C07DEE" w:rsidP="00C07DEE">
      <w:pPr>
        <w:shd w:val="clear" w:color="auto" w:fill="A6A6A6"/>
        <w:autoSpaceDE w:val="0"/>
        <w:autoSpaceDN w:val="0"/>
        <w:adjustRightInd w:val="0"/>
        <w:rPr>
          <w:rFonts w:ascii="Century Gothic" w:eastAsia="Calibri" w:hAnsi="Century Gothic"/>
          <w:b/>
          <w:sz w:val="20"/>
          <w:szCs w:val="20"/>
        </w:rPr>
      </w:pPr>
      <w:r w:rsidRPr="006153B4">
        <w:rPr>
          <w:rFonts w:ascii="Century Gothic" w:eastAsia="Calibri" w:hAnsi="Century Gothic"/>
          <w:b/>
          <w:sz w:val="20"/>
          <w:szCs w:val="20"/>
        </w:rPr>
        <w:t>RESULTADO</w:t>
      </w:r>
    </w:p>
    <w:p w:rsidR="00C07DEE" w:rsidRDefault="00C07DEE" w:rsidP="00C07DEE">
      <w:pPr>
        <w:pStyle w:val="NormalWeb"/>
        <w:tabs>
          <w:tab w:val="left" w:pos="3135"/>
        </w:tabs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À vista da habilitação, foram</w:t>
      </w:r>
      <w:r w:rsidRPr="009C2709">
        <w:rPr>
          <w:rFonts w:ascii="Century Gothic" w:hAnsi="Century Gothic"/>
          <w:sz w:val="20"/>
          <w:szCs w:val="20"/>
        </w:rPr>
        <w:t xml:space="preserve"> declarad</w:t>
      </w:r>
      <w:r>
        <w:rPr>
          <w:rFonts w:ascii="Century Gothic" w:hAnsi="Century Gothic"/>
          <w:sz w:val="20"/>
          <w:szCs w:val="20"/>
        </w:rPr>
        <w:t>as vencedoras do presente certame</w:t>
      </w:r>
      <w:r w:rsidRPr="009C2709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as empresas:</w:t>
      </w:r>
      <w:r w:rsidRPr="00F574C3">
        <w:rPr>
          <w:rFonts w:ascii="Century Gothic" w:hAnsi="Century Gothic"/>
          <w:sz w:val="20"/>
          <w:szCs w:val="20"/>
        </w:rPr>
        <w:t xml:space="preserve"> </w:t>
      </w:r>
      <w:r w:rsidRPr="00C1599F">
        <w:rPr>
          <w:rFonts w:ascii="Century Gothic" w:hAnsi="Century Gothic"/>
          <w:sz w:val="20"/>
          <w:szCs w:val="20"/>
          <w:highlight w:val="yellow"/>
        </w:rPr>
        <w:t>Diniz Diniz, AN materiais de construção, Anor Alves Dias Eireli                                                  , Carlos Santos Pinho Nogueira –ME, Wilian Luiz Barreto, Msl Comercio e Industria De Materiasi Eletricos LTDA  , Nelmar De Moraes Franco-ME .</w:t>
      </w: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07DEE" w:rsidRDefault="00C07DEE" w:rsidP="00C07DEE">
      <w:pPr>
        <w:pStyle w:val="NormalWeb"/>
        <w:spacing w:after="0"/>
        <w:rPr>
          <w:rFonts w:ascii="Century Gothic" w:hAnsi="Century Gothic"/>
          <w:sz w:val="20"/>
          <w:szCs w:val="20"/>
        </w:rPr>
      </w:pPr>
    </w:p>
    <w:p w:rsidR="00C07DEE" w:rsidRPr="006153B4" w:rsidRDefault="00C07DEE" w:rsidP="00C07DEE">
      <w:pPr>
        <w:autoSpaceDE w:val="0"/>
        <w:autoSpaceDN w:val="0"/>
        <w:adjustRightInd w:val="0"/>
        <w:jc w:val="both"/>
        <w:rPr>
          <w:rFonts w:ascii="Century Gothic" w:eastAsia="Calibri" w:hAnsi="Century Gothic"/>
          <w:sz w:val="20"/>
          <w:szCs w:val="20"/>
        </w:rPr>
      </w:pPr>
    </w:p>
    <w:p w:rsidR="00C07DEE" w:rsidRPr="006153B4" w:rsidRDefault="00C07DEE" w:rsidP="00C07DEE">
      <w:pPr>
        <w:shd w:val="clear" w:color="auto" w:fill="A6A6A6"/>
        <w:autoSpaceDE w:val="0"/>
        <w:autoSpaceDN w:val="0"/>
        <w:adjustRightInd w:val="0"/>
        <w:rPr>
          <w:rFonts w:ascii="Century Gothic" w:eastAsia="Calibri" w:hAnsi="Century Gothic"/>
          <w:b/>
          <w:sz w:val="20"/>
          <w:szCs w:val="20"/>
        </w:rPr>
      </w:pPr>
      <w:r w:rsidRPr="006153B4">
        <w:rPr>
          <w:rFonts w:ascii="Century Gothic" w:eastAsia="Calibri" w:hAnsi="Century Gothic"/>
          <w:b/>
          <w:sz w:val="20"/>
          <w:szCs w:val="20"/>
        </w:rPr>
        <w:t>ENCERRAMENTO</w:t>
      </w:r>
    </w:p>
    <w:p w:rsidR="00C07DEE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6153B4">
        <w:rPr>
          <w:rFonts w:ascii="Century Gothic" w:hAnsi="Century Gothic"/>
          <w:sz w:val="20"/>
          <w:szCs w:val="20"/>
        </w:rPr>
        <w:t xml:space="preserve">Os preços ofertados nos itens foram considerados válidos. A Pregoeira, após a fase de </w:t>
      </w:r>
      <w:r>
        <w:rPr>
          <w:rFonts w:ascii="Century Gothic" w:hAnsi="Century Gothic"/>
          <w:sz w:val="20"/>
          <w:szCs w:val="20"/>
        </w:rPr>
        <w:t>lances</w:t>
      </w:r>
      <w:r w:rsidRPr="006153B4">
        <w:rPr>
          <w:rFonts w:ascii="Century Gothic" w:hAnsi="Century Gothic"/>
          <w:sz w:val="20"/>
          <w:szCs w:val="20"/>
        </w:rPr>
        <w:t xml:space="preserve">, juntamente com a equipe de apoio, deliberou a abertura do envelope de número 02(dois) – Habilitação que foi vistado e analisado quanto à sua consonância com o Edital. Os proponentes foram considerados aptos ao fornecimento dos itens licitados, tendo entregado toda a documentação exigida no edital. </w:t>
      </w:r>
    </w:p>
    <w:p w:rsidR="00C07DEE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C07DEE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6153B4">
        <w:rPr>
          <w:rFonts w:ascii="Century Gothic" w:hAnsi="Century Gothic"/>
          <w:sz w:val="20"/>
          <w:szCs w:val="20"/>
        </w:rPr>
        <w:t>Questionado</w:t>
      </w:r>
      <w:r w:rsidR="00C1599F">
        <w:rPr>
          <w:rFonts w:ascii="Century Gothic" w:hAnsi="Century Gothic"/>
          <w:sz w:val="20"/>
          <w:szCs w:val="20"/>
        </w:rPr>
        <w:t>s</w:t>
      </w:r>
      <w:r w:rsidRPr="006153B4">
        <w:rPr>
          <w:rFonts w:ascii="Century Gothic" w:hAnsi="Century Gothic"/>
          <w:sz w:val="20"/>
          <w:szCs w:val="20"/>
        </w:rPr>
        <w:t xml:space="preserve"> sobre o interesse de interpor recurso, os licitantes renunciaram a este direito. Encerrados os trabalhos de abertura e julgamento, e não havendo mais nada a tratar, encerrou-se a reunião, da qual lavrou-se a presente ata que, depois de lida e aprovada sem restrições, vai assinada por todos.</w:t>
      </w:r>
    </w:p>
    <w:p w:rsidR="00C07DEE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</w:p>
    <w:p w:rsidR="00C07DEE" w:rsidRPr="006153B4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Congonhas do Norte</w:t>
      </w:r>
      <w:r w:rsidRPr="0035194D">
        <w:rPr>
          <w:rFonts w:ascii="Century Gothic" w:hAnsi="Century Gothic"/>
          <w:sz w:val="20"/>
          <w:szCs w:val="20"/>
        </w:rPr>
        <w:t xml:space="preserve">/MG, </w:t>
      </w:r>
      <w:r w:rsidR="00C1599F">
        <w:rPr>
          <w:rFonts w:ascii="Century Gothic" w:hAnsi="Century Gothic"/>
          <w:sz w:val="20"/>
          <w:szCs w:val="20"/>
        </w:rPr>
        <w:t>21 de julho</w:t>
      </w:r>
      <w:r>
        <w:rPr>
          <w:rFonts w:ascii="Century Gothic" w:hAnsi="Century Gothic"/>
          <w:sz w:val="20"/>
          <w:szCs w:val="20"/>
        </w:rPr>
        <w:t xml:space="preserve"> de 2021</w:t>
      </w:r>
      <w:r w:rsidR="00C1599F">
        <w:rPr>
          <w:rFonts w:ascii="Century Gothic" w:hAnsi="Century Gothic"/>
          <w:sz w:val="20"/>
          <w:szCs w:val="20"/>
        </w:rPr>
        <w:t>.</w:t>
      </w:r>
    </w:p>
    <w:p w:rsidR="00C07DEE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C07DEE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C07DEE" w:rsidRPr="00C1599F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</w:p>
    <w:p w:rsidR="00C07DEE" w:rsidRPr="00C1599F" w:rsidRDefault="00C1599F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  <w:r w:rsidRPr="00C1599F">
        <w:rPr>
          <w:rFonts w:ascii="Century Gothic" w:hAnsi="Century Gothic"/>
          <w:sz w:val="20"/>
          <w:szCs w:val="20"/>
        </w:rPr>
        <w:t>Ingrit de Souza Santos</w:t>
      </w:r>
    </w:p>
    <w:p w:rsidR="00C07DEE" w:rsidRPr="00C1599F" w:rsidRDefault="00C07DEE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  <w:r w:rsidRPr="00C1599F">
        <w:rPr>
          <w:rFonts w:ascii="Century Gothic" w:hAnsi="Century Gothic"/>
          <w:sz w:val="20"/>
          <w:szCs w:val="20"/>
        </w:rPr>
        <w:t>Pregoeira</w:t>
      </w:r>
    </w:p>
    <w:p w:rsidR="00C07DEE" w:rsidRPr="00C1599F" w:rsidRDefault="00C07DEE" w:rsidP="00C07DEE">
      <w:pPr>
        <w:pStyle w:val="NormalWeb"/>
        <w:spacing w:after="0"/>
        <w:jc w:val="both"/>
        <w:rPr>
          <w:rFonts w:ascii="Century Gothic" w:hAnsi="Century Gothic"/>
          <w:sz w:val="20"/>
          <w:szCs w:val="20"/>
        </w:rPr>
      </w:pPr>
      <w:r w:rsidRPr="00C1599F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                    </w:t>
      </w:r>
      <w:r w:rsidR="00C1599F">
        <w:rPr>
          <w:rFonts w:ascii="Century Gothic" w:hAnsi="Century Gothic"/>
          <w:sz w:val="20"/>
          <w:szCs w:val="20"/>
        </w:rPr>
        <w:t xml:space="preserve">                      </w:t>
      </w:r>
      <w:r w:rsidRPr="00C1599F">
        <w:rPr>
          <w:rFonts w:ascii="Century Gothic" w:hAnsi="Century Gothic"/>
          <w:sz w:val="20"/>
          <w:szCs w:val="20"/>
        </w:rPr>
        <w:t xml:space="preserve">  Alessandro Pires de Moraes                           </w:t>
      </w:r>
      <w:r w:rsidR="00C1599F">
        <w:rPr>
          <w:rFonts w:ascii="Century Gothic" w:hAnsi="Century Gothic"/>
          <w:sz w:val="20"/>
          <w:szCs w:val="20"/>
        </w:rPr>
        <w:t xml:space="preserve">                 </w:t>
      </w:r>
      <w:r w:rsidRPr="00C1599F">
        <w:rPr>
          <w:rFonts w:ascii="Century Gothic" w:hAnsi="Century Gothic"/>
          <w:sz w:val="20"/>
          <w:szCs w:val="20"/>
        </w:rPr>
        <w:t xml:space="preserve"> José Joaquim Mendes</w:t>
      </w:r>
    </w:p>
    <w:p w:rsidR="00C07DEE" w:rsidRPr="00C1599F" w:rsidRDefault="00C1599F" w:rsidP="00C07DEE">
      <w:pPr>
        <w:rPr>
          <w:rFonts w:ascii="Century Gothic" w:eastAsia="Calibri" w:hAnsi="Century Gothic"/>
          <w:sz w:val="20"/>
          <w:szCs w:val="20"/>
        </w:rPr>
      </w:pPr>
      <w:r w:rsidRPr="00C1599F">
        <w:rPr>
          <w:rFonts w:ascii="Century Gothic" w:eastAsia="Calibri" w:hAnsi="Century Gothic"/>
          <w:sz w:val="20"/>
          <w:szCs w:val="20"/>
        </w:rPr>
        <w:t xml:space="preserve"> </w:t>
      </w:r>
      <w:r w:rsidR="00C07DEE" w:rsidRPr="00C1599F">
        <w:rPr>
          <w:rFonts w:ascii="Century Gothic" w:eastAsia="Calibri" w:hAnsi="Century Gothic"/>
          <w:sz w:val="20"/>
          <w:szCs w:val="20"/>
        </w:rPr>
        <w:t xml:space="preserve">   Membro Equipe de Apoio                  </w:t>
      </w:r>
      <w:r w:rsidRPr="00C1599F">
        <w:rPr>
          <w:rFonts w:ascii="Century Gothic" w:eastAsia="Calibri" w:hAnsi="Century Gothic"/>
          <w:sz w:val="20"/>
          <w:szCs w:val="20"/>
        </w:rPr>
        <w:t xml:space="preserve">                        </w:t>
      </w:r>
      <w:r w:rsidR="00C07DEE" w:rsidRPr="00C1599F">
        <w:rPr>
          <w:rFonts w:ascii="Century Gothic" w:eastAsia="Calibri" w:hAnsi="Century Gothic"/>
          <w:sz w:val="20"/>
          <w:szCs w:val="20"/>
        </w:rPr>
        <w:t xml:space="preserve"> Membro Equipe de Apoio</w:t>
      </w:r>
    </w:p>
    <w:p w:rsidR="00C07DEE" w:rsidRPr="0035194D" w:rsidRDefault="00C07DEE" w:rsidP="00C07DEE">
      <w:pPr>
        <w:pStyle w:val="TextosemFormatao"/>
        <w:jc w:val="center"/>
        <w:rPr>
          <w:rFonts w:ascii="Century Gothic" w:eastAsia="Calibri" w:hAnsi="Century Gothic"/>
          <w:lang w:eastAsia="en-US"/>
        </w:rPr>
      </w:pPr>
    </w:p>
    <w:p w:rsidR="00C07DEE" w:rsidRPr="0035194D" w:rsidRDefault="00C07DEE" w:rsidP="00C07DEE">
      <w:pPr>
        <w:jc w:val="center"/>
        <w:rPr>
          <w:rFonts w:ascii="Century Gothic" w:hAnsi="Century Gothic"/>
          <w:b/>
          <w:sz w:val="20"/>
          <w:szCs w:val="20"/>
        </w:rPr>
      </w:pPr>
    </w:p>
    <w:p w:rsidR="00C07DEE" w:rsidRPr="0035194D" w:rsidRDefault="00C07DEE" w:rsidP="00C07DEE">
      <w:pPr>
        <w:jc w:val="center"/>
        <w:rPr>
          <w:rFonts w:ascii="Century Gothic" w:hAnsi="Century Gothic"/>
          <w:b/>
          <w:sz w:val="20"/>
          <w:szCs w:val="20"/>
        </w:rPr>
      </w:pPr>
      <w:r w:rsidRPr="0035194D">
        <w:rPr>
          <w:rFonts w:ascii="Century Gothic" w:hAnsi="Century Gothic"/>
          <w:b/>
          <w:sz w:val="20"/>
          <w:szCs w:val="20"/>
        </w:rPr>
        <w:t xml:space="preserve"> </w:t>
      </w:r>
    </w:p>
    <w:p w:rsidR="00C07DEE" w:rsidRPr="0035194D" w:rsidRDefault="00C07DEE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  <w:r w:rsidRPr="0035194D">
        <w:rPr>
          <w:rFonts w:ascii="Century Gothic" w:hAnsi="Century Gothic"/>
          <w:sz w:val="20"/>
          <w:szCs w:val="20"/>
        </w:rPr>
        <w:t>REPRESENTANTES DAS EMPRESAS:</w:t>
      </w:r>
    </w:p>
    <w:p w:rsidR="00C07DEE" w:rsidRDefault="00C07DEE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C1599F" w:rsidRDefault="00C1599F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C1599F" w:rsidRPr="0035194D" w:rsidRDefault="00C1599F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</w:rPr>
      </w:pPr>
    </w:p>
    <w:p w:rsidR="00C07DEE" w:rsidRPr="00C1599F" w:rsidRDefault="00C07DEE" w:rsidP="00C1599F">
      <w:pPr>
        <w:pStyle w:val="NormalWeb"/>
        <w:tabs>
          <w:tab w:val="left" w:pos="5595"/>
        </w:tabs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  <w:r w:rsidRPr="00C1599F">
        <w:rPr>
          <w:rFonts w:ascii="Century Gothic" w:hAnsi="Century Gothic"/>
          <w:sz w:val="20"/>
          <w:szCs w:val="20"/>
          <w:highlight w:val="yellow"/>
        </w:rPr>
        <w:t>Diniz Diniz</w:t>
      </w:r>
    </w:p>
    <w:p w:rsidR="00C07DEE" w:rsidRPr="00C1599F" w:rsidRDefault="00C07DEE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  <w:r w:rsidRPr="00C1599F">
        <w:rPr>
          <w:rFonts w:ascii="Century Gothic" w:hAnsi="Century Gothic"/>
          <w:sz w:val="20"/>
          <w:szCs w:val="20"/>
          <w:highlight w:val="yellow"/>
        </w:rPr>
        <w:lastRenderedPageBreak/>
        <w:t>Artur Souza Diniz</w:t>
      </w:r>
    </w:p>
    <w:p w:rsidR="00C07DEE" w:rsidRPr="00C1599F" w:rsidRDefault="00C07DEE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</w:p>
    <w:p w:rsidR="00C07DEE" w:rsidRPr="00C1599F" w:rsidRDefault="00C07DEE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</w:p>
    <w:p w:rsidR="00C07DEE" w:rsidRPr="00C1599F" w:rsidRDefault="00C07DEE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</w:p>
    <w:p w:rsidR="00C07DEE" w:rsidRPr="00C1599F" w:rsidRDefault="00C07DEE" w:rsidP="00C1599F">
      <w:pPr>
        <w:pStyle w:val="NormalWeb"/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</w:p>
    <w:p w:rsidR="00C07DEE" w:rsidRPr="00C1599F" w:rsidRDefault="00C07DEE" w:rsidP="00C1599F">
      <w:pPr>
        <w:pStyle w:val="NormalWeb"/>
        <w:tabs>
          <w:tab w:val="left" w:pos="5160"/>
        </w:tabs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</w:p>
    <w:p w:rsidR="00C07DEE" w:rsidRPr="00C1599F" w:rsidRDefault="00C07DEE" w:rsidP="00C1599F">
      <w:pPr>
        <w:pStyle w:val="NormalWeb"/>
        <w:tabs>
          <w:tab w:val="left" w:pos="5160"/>
        </w:tabs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  <w:r w:rsidRPr="00C1599F">
        <w:rPr>
          <w:rFonts w:ascii="Century Gothic" w:hAnsi="Century Gothic"/>
          <w:sz w:val="20"/>
          <w:szCs w:val="20"/>
          <w:highlight w:val="yellow"/>
        </w:rPr>
        <w:t>LS Soluções Eletricas LTDA</w:t>
      </w:r>
    </w:p>
    <w:p w:rsidR="00C07DEE" w:rsidRPr="00C1599F" w:rsidRDefault="00C07DEE" w:rsidP="00C1599F">
      <w:pPr>
        <w:pStyle w:val="NormalWeb"/>
        <w:tabs>
          <w:tab w:val="left" w:pos="3225"/>
        </w:tabs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  <w:r w:rsidRPr="00C1599F">
        <w:rPr>
          <w:rFonts w:ascii="Century Gothic" w:hAnsi="Century Gothic"/>
          <w:sz w:val="20"/>
          <w:szCs w:val="20"/>
          <w:highlight w:val="yellow"/>
        </w:rPr>
        <w:t>Luiz Milanez Saldanha</w:t>
      </w:r>
    </w:p>
    <w:p w:rsidR="00C07DEE" w:rsidRPr="00C1599F" w:rsidRDefault="00C07DEE" w:rsidP="00C1599F">
      <w:pPr>
        <w:pStyle w:val="NormalWeb"/>
        <w:tabs>
          <w:tab w:val="left" w:pos="3225"/>
        </w:tabs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</w:p>
    <w:p w:rsidR="00C1599F" w:rsidRPr="00C1599F" w:rsidRDefault="00C1599F" w:rsidP="00C1599F">
      <w:pPr>
        <w:pStyle w:val="NormalWeb"/>
        <w:tabs>
          <w:tab w:val="left" w:pos="3225"/>
        </w:tabs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</w:p>
    <w:p w:rsidR="00C1599F" w:rsidRPr="00C1599F" w:rsidRDefault="00C1599F" w:rsidP="00C1599F">
      <w:pPr>
        <w:pStyle w:val="NormalWeb"/>
        <w:tabs>
          <w:tab w:val="left" w:pos="3225"/>
        </w:tabs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</w:p>
    <w:p w:rsidR="00C1599F" w:rsidRPr="00C1599F" w:rsidRDefault="00C1599F" w:rsidP="00C1599F">
      <w:pPr>
        <w:pStyle w:val="NormalWeb"/>
        <w:tabs>
          <w:tab w:val="left" w:pos="3225"/>
        </w:tabs>
        <w:spacing w:after="0"/>
        <w:jc w:val="center"/>
        <w:rPr>
          <w:rFonts w:ascii="Century Gothic" w:hAnsi="Century Gothic"/>
          <w:sz w:val="20"/>
          <w:szCs w:val="20"/>
          <w:highlight w:val="yellow"/>
        </w:rPr>
      </w:pPr>
    </w:p>
    <w:p w:rsidR="00C07DEE" w:rsidRDefault="00C07DEE" w:rsidP="00C1599F">
      <w:pPr>
        <w:tabs>
          <w:tab w:val="left" w:pos="3210"/>
          <w:tab w:val="left" w:pos="3330"/>
          <w:tab w:val="left" w:pos="4935"/>
        </w:tabs>
        <w:jc w:val="center"/>
      </w:pPr>
      <w:r w:rsidRPr="00C1599F">
        <w:rPr>
          <w:rFonts w:ascii="Century Gothic" w:hAnsi="Century Gothic"/>
          <w:sz w:val="20"/>
          <w:szCs w:val="20"/>
          <w:highlight w:val="yellow"/>
        </w:rPr>
        <w:t>Nelmar De Moraes Franco-ME                                                                                                                                                                                                                                              Nelmar de Moraes Franco</w:t>
      </w:r>
    </w:p>
    <w:p w:rsidR="00C07DEE" w:rsidRPr="008B08A4" w:rsidRDefault="00C07DEE" w:rsidP="00C07DEE">
      <w:pPr>
        <w:tabs>
          <w:tab w:val="left" w:pos="4935"/>
        </w:tabs>
      </w:pPr>
    </w:p>
    <w:p w:rsidR="001E5FD9" w:rsidRPr="008B08A4" w:rsidRDefault="001E5FD9" w:rsidP="008B08A4"/>
    <w:sectPr w:rsidR="001E5FD9" w:rsidRPr="008B08A4" w:rsidSect="0037535D">
      <w:headerReference w:type="default" r:id="rId6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7774" w:rsidRDefault="00CD7774" w:rsidP="008F238A">
      <w:pPr>
        <w:spacing w:after="0" w:line="240" w:lineRule="auto"/>
      </w:pPr>
      <w:r>
        <w:separator/>
      </w:r>
    </w:p>
  </w:endnote>
  <w:endnote w:type="continuationSeparator" w:id="1">
    <w:p w:rsidR="00CD7774" w:rsidRDefault="00CD7774" w:rsidP="008F2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7774" w:rsidRDefault="00CD7774" w:rsidP="008F238A">
      <w:pPr>
        <w:spacing w:after="0" w:line="240" w:lineRule="auto"/>
      </w:pPr>
      <w:r>
        <w:separator/>
      </w:r>
    </w:p>
  </w:footnote>
  <w:footnote w:type="continuationSeparator" w:id="1">
    <w:p w:rsidR="00CD7774" w:rsidRDefault="00CD7774" w:rsidP="008F23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FD9" w:rsidRPr="008F238A" w:rsidRDefault="001E5FD9" w:rsidP="008F238A">
    <w:pPr>
      <w:pStyle w:val="Cabealho"/>
    </w:pPr>
    <w:r>
      <w:rPr>
        <w:noProof/>
        <w:lang w:eastAsia="pt-BR"/>
      </w:rPr>
      <w:drawing>
        <wp:inline distT="0" distB="0" distL="0" distR="0">
          <wp:extent cx="5400040" cy="1031983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319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38A"/>
    <w:rsid w:val="00037A5C"/>
    <w:rsid w:val="000A3434"/>
    <w:rsid w:val="000C2948"/>
    <w:rsid w:val="000C5E07"/>
    <w:rsid w:val="00131C9C"/>
    <w:rsid w:val="001E5FD9"/>
    <w:rsid w:val="00286FB1"/>
    <w:rsid w:val="002B3ABA"/>
    <w:rsid w:val="00337952"/>
    <w:rsid w:val="00337A7B"/>
    <w:rsid w:val="0037535D"/>
    <w:rsid w:val="003C26E1"/>
    <w:rsid w:val="00416622"/>
    <w:rsid w:val="004A17C2"/>
    <w:rsid w:val="004A3882"/>
    <w:rsid w:val="00590289"/>
    <w:rsid w:val="00615812"/>
    <w:rsid w:val="0064592F"/>
    <w:rsid w:val="008B08A4"/>
    <w:rsid w:val="008D19F0"/>
    <w:rsid w:val="008F238A"/>
    <w:rsid w:val="00AB5598"/>
    <w:rsid w:val="00B2358B"/>
    <w:rsid w:val="00C07DEE"/>
    <w:rsid w:val="00C1599F"/>
    <w:rsid w:val="00CD7774"/>
    <w:rsid w:val="00CF2544"/>
    <w:rsid w:val="00D16278"/>
    <w:rsid w:val="00D53C1F"/>
    <w:rsid w:val="00D63487"/>
    <w:rsid w:val="00D80A51"/>
    <w:rsid w:val="00DB04E6"/>
    <w:rsid w:val="00DD2D63"/>
    <w:rsid w:val="00E643EA"/>
    <w:rsid w:val="00F25E3A"/>
    <w:rsid w:val="00F57D44"/>
    <w:rsid w:val="00FB13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294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238A"/>
  </w:style>
  <w:style w:type="paragraph" w:styleId="Rodap">
    <w:name w:val="footer"/>
    <w:basedOn w:val="Normal"/>
    <w:link w:val="Rodap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238A"/>
  </w:style>
  <w:style w:type="paragraph" w:styleId="Textodebalo">
    <w:name w:val="Balloon Text"/>
    <w:basedOn w:val="Normal"/>
    <w:link w:val="TextodebaloChar"/>
    <w:uiPriority w:val="99"/>
    <w:semiHidden/>
    <w:unhideWhenUsed/>
    <w:rsid w:val="008F2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238A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A34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semiHidden/>
    <w:unhideWhenUsed/>
    <w:rsid w:val="00286FB1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286FB1"/>
    <w:rPr>
      <w:color w:val="800080"/>
      <w:u w:val="single"/>
    </w:rPr>
  </w:style>
  <w:style w:type="paragraph" w:customStyle="1" w:styleId="font5">
    <w:name w:val="font5"/>
    <w:basedOn w:val="Normal"/>
    <w:rsid w:val="00286FB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font6">
    <w:name w:val="font6"/>
    <w:basedOn w:val="Normal"/>
    <w:rsid w:val="00286FB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4"/>
      <w:szCs w:val="24"/>
      <w:u w:val="single"/>
      <w:lang w:eastAsia="pt-BR"/>
    </w:rPr>
  </w:style>
  <w:style w:type="paragraph" w:customStyle="1" w:styleId="font7">
    <w:name w:val="font7"/>
    <w:basedOn w:val="Normal"/>
    <w:rsid w:val="00286FB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63">
    <w:name w:val="xl63"/>
    <w:basedOn w:val="Normal"/>
    <w:rsid w:val="00286FB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i/>
      <w:iCs/>
      <w:sz w:val="20"/>
      <w:szCs w:val="20"/>
      <w:lang w:eastAsia="pt-BR"/>
    </w:rPr>
  </w:style>
  <w:style w:type="paragraph" w:customStyle="1" w:styleId="xl64">
    <w:name w:val="xl64"/>
    <w:basedOn w:val="Normal"/>
    <w:rsid w:val="00286FB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i/>
      <w:iCs/>
      <w:sz w:val="20"/>
      <w:szCs w:val="20"/>
      <w:lang w:eastAsia="pt-BR"/>
    </w:rPr>
  </w:style>
  <w:style w:type="paragraph" w:customStyle="1" w:styleId="xl65">
    <w:name w:val="xl65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66">
    <w:name w:val="xl66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Courier New" w:eastAsia="Times New Roman" w:hAnsi="Courier New" w:cs="Courier New"/>
      <w:sz w:val="24"/>
      <w:szCs w:val="24"/>
      <w:lang w:eastAsia="pt-BR"/>
    </w:rPr>
  </w:style>
  <w:style w:type="paragraph" w:customStyle="1" w:styleId="xl67">
    <w:name w:val="xl67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color w:val="000000"/>
      <w:sz w:val="24"/>
      <w:szCs w:val="24"/>
      <w:lang w:eastAsia="pt-BR"/>
    </w:rPr>
  </w:style>
  <w:style w:type="paragraph" w:customStyle="1" w:styleId="xl68">
    <w:name w:val="xl68"/>
    <w:basedOn w:val="Normal"/>
    <w:rsid w:val="00286FB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69">
    <w:name w:val="xl69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Courier New" w:eastAsia="Times New Roman" w:hAnsi="Courier New" w:cs="Courier New"/>
      <w:b/>
      <w:bCs/>
      <w:color w:val="000000"/>
      <w:sz w:val="24"/>
      <w:szCs w:val="24"/>
      <w:lang w:eastAsia="pt-BR"/>
    </w:rPr>
  </w:style>
  <w:style w:type="paragraph" w:customStyle="1" w:styleId="xl70">
    <w:name w:val="xl70"/>
    <w:basedOn w:val="Normal"/>
    <w:rsid w:val="00286FB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ourier New" w:eastAsia="Times New Roman" w:hAnsi="Courier New" w:cs="Courier New"/>
      <w:b/>
      <w:bCs/>
      <w:sz w:val="24"/>
      <w:szCs w:val="24"/>
      <w:lang w:eastAsia="pt-BR"/>
    </w:rPr>
  </w:style>
  <w:style w:type="paragraph" w:customStyle="1" w:styleId="xl71">
    <w:name w:val="xl71"/>
    <w:basedOn w:val="Normal"/>
    <w:rsid w:val="00286FB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customStyle="1" w:styleId="xl72">
    <w:name w:val="xl72"/>
    <w:basedOn w:val="Normal"/>
    <w:rsid w:val="00286FB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Courier New" w:eastAsia="Times New Roman" w:hAnsi="Courier New" w:cs="Courier New"/>
      <w:color w:val="000000"/>
      <w:sz w:val="24"/>
      <w:szCs w:val="24"/>
      <w:lang w:eastAsia="pt-BR"/>
    </w:rPr>
  </w:style>
  <w:style w:type="paragraph" w:styleId="TextosemFormatao">
    <w:name w:val="Plain Text"/>
    <w:basedOn w:val="Normal"/>
    <w:link w:val="TextosemFormataoChar"/>
    <w:rsid w:val="00C07DEE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TextosemFormataoChar">
    <w:name w:val="Texto sem Formatação Char"/>
    <w:basedOn w:val="Fontepargpadro"/>
    <w:link w:val="TextosemFormatao"/>
    <w:rsid w:val="00C07DEE"/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NormalWeb">
    <w:name w:val="Normal (Web)"/>
    <w:basedOn w:val="Normal"/>
    <w:unhideWhenUsed/>
    <w:rsid w:val="00C07DEE"/>
    <w:rPr>
      <w:rFonts w:ascii="Times New Roman" w:eastAsia="Calibri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238A"/>
  </w:style>
  <w:style w:type="paragraph" w:styleId="Rodap">
    <w:name w:val="footer"/>
    <w:basedOn w:val="Normal"/>
    <w:link w:val="RodapChar"/>
    <w:uiPriority w:val="99"/>
    <w:unhideWhenUsed/>
    <w:rsid w:val="008F2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238A"/>
  </w:style>
  <w:style w:type="paragraph" w:styleId="Textodebalo">
    <w:name w:val="Balloon Text"/>
    <w:basedOn w:val="Normal"/>
    <w:link w:val="TextodebaloChar"/>
    <w:uiPriority w:val="99"/>
    <w:semiHidden/>
    <w:unhideWhenUsed/>
    <w:rsid w:val="008F2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23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86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753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DSA</dc:creator>
  <cp:lastModifiedBy>Arlene Morais</cp:lastModifiedBy>
  <cp:revision>7</cp:revision>
  <cp:lastPrinted>2021-04-13T18:44:00Z</cp:lastPrinted>
  <dcterms:created xsi:type="dcterms:W3CDTF">2021-07-20T19:32:00Z</dcterms:created>
  <dcterms:modified xsi:type="dcterms:W3CDTF">2021-07-21T12:20:00Z</dcterms:modified>
</cp:coreProperties>
</file>