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E60C" w14:textId="77777777" w:rsidR="0087541D" w:rsidRPr="006D0D70" w:rsidRDefault="0087541D" w:rsidP="006D0D70">
      <w:pPr>
        <w:spacing w:after="0" w:line="360" w:lineRule="auto"/>
        <w:jc w:val="both"/>
        <w:rPr>
          <w:rFonts w:ascii="Arial" w:hAnsi="Arial" w:cs="Arial"/>
          <w:b/>
          <w:sz w:val="23"/>
          <w:szCs w:val="23"/>
        </w:rPr>
      </w:pPr>
    </w:p>
    <w:p w14:paraId="771E395E" w14:textId="261B8A94" w:rsidR="0087541D" w:rsidRPr="006D0D70" w:rsidRDefault="0087541D" w:rsidP="006D0D70">
      <w:pPr>
        <w:spacing w:after="0" w:line="360" w:lineRule="auto"/>
        <w:jc w:val="both"/>
        <w:rPr>
          <w:rFonts w:ascii="Arial" w:hAnsi="Arial" w:cs="Arial"/>
          <w:sz w:val="23"/>
          <w:szCs w:val="23"/>
        </w:rPr>
      </w:pPr>
      <w:r w:rsidRPr="006D0D70">
        <w:rPr>
          <w:rFonts w:ascii="Arial" w:hAnsi="Arial" w:cs="Arial"/>
          <w:b/>
          <w:sz w:val="23"/>
          <w:szCs w:val="23"/>
        </w:rPr>
        <w:t xml:space="preserve">MENSAGEM Nº </w:t>
      </w:r>
      <w:r w:rsidR="00637286">
        <w:rPr>
          <w:rFonts w:ascii="Arial" w:hAnsi="Arial" w:cs="Arial"/>
          <w:b/>
          <w:sz w:val="23"/>
          <w:szCs w:val="23"/>
        </w:rPr>
        <w:t>69</w:t>
      </w:r>
      <w:r w:rsidRPr="006D0D70">
        <w:rPr>
          <w:rFonts w:ascii="Arial" w:hAnsi="Arial" w:cs="Arial"/>
          <w:b/>
          <w:sz w:val="23"/>
          <w:szCs w:val="23"/>
        </w:rPr>
        <w:t>/2025</w:t>
      </w:r>
      <w:r w:rsidRPr="006D0D70">
        <w:rPr>
          <w:rFonts w:ascii="Arial" w:hAnsi="Arial" w:cs="Arial"/>
          <w:sz w:val="23"/>
          <w:szCs w:val="23"/>
        </w:rPr>
        <w:t xml:space="preserve">                                           Brumadinho</w:t>
      </w:r>
      <w:r w:rsidR="001A5092" w:rsidRPr="006D0D70">
        <w:rPr>
          <w:rFonts w:ascii="Arial" w:hAnsi="Arial" w:cs="Arial"/>
          <w:sz w:val="23"/>
          <w:szCs w:val="23"/>
        </w:rPr>
        <w:t xml:space="preserve">, </w:t>
      </w:r>
      <w:r w:rsidR="00BE6535">
        <w:rPr>
          <w:rFonts w:ascii="Arial" w:hAnsi="Arial" w:cs="Arial"/>
          <w:sz w:val="23"/>
          <w:szCs w:val="23"/>
        </w:rPr>
        <w:t>30</w:t>
      </w:r>
      <w:r w:rsidR="003A5856" w:rsidRPr="006D0D70">
        <w:rPr>
          <w:rFonts w:ascii="Arial" w:hAnsi="Arial" w:cs="Arial"/>
          <w:sz w:val="23"/>
          <w:szCs w:val="23"/>
        </w:rPr>
        <w:t xml:space="preserve"> de setembro de 2025.</w:t>
      </w:r>
    </w:p>
    <w:p w14:paraId="5D8BC847" w14:textId="77777777" w:rsidR="0087541D" w:rsidRPr="006D0D70" w:rsidRDefault="0087541D" w:rsidP="006D0D70">
      <w:pPr>
        <w:spacing w:after="0" w:line="360" w:lineRule="auto"/>
        <w:jc w:val="both"/>
        <w:rPr>
          <w:rFonts w:ascii="Arial" w:hAnsi="Arial" w:cs="Arial"/>
          <w:b/>
          <w:sz w:val="23"/>
          <w:szCs w:val="23"/>
        </w:rPr>
      </w:pPr>
      <w:r w:rsidRPr="006D0D70">
        <w:rPr>
          <w:rFonts w:ascii="Arial" w:hAnsi="Arial" w:cs="Arial"/>
          <w:b/>
          <w:sz w:val="23"/>
          <w:szCs w:val="23"/>
        </w:rPr>
        <w:t>GABINETE DO PREFEITO</w:t>
      </w:r>
    </w:p>
    <w:p w14:paraId="568F32D1" w14:textId="77777777" w:rsidR="0087541D" w:rsidRPr="006D0D70" w:rsidRDefault="0087541D" w:rsidP="006D0D70">
      <w:pPr>
        <w:spacing w:after="0" w:line="360" w:lineRule="auto"/>
        <w:jc w:val="both"/>
        <w:rPr>
          <w:rFonts w:ascii="Arial" w:hAnsi="Arial" w:cs="Arial"/>
          <w:sz w:val="23"/>
          <w:szCs w:val="23"/>
        </w:rPr>
      </w:pPr>
    </w:p>
    <w:p w14:paraId="4E9D72C3" w14:textId="77777777" w:rsidR="0087541D" w:rsidRPr="006D0D70" w:rsidRDefault="0087541D" w:rsidP="006D0D70">
      <w:pPr>
        <w:spacing w:after="0" w:line="360" w:lineRule="auto"/>
        <w:jc w:val="both"/>
        <w:rPr>
          <w:rFonts w:ascii="Arial" w:hAnsi="Arial" w:cs="Arial"/>
          <w:sz w:val="23"/>
          <w:szCs w:val="23"/>
        </w:rPr>
      </w:pPr>
    </w:p>
    <w:p w14:paraId="09487FD4" w14:textId="77777777" w:rsidR="0087541D" w:rsidRPr="006D0D70" w:rsidRDefault="0087541D" w:rsidP="006D0D70">
      <w:pPr>
        <w:spacing w:after="0" w:line="360" w:lineRule="auto"/>
        <w:jc w:val="both"/>
        <w:rPr>
          <w:rFonts w:ascii="Arial" w:hAnsi="Arial" w:cs="Arial"/>
          <w:sz w:val="23"/>
          <w:szCs w:val="23"/>
        </w:rPr>
      </w:pPr>
      <w:r w:rsidRPr="006D0D70">
        <w:rPr>
          <w:rFonts w:ascii="Arial" w:hAnsi="Arial" w:cs="Arial"/>
          <w:sz w:val="23"/>
          <w:szCs w:val="23"/>
        </w:rPr>
        <w:t>Excelentíssimo Senhor Vereador Presidente,</w:t>
      </w:r>
    </w:p>
    <w:p w14:paraId="3D5CAB74" w14:textId="77777777" w:rsidR="0087541D" w:rsidRPr="006D0D70" w:rsidRDefault="0087541D" w:rsidP="006D0D70">
      <w:pPr>
        <w:spacing w:after="0" w:line="360" w:lineRule="auto"/>
        <w:jc w:val="both"/>
        <w:rPr>
          <w:rFonts w:ascii="Arial" w:hAnsi="Arial" w:cs="Arial"/>
          <w:sz w:val="23"/>
          <w:szCs w:val="23"/>
        </w:rPr>
      </w:pPr>
      <w:r w:rsidRPr="006D0D70">
        <w:rPr>
          <w:rFonts w:ascii="Arial" w:hAnsi="Arial" w:cs="Arial"/>
          <w:sz w:val="23"/>
          <w:szCs w:val="23"/>
        </w:rPr>
        <w:t>Excelentíssimos Senhores Vereadores da Câmara Municipal de Brumadinho,</w:t>
      </w:r>
    </w:p>
    <w:p w14:paraId="24893A35" w14:textId="77777777" w:rsidR="00D76115" w:rsidRPr="006D0D70" w:rsidRDefault="00D76115" w:rsidP="006D0D70">
      <w:pPr>
        <w:spacing w:after="0" w:line="360" w:lineRule="auto"/>
        <w:jc w:val="both"/>
        <w:rPr>
          <w:rFonts w:ascii="Arial" w:hAnsi="Arial" w:cs="Arial"/>
          <w:sz w:val="23"/>
          <w:szCs w:val="23"/>
        </w:rPr>
      </w:pPr>
    </w:p>
    <w:p w14:paraId="016562AD" w14:textId="77777777" w:rsidR="00694910" w:rsidRPr="006D0D70" w:rsidRDefault="00694910" w:rsidP="006D0D70">
      <w:pPr>
        <w:spacing w:after="0" w:line="360" w:lineRule="auto"/>
        <w:jc w:val="both"/>
        <w:rPr>
          <w:rFonts w:ascii="Arial" w:hAnsi="Arial" w:cs="Arial"/>
          <w:sz w:val="23"/>
          <w:szCs w:val="23"/>
        </w:rPr>
      </w:pPr>
    </w:p>
    <w:p w14:paraId="41D30159" w14:textId="1C273A0B" w:rsid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rPr>
        <w:t xml:space="preserve">O Chefe do Poder Executivo tem </w:t>
      </w:r>
      <w:r w:rsidRPr="006D0D70">
        <w:rPr>
          <w:rFonts w:ascii="Arial" w:hAnsi="Arial" w:cs="Arial"/>
          <w:sz w:val="23"/>
          <w:szCs w:val="23"/>
          <w:shd w:val="clear" w:color="auto" w:fill="FFFFFF"/>
        </w:rPr>
        <w:t xml:space="preserve">a honra de encaminhar a Vossa Excelência, para apreciação dessa nobre Casa Legislativa, o Projeto de Lei Orçamentária Anual, que </w:t>
      </w:r>
      <w:r w:rsidRPr="006D0D70">
        <w:rPr>
          <w:rFonts w:ascii="Arial" w:hAnsi="Arial" w:cs="Arial"/>
          <w:b/>
          <w:bCs/>
          <w:sz w:val="23"/>
          <w:szCs w:val="23"/>
          <w:shd w:val="clear" w:color="auto" w:fill="FFFFFF"/>
        </w:rPr>
        <w:t>estima a Receita e fixa a Despesa</w:t>
      </w:r>
      <w:r w:rsidRPr="006D0D70">
        <w:rPr>
          <w:rFonts w:ascii="Arial" w:hAnsi="Arial" w:cs="Arial"/>
          <w:sz w:val="23"/>
          <w:szCs w:val="23"/>
          <w:shd w:val="clear" w:color="auto" w:fill="FFFFFF"/>
        </w:rPr>
        <w:t xml:space="preserve"> do Município do Brumadinho para o exercício financeiro de 2026, nos termos da Lei Orgânica do Município, em atendimento ao artigo 165 da Constituição Federal de 1988, da Lei 4.320/64, da Lei de Responsabilidade Fiscal (LRF) – Lei Complementar 101/2000 – e, em consonância aos instrumentos de plan</w:t>
      </w:r>
      <w:r>
        <w:rPr>
          <w:rFonts w:ascii="Arial" w:hAnsi="Arial" w:cs="Arial"/>
          <w:sz w:val="23"/>
          <w:szCs w:val="23"/>
          <w:shd w:val="clear" w:color="auto" w:fill="FFFFFF"/>
        </w:rPr>
        <w:t>ejamento LDO e PPA (2026-2029).</w:t>
      </w:r>
    </w:p>
    <w:p w14:paraId="27EA7118" w14:textId="77777777" w:rsidR="006D0D70" w:rsidRPr="006D0D70" w:rsidRDefault="006D0D70" w:rsidP="006D0D70">
      <w:pPr>
        <w:spacing w:after="0" w:line="360" w:lineRule="auto"/>
        <w:jc w:val="both"/>
        <w:rPr>
          <w:rFonts w:ascii="Arial" w:hAnsi="Arial" w:cs="Arial"/>
          <w:sz w:val="23"/>
          <w:szCs w:val="23"/>
          <w:shd w:val="clear" w:color="auto" w:fill="FFFFFF"/>
        </w:rPr>
      </w:pPr>
    </w:p>
    <w:p w14:paraId="56E79A22"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Com o propósito de assegurar coerência entre o planejamento e a execução orçamentária, esta Proposta de LOA 2026 está alinhada ao PPA 2026–2029 e às diretrizes do Plano Estratégico de Governo, em fase final de consolidação e que será, em breve, apresentado à população, de modo a fortalecer o acompanhamento e o controle social. Em observância ao princípio do planejamento e às diretrizes da Lei nº 14.133/2021 (com destaque para o Plano de Contratações Anual – PCA), a programação orçamentária desdobra objetivos, indicadores e metas pactuados no PPA, sob coordenação do Comitê de Gestão Estratégica (CGE). O monitoramento da execução ocorrerá por painéis públicos de desempenho, relatórios periódicos e audiências, em consonância com o art. 48 da LRF, garantindo transparência ativa, participação popular e controle social qualificado, com registro de marcos, responsáveis e resultados por programa e ação.</w:t>
      </w:r>
    </w:p>
    <w:p w14:paraId="7381EA27" w14:textId="77777777" w:rsidR="006D0D70" w:rsidRDefault="006D0D70" w:rsidP="006D0D70">
      <w:pPr>
        <w:spacing w:after="0" w:line="360" w:lineRule="auto"/>
        <w:jc w:val="both"/>
        <w:rPr>
          <w:rFonts w:ascii="Arial" w:hAnsi="Arial" w:cs="Arial"/>
          <w:b/>
          <w:sz w:val="23"/>
          <w:szCs w:val="23"/>
          <w:shd w:val="clear" w:color="auto" w:fill="FFFFFF"/>
        </w:rPr>
      </w:pPr>
    </w:p>
    <w:p w14:paraId="3A456F82" w14:textId="588FE506" w:rsidR="006D0D70" w:rsidRPr="006D0D70" w:rsidRDefault="00BE6535" w:rsidP="006D0D70">
      <w:pPr>
        <w:spacing w:after="0" w:line="360" w:lineRule="auto"/>
        <w:jc w:val="both"/>
        <w:rPr>
          <w:rFonts w:ascii="Arial" w:hAnsi="Arial" w:cs="Arial"/>
          <w:b/>
          <w:sz w:val="23"/>
          <w:szCs w:val="23"/>
          <w:shd w:val="clear" w:color="auto" w:fill="FFFFFF"/>
        </w:rPr>
      </w:pPr>
      <w:r w:rsidRPr="006D0D70">
        <w:rPr>
          <w:rFonts w:ascii="Arial" w:hAnsi="Arial" w:cs="Arial"/>
          <w:b/>
          <w:sz w:val="23"/>
          <w:szCs w:val="23"/>
          <w:shd w:val="clear" w:color="auto" w:fill="FFFFFF"/>
        </w:rPr>
        <w:t>Situação Econômico-Financeira</w:t>
      </w:r>
      <w:r>
        <w:rPr>
          <w:rFonts w:ascii="Arial" w:hAnsi="Arial" w:cs="Arial"/>
          <w:b/>
          <w:sz w:val="23"/>
          <w:szCs w:val="23"/>
          <w:shd w:val="clear" w:color="auto" w:fill="FFFFFF"/>
        </w:rPr>
        <w:t xml:space="preserve"> </w:t>
      </w:r>
      <w:r w:rsidR="006D0D70">
        <w:rPr>
          <w:rFonts w:ascii="Arial" w:hAnsi="Arial" w:cs="Arial"/>
          <w:b/>
          <w:sz w:val="23"/>
          <w:szCs w:val="23"/>
          <w:shd w:val="clear" w:color="auto" w:fill="FFFFFF"/>
        </w:rPr>
        <w:t xml:space="preserve">– </w:t>
      </w:r>
      <w:r w:rsidR="006D0D70" w:rsidRPr="006D0D70">
        <w:rPr>
          <w:rFonts w:ascii="Arial" w:hAnsi="Arial" w:cs="Arial"/>
          <w:sz w:val="23"/>
          <w:szCs w:val="23"/>
          <w:shd w:val="clear" w:color="auto" w:fill="FFFFFF"/>
        </w:rPr>
        <w:t>(inciso I, art. 22 da Lei 4.320/64)</w:t>
      </w:r>
    </w:p>
    <w:p w14:paraId="1987B2BA" w14:textId="77777777" w:rsidR="006D0D70" w:rsidRDefault="006D0D70" w:rsidP="006D0D70">
      <w:pPr>
        <w:spacing w:after="0" w:line="360" w:lineRule="auto"/>
        <w:jc w:val="both"/>
        <w:rPr>
          <w:rFonts w:ascii="Arial" w:hAnsi="Arial" w:cs="Arial"/>
          <w:sz w:val="23"/>
          <w:szCs w:val="23"/>
        </w:rPr>
      </w:pPr>
      <w:r w:rsidRPr="006D0D70">
        <w:rPr>
          <w:rFonts w:ascii="Arial" w:hAnsi="Arial" w:cs="Arial"/>
          <w:sz w:val="23"/>
          <w:szCs w:val="23"/>
        </w:rPr>
        <w:t>Em que pesem as iniciativas do Governo Federal na adoção das medidas voltadas ao crescimento econômico, o cenário internacional não tem favorecido a estabilidade econômica</w:t>
      </w:r>
      <w:r w:rsidRPr="006D0D70">
        <w:rPr>
          <w:rFonts w:ascii="Arial" w:hAnsi="Arial" w:cs="Arial"/>
          <w:sz w:val="23"/>
          <w:szCs w:val="23"/>
          <w:u w:val="single"/>
        </w:rPr>
        <w:t xml:space="preserve"> </w:t>
      </w:r>
      <w:r w:rsidRPr="006D0D70">
        <w:rPr>
          <w:rFonts w:ascii="Arial" w:hAnsi="Arial" w:cs="Arial"/>
          <w:sz w:val="23"/>
          <w:szCs w:val="23"/>
        </w:rPr>
        <w:t xml:space="preserve">com a retomada do crescimento econômico sustentável, porém, a expectativa para o exercício de 2026, conforme demonstrada nos índices que integram os anexos, é </w:t>
      </w:r>
      <w:r w:rsidRPr="006D0D70">
        <w:rPr>
          <w:rFonts w:ascii="Arial" w:hAnsi="Arial" w:cs="Arial"/>
          <w:sz w:val="23"/>
          <w:szCs w:val="23"/>
        </w:rPr>
        <w:lastRenderedPageBreak/>
        <w:t>que a economia continue reagindo de forma moderada aos esforços para a retomada do crescimento, na medida em que a baliza dos indicadores macroeconômicos trabalhados prevê um PIB para 2026 maior ao projetado para o PIB de 2025, embora com um crescimento moderado. Nesse mesmo diapasão, verifica-se um indicador da inflação rígido com leve tendência de queda, mais ainda muito resistente por diversos fatores, podendo ir em ritmo mais lento ao encontro do centro da meta como definido no referido Boletim FOCUS de 12 de setembro 2025, no mesmo período mensurada pelo IPCA.</w:t>
      </w:r>
    </w:p>
    <w:p w14:paraId="0636CB2C" w14:textId="77777777" w:rsidR="006D0D70" w:rsidRDefault="006D0D70" w:rsidP="006D0D70">
      <w:pPr>
        <w:spacing w:after="0" w:line="360" w:lineRule="auto"/>
        <w:jc w:val="both"/>
        <w:rPr>
          <w:rFonts w:ascii="Arial" w:hAnsi="Arial" w:cs="Arial"/>
          <w:sz w:val="23"/>
          <w:szCs w:val="23"/>
        </w:rPr>
      </w:pPr>
    </w:p>
    <w:p w14:paraId="135CCE76" w14:textId="05E03AA7" w:rsidR="006D0D70" w:rsidRPr="006D0D70" w:rsidRDefault="006D0D70" w:rsidP="006D0D70">
      <w:pPr>
        <w:spacing w:after="0" w:line="360" w:lineRule="auto"/>
        <w:jc w:val="both"/>
        <w:rPr>
          <w:rFonts w:ascii="Arial" w:hAnsi="Arial" w:cs="Arial"/>
          <w:sz w:val="23"/>
          <w:szCs w:val="23"/>
        </w:rPr>
      </w:pPr>
      <w:r w:rsidRPr="006D0D70">
        <w:rPr>
          <w:rFonts w:ascii="Arial" w:hAnsi="Arial" w:cs="Arial"/>
          <w:sz w:val="23"/>
          <w:szCs w:val="23"/>
        </w:rPr>
        <w:t>Diante de todas as análises realizadas nos parâmetros econômicos trabalhou-se com um cenário bem realista e moderado, levando-se em consideração que os fatores positivos que lastreiam a economia e sustentam o crescimento econômico poderão ser mais estruturados e factíveis que os fatores negativos, mesmo com todos os apontamentos realizados. Desta forma, a projeção foi moderada, mas com um viés levemente otimista para os cenários econômicos de crescimento para o exercício de 2026, conforme indica o próprio Boletim FOCUS.</w:t>
      </w:r>
    </w:p>
    <w:p w14:paraId="1A99C659" w14:textId="77777777" w:rsidR="006D0D70" w:rsidRDefault="006D0D70" w:rsidP="006D0D70">
      <w:pPr>
        <w:spacing w:after="0" w:line="360" w:lineRule="auto"/>
        <w:jc w:val="both"/>
        <w:rPr>
          <w:rFonts w:ascii="Arial" w:hAnsi="Arial" w:cs="Arial"/>
          <w:sz w:val="23"/>
          <w:szCs w:val="23"/>
        </w:rPr>
      </w:pPr>
    </w:p>
    <w:p w14:paraId="6A692D8D" w14:textId="7F1D1ACA" w:rsidR="006D0D70" w:rsidRPr="006D0D70" w:rsidRDefault="006D0D70" w:rsidP="006D0D70">
      <w:pPr>
        <w:spacing w:after="0" w:line="360" w:lineRule="auto"/>
        <w:jc w:val="both"/>
        <w:rPr>
          <w:rFonts w:ascii="Arial" w:hAnsi="Arial" w:cs="Arial"/>
          <w:sz w:val="23"/>
          <w:szCs w:val="23"/>
        </w:rPr>
      </w:pPr>
      <w:r w:rsidRPr="006D0D70">
        <w:rPr>
          <w:rFonts w:ascii="Arial" w:hAnsi="Arial" w:cs="Arial"/>
          <w:sz w:val="23"/>
          <w:szCs w:val="23"/>
        </w:rPr>
        <w:t>É nesse cenário que o Poder Público de Brumadinho, pretende atuar no exercício fiscal de 2026, estando mais próximo à população, buscando investir na geração de empregos e renda e na ampliação da oferta de serviços básicos (educação, saúde, assistência social e saneamento ambiental), sem perder de vista o compromisso com o equilíbrio das contas públicas e a sustentabilidade fiscal.</w:t>
      </w:r>
    </w:p>
    <w:p w14:paraId="7828EC1B" w14:textId="77777777" w:rsidR="006D0D70" w:rsidRDefault="006D0D70" w:rsidP="006D0D70">
      <w:pPr>
        <w:spacing w:after="0" w:line="360" w:lineRule="auto"/>
        <w:jc w:val="both"/>
        <w:rPr>
          <w:rFonts w:ascii="Arial" w:hAnsi="Arial" w:cs="Arial"/>
          <w:sz w:val="23"/>
          <w:szCs w:val="23"/>
        </w:rPr>
      </w:pPr>
    </w:p>
    <w:p w14:paraId="60056C43" w14:textId="185B0DB1" w:rsidR="006D0D70" w:rsidRPr="006D0D70" w:rsidRDefault="006D0D70" w:rsidP="006D0D70">
      <w:pPr>
        <w:spacing w:after="0" w:line="360" w:lineRule="auto"/>
        <w:jc w:val="both"/>
        <w:rPr>
          <w:rFonts w:ascii="Arial" w:hAnsi="Arial" w:cs="Arial"/>
          <w:sz w:val="23"/>
          <w:szCs w:val="23"/>
        </w:rPr>
      </w:pPr>
      <w:r w:rsidRPr="006D0D70">
        <w:rPr>
          <w:rFonts w:ascii="Arial" w:hAnsi="Arial" w:cs="Arial"/>
          <w:sz w:val="23"/>
          <w:szCs w:val="23"/>
        </w:rPr>
        <w:t>Governar Brumadinho, na conjuntura atual, tem sido um dos maiores desafios do nosso Governo. Para tanto, tenho me prevalecido das estratégias de administrar balizado num bom planejamento, gastar no limite das disponibilidades, aplicar os recursos públicos de forma correta, adequada e atento à preservação do equilíbrio fiscal do Município. Assim busca-se alcançar um bom desempenho, fruto, sem dúvida, do esforço que nossa Administração tem feito, até o momento, para honrar os compromissos assumidos na escuta à população, manter em dia o pagamento do funcionalismo municipal, gerir a máquina pública em patamar de regularidade e investir na ampliação qualitativa e quantitativa da oferta dos serviços públicos essenciais, na saúde, infraestrutura urbana, na habitação, no desenvolvimento econômico, na segurança pública, na geração de emprego e renda, buscando melhorar a qualidade de vida da população tanto na área urbana quanto rural do município.</w:t>
      </w:r>
    </w:p>
    <w:p w14:paraId="4B1731B6" w14:textId="75256F4F" w:rsidR="006D0D70" w:rsidRPr="006D0D70" w:rsidRDefault="006D0D70" w:rsidP="006D0D70">
      <w:pPr>
        <w:spacing w:after="0" w:line="360" w:lineRule="auto"/>
        <w:jc w:val="both"/>
        <w:rPr>
          <w:rFonts w:ascii="Arial" w:hAnsi="Arial" w:cs="Arial"/>
          <w:sz w:val="23"/>
          <w:szCs w:val="23"/>
        </w:rPr>
      </w:pPr>
      <w:r w:rsidRPr="006D0D70">
        <w:rPr>
          <w:rFonts w:ascii="Arial" w:hAnsi="Arial" w:cs="Arial"/>
          <w:sz w:val="23"/>
          <w:szCs w:val="23"/>
        </w:rPr>
        <w:lastRenderedPageBreak/>
        <w:t>Por fim, Senhor Presidente, é nutrindo o sentimento de que vamos construir uma cidade mais justa e igualitária, com efetivo desenvolvimento humano, e preparando o futuro para um desenvolvimento econômico sustentado, que encaminho à apreciação dessa egrégia Câmara Municipal, a Proposta de Lei do Orçamento Anual (LOA) a vigorar no exercício de 2026, acreditando que os subsídios técnicos e programáticos disponibilizados possam proporcionar a apreciação e análise desta importante Peça de Planejamento. Permita–me aproveitar a oportunidade para, mais uma vez, agradecer a Vossa Excelência e aos seus dignos Pares, o apoio com que sempre contei no encaminhamento e na aprovação de importantes matérias que submetemos ao seu exame. Saibam que a contribuição dessa colenda Câmara será fundamental para a consolidação do projeto em curso de modernização e desenvolvimento que propomos para a nossa querida cidade de Brumadinho que tanto vem sofrendo, após a tragédia proporcionada pela Vale S/A.</w:t>
      </w:r>
    </w:p>
    <w:p w14:paraId="382C1E37" w14:textId="77777777" w:rsidR="006D0D70" w:rsidRDefault="006D0D70" w:rsidP="006D0D70">
      <w:pPr>
        <w:spacing w:after="0" w:line="360" w:lineRule="auto"/>
        <w:jc w:val="both"/>
        <w:rPr>
          <w:rFonts w:ascii="Arial" w:hAnsi="Arial" w:cs="Arial"/>
          <w:b/>
          <w:sz w:val="23"/>
          <w:szCs w:val="23"/>
        </w:rPr>
      </w:pPr>
    </w:p>
    <w:p w14:paraId="126D9169" w14:textId="5303E681" w:rsidR="006D0D70" w:rsidRPr="006D0D70" w:rsidRDefault="00BE6535" w:rsidP="006D0D70">
      <w:pPr>
        <w:spacing w:after="0" w:line="360" w:lineRule="auto"/>
        <w:jc w:val="both"/>
        <w:rPr>
          <w:rFonts w:ascii="Arial" w:hAnsi="Arial" w:cs="Arial"/>
          <w:b/>
          <w:sz w:val="23"/>
          <w:szCs w:val="23"/>
        </w:rPr>
      </w:pPr>
      <w:r w:rsidRPr="006D0D70">
        <w:rPr>
          <w:rFonts w:ascii="Arial" w:hAnsi="Arial" w:cs="Arial"/>
          <w:b/>
          <w:sz w:val="23"/>
          <w:szCs w:val="23"/>
        </w:rPr>
        <w:t>Estimativas De Receitas E Despesas</w:t>
      </w:r>
      <w:r>
        <w:rPr>
          <w:rFonts w:ascii="Arial" w:hAnsi="Arial" w:cs="Arial"/>
          <w:b/>
          <w:sz w:val="23"/>
          <w:szCs w:val="23"/>
        </w:rPr>
        <w:t xml:space="preserve"> </w:t>
      </w:r>
      <w:r w:rsidR="006D0D70">
        <w:rPr>
          <w:rFonts w:ascii="Arial" w:hAnsi="Arial" w:cs="Arial"/>
          <w:b/>
          <w:sz w:val="23"/>
          <w:szCs w:val="23"/>
        </w:rPr>
        <w:t xml:space="preserve">– </w:t>
      </w:r>
      <w:r w:rsidR="006D0D70" w:rsidRPr="006D0D70">
        <w:rPr>
          <w:rFonts w:ascii="Arial" w:hAnsi="Arial" w:cs="Arial"/>
          <w:sz w:val="23"/>
          <w:szCs w:val="23"/>
        </w:rPr>
        <w:t>(Inciso III, art. 22 da Lei 4.320/64)</w:t>
      </w:r>
      <w:r w:rsidR="006D0D70" w:rsidRPr="006D0D70">
        <w:rPr>
          <w:rFonts w:ascii="Arial" w:hAnsi="Arial" w:cs="Arial"/>
          <w:b/>
          <w:sz w:val="23"/>
          <w:szCs w:val="23"/>
        </w:rPr>
        <w:t>.</w:t>
      </w:r>
    </w:p>
    <w:p w14:paraId="10701BF3"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 xml:space="preserve">A Receita Corrente estimada para o exercício 2026 teve como base o histórico de arrecadação dos exercícios anteriores, considerando as atualizações monetárias, utilizando os parâmetros bases como o crescimento do PIB, a inflação (IPCA), alterações na legislação (efeito legislação) e variáveis explicativas que lastrearam o modelo econômico que projetou as receitas correntes, baseadas nas expectativas de arrecadação e tendo outras fontes de recursos para buscar incrementar a receita, e ainda nas expectativas de recursos de convênios e contratos de repasses com a União, Estado e parcerias com repasses de recursos de entidades da iniciativa privada. </w:t>
      </w:r>
    </w:p>
    <w:p w14:paraId="5C9238B0" w14:textId="77777777" w:rsidR="006D0D70" w:rsidRDefault="006D0D70" w:rsidP="006D0D70">
      <w:pPr>
        <w:spacing w:after="0" w:line="360" w:lineRule="auto"/>
        <w:jc w:val="both"/>
        <w:rPr>
          <w:rFonts w:ascii="Arial" w:hAnsi="Arial" w:cs="Arial"/>
          <w:sz w:val="23"/>
          <w:szCs w:val="23"/>
          <w:shd w:val="clear" w:color="auto" w:fill="FFFFFF"/>
        </w:rPr>
      </w:pPr>
    </w:p>
    <w:p w14:paraId="37ECF299"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Todos os parâmetros trabalhados foram retirados do Boletim Focus do Banco Central do Brasil, publicado em 12 de setembro 2025, através da mediana agregada.</w:t>
      </w:r>
    </w:p>
    <w:p w14:paraId="70958CC1" w14:textId="77777777" w:rsidR="006D0D70" w:rsidRDefault="006D0D70" w:rsidP="006D0D70">
      <w:pPr>
        <w:spacing w:after="0" w:line="360" w:lineRule="auto"/>
        <w:jc w:val="both"/>
        <w:rPr>
          <w:rFonts w:ascii="Arial" w:hAnsi="Arial" w:cs="Arial"/>
          <w:sz w:val="23"/>
          <w:szCs w:val="23"/>
          <w:shd w:val="clear" w:color="auto" w:fill="FFFFFF"/>
        </w:rPr>
      </w:pPr>
    </w:p>
    <w:p w14:paraId="71EF3685" w14:textId="77777777" w:rsid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No total das receitas encontramos as transferências legais e constitucionais, e as receitas próprias. A título de exemplificação destacamos:</w:t>
      </w:r>
    </w:p>
    <w:p w14:paraId="223396E1" w14:textId="77777777" w:rsidR="006D0D70" w:rsidRDefault="006D0D70" w:rsidP="006D0D70">
      <w:pPr>
        <w:pStyle w:val="PargrafodaLista"/>
        <w:numPr>
          <w:ilvl w:val="0"/>
          <w:numId w:val="6"/>
        </w:num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A do FPM, no quantum de R$ 64.000.000,00;</w:t>
      </w:r>
    </w:p>
    <w:p w14:paraId="45707B4C" w14:textId="77777777" w:rsidR="006D0D70" w:rsidRDefault="006D0D70" w:rsidP="006D0D70">
      <w:pPr>
        <w:pStyle w:val="PargrafodaLista"/>
        <w:numPr>
          <w:ilvl w:val="0"/>
          <w:numId w:val="6"/>
        </w:num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A do ICMS, no quantum de R$ 76.200.000,00;</w:t>
      </w:r>
    </w:p>
    <w:p w14:paraId="1B1BB5AA" w14:textId="77777777" w:rsidR="006D0D70" w:rsidRDefault="006D0D70" w:rsidP="006D0D70">
      <w:pPr>
        <w:pStyle w:val="PargrafodaLista"/>
        <w:numPr>
          <w:ilvl w:val="0"/>
          <w:numId w:val="6"/>
        </w:num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A do Fundo Nacional de Saúde - FNS, no quantum de R$ 28.458.665,00;</w:t>
      </w:r>
    </w:p>
    <w:p w14:paraId="3BC1E1D7" w14:textId="77777777" w:rsidR="006D0D70" w:rsidRDefault="006D0D70" w:rsidP="006D0D70">
      <w:pPr>
        <w:pStyle w:val="PargrafodaLista"/>
        <w:numPr>
          <w:ilvl w:val="0"/>
          <w:numId w:val="6"/>
        </w:num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A do IPVA, no quantum de R$ 26.200.000,00;</w:t>
      </w:r>
    </w:p>
    <w:p w14:paraId="27F0C4D9" w14:textId="77777777" w:rsidR="006D0D70" w:rsidRDefault="006D0D70" w:rsidP="006D0D70">
      <w:pPr>
        <w:pStyle w:val="PargrafodaLista"/>
        <w:numPr>
          <w:ilvl w:val="0"/>
          <w:numId w:val="6"/>
        </w:num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A CFEM, no quantum de R$ 47.810.000,00;</w:t>
      </w:r>
    </w:p>
    <w:p w14:paraId="35B5D83E" w14:textId="5ABC7500" w:rsidR="006D0D70" w:rsidRPr="006D0D70" w:rsidRDefault="006D0D70" w:rsidP="006D0D70">
      <w:pPr>
        <w:pStyle w:val="PargrafodaLista"/>
        <w:numPr>
          <w:ilvl w:val="0"/>
          <w:numId w:val="6"/>
        </w:num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A do FUNDEB, no quantum de R$ 47.200.000,00; e</w:t>
      </w:r>
    </w:p>
    <w:p w14:paraId="1C358630" w14:textId="66562DE1" w:rsidR="006D0D70" w:rsidRPr="006D0D70" w:rsidRDefault="00BE6535" w:rsidP="006D0D70">
      <w:pPr>
        <w:spacing w:after="0" w:line="360" w:lineRule="auto"/>
        <w:jc w:val="both"/>
        <w:rPr>
          <w:rFonts w:ascii="Arial" w:hAnsi="Arial" w:cs="Arial"/>
          <w:b/>
          <w:sz w:val="23"/>
          <w:szCs w:val="23"/>
        </w:rPr>
      </w:pPr>
      <w:r w:rsidRPr="006D0D70">
        <w:rPr>
          <w:rFonts w:ascii="Arial" w:hAnsi="Arial" w:cs="Arial"/>
          <w:b/>
          <w:sz w:val="23"/>
          <w:szCs w:val="23"/>
        </w:rPr>
        <w:lastRenderedPageBreak/>
        <w:t>Quanto As Despesas:</w:t>
      </w:r>
    </w:p>
    <w:p w14:paraId="62830CD1" w14:textId="77777777" w:rsid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Na fixação da despesa foi observada a compatibilidade com a proposta do Plano Plurianual de Governo – PPA e a Lei de Diretrizes Orçamentárias, conforme determina a LC 101, de 04 de maio de 2000. A sua fixação, a partir das receitas estimadas, tem como base a realidade dos custos atuais da administração, com os acréscimos necessários para atendimento do aumento da demanda dos diversos serviços, das atividades fim e meio, acrescidos da expectativa de inflação e crescimento do Produto Interno Bruto – PIB. As despesas estão distribuídas da seguinte forma:</w:t>
      </w:r>
    </w:p>
    <w:p w14:paraId="63B5FC66" w14:textId="77777777" w:rsidR="006D0D70" w:rsidRPr="006D0D70" w:rsidRDefault="006D0D70" w:rsidP="006D0D70">
      <w:pPr>
        <w:pStyle w:val="PargrafodaLista"/>
        <w:numPr>
          <w:ilvl w:val="0"/>
          <w:numId w:val="7"/>
        </w:numPr>
        <w:spacing w:after="0" w:line="360" w:lineRule="auto"/>
        <w:jc w:val="both"/>
        <w:rPr>
          <w:rFonts w:ascii="Arial" w:hAnsi="Arial" w:cs="Arial"/>
          <w:sz w:val="23"/>
          <w:szCs w:val="23"/>
          <w:shd w:val="clear" w:color="auto" w:fill="FFFFFF"/>
        </w:rPr>
      </w:pPr>
      <w:r w:rsidRPr="006D0D70">
        <w:rPr>
          <w:rFonts w:ascii="Arial" w:hAnsi="Arial" w:cs="Arial"/>
          <w:sz w:val="23"/>
          <w:szCs w:val="23"/>
        </w:rPr>
        <w:t>Pessoal e Encargos, no valor de R$ 217.738.528,00;</w:t>
      </w:r>
    </w:p>
    <w:p w14:paraId="12F624EC" w14:textId="77777777" w:rsidR="006D0D70" w:rsidRPr="006D0D70" w:rsidRDefault="006D0D70" w:rsidP="006D0D70">
      <w:pPr>
        <w:pStyle w:val="PargrafodaLista"/>
        <w:numPr>
          <w:ilvl w:val="0"/>
          <w:numId w:val="7"/>
        </w:numPr>
        <w:spacing w:after="0" w:line="360" w:lineRule="auto"/>
        <w:jc w:val="both"/>
        <w:rPr>
          <w:rFonts w:ascii="Arial" w:hAnsi="Arial" w:cs="Arial"/>
          <w:sz w:val="23"/>
          <w:szCs w:val="23"/>
          <w:shd w:val="clear" w:color="auto" w:fill="FFFFFF"/>
        </w:rPr>
      </w:pPr>
      <w:r w:rsidRPr="006D0D70">
        <w:rPr>
          <w:rFonts w:ascii="Arial" w:hAnsi="Arial" w:cs="Arial"/>
          <w:sz w:val="23"/>
          <w:szCs w:val="23"/>
        </w:rPr>
        <w:t>Outras Despesas Correntes, no valor de R$ 265.822.224,00;</w:t>
      </w:r>
    </w:p>
    <w:p w14:paraId="71D4E464" w14:textId="77777777" w:rsidR="006D0D70" w:rsidRPr="006D0D70" w:rsidRDefault="006D0D70" w:rsidP="006D0D70">
      <w:pPr>
        <w:pStyle w:val="PargrafodaLista"/>
        <w:numPr>
          <w:ilvl w:val="0"/>
          <w:numId w:val="7"/>
        </w:numPr>
        <w:spacing w:after="0" w:line="360" w:lineRule="auto"/>
        <w:jc w:val="both"/>
        <w:rPr>
          <w:rFonts w:ascii="Arial" w:hAnsi="Arial" w:cs="Arial"/>
          <w:sz w:val="23"/>
          <w:szCs w:val="23"/>
          <w:shd w:val="clear" w:color="auto" w:fill="FFFFFF"/>
        </w:rPr>
      </w:pPr>
      <w:r w:rsidRPr="006D0D70">
        <w:rPr>
          <w:rFonts w:ascii="Arial" w:hAnsi="Arial" w:cs="Arial"/>
          <w:sz w:val="23"/>
          <w:szCs w:val="23"/>
        </w:rPr>
        <w:t>Investimentos, no valor de R$ 189.184.724,00; e</w:t>
      </w:r>
    </w:p>
    <w:p w14:paraId="07CAA6CD" w14:textId="0F4AD15C" w:rsidR="006D0D70" w:rsidRPr="006D0D70" w:rsidRDefault="006D0D70" w:rsidP="006D0D70">
      <w:pPr>
        <w:pStyle w:val="PargrafodaLista"/>
        <w:numPr>
          <w:ilvl w:val="0"/>
          <w:numId w:val="7"/>
        </w:numPr>
        <w:spacing w:after="0" w:line="360" w:lineRule="auto"/>
        <w:jc w:val="both"/>
        <w:rPr>
          <w:rFonts w:ascii="Arial" w:hAnsi="Arial" w:cs="Arial"/>
          <w:sz w:val="23"/>
          <w:szCs w:val="23"/>
          <w:shd w:val="clear" w:color="auto" w:fill="FFFFFF"/>
        </w:rPr>
      </w:pPr>
      <w:r w:rsidRPr="006D0D70">
        <w:rPr>
          <w:rFonts w:ascii="Arial" w:hAnsi="Arial" w:cs="Arial"/>
          <w:sz w:val="23"/>
          <w:szCs w:val="23"/>
        </w:rPr>
        <w:t xml:space="preserve">Repasses para Câmara Municipal, no valor de R$ 25.397.635,00. </w:t>
      </w:r>
    </w:p>
    <w:p w14:paraId="444E61CE" w14:textId="77777777" w:rsidR="006D0D70" w:rsidRDefault="006D0D70" w:rsidP="006D0D70">
      <w:pPr>
        <w:spacing w:after="0" w:line="360" w:lineRule="auto"/>
        <w:jc w:val="both"/>
        <w:rPr>
          <w:rFonts w:ascii="Arial" w:hAnsi="Arial" w:cs="Arial"/>
          <w:b/>
          <w:sz w:val="23"/>
          <w:szCs w:val="23"/>
        </w:rPr>
      </w:pPr>
    </w:p>
    <w:p w14:paraId="046DAF9D" w14:textId="7289C982" w:rsidR="006D0D70" w:rsidRPr="006D0D70" w:rsidRDefault="00BE6535" w:rsidP="006D0D70">
      <w:pPr>
        <w:spacing w:after="0" w:line="360" w:lineRule="auto"/>
        <w:jc w:val="both"/>
        <w:rPr>
          <w:rFonts w:ascii="Arial" w:hAnsi="Arial" w:cs="Arial"/>
          <w:b/>
          <w:sz w:val="23"/>
          <w:szCs w:val="23"/>
        </w:rPr>
      </w:pPr>
      <w:r w:rsidRPr="006D0D70">
        <w:rPr>
          <w:rFonts w:ascii="Arial" w:hAnsi="Arial" w:cs="Arial"/>
          <w:b/>
          <w:sz w:val="23"/>
          <w:szCs w:val="23"/>
        </w:rPr>
        <w:t>Ações Para A Promoção E Desenvolvimento Sociais:</w:t>
      </w:r>
    </w:p>
    <w:p w14:paraId="5F0DFB11" w14:textId="62864511"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b/>
          <w:sz w:val="23"/>
          <w:szCs w:val="23"/>
        </w:rPr>
        <w:t>Educação</w:t>
      </w:r>
      <w:r>
        <w:rPr>
          <w:rFonts w:ascii="Arial" w:hAnsi="Arial" w:cs="Arial"/>
          <w:b/>
          <w:sz w:val="23"/>
          <w:szCs w:val="23"/>
        </w:rPr>
        <w:t xml:space="preserve">: </w:t>
      </w:r>
      <w:r w:rsidRPr="006D0D70">
        <w:rPr>
          <w:rFonts w:ascii="Arial" w:hAnsi="Arial" w:cs="Arial"/>
          <w:sz w:val="23"/>
          <w:szCs w:val="23"/>
          <w:shd w:val="clear" w:color="auto" w:fill="FFFFFF"/>
        </w:rPr>
        <w:t xml:space="preserve">Reconhecidamente a educação é a base para o desenvolvimento do cidadão, e assim sendo não poderia deixar de ser contemplada de forma racional e coerente, com destinação de recursos para atendimento de todas as faixas etárias de nossa população. Nossa proposta busca atender a educação infantil, em creches e pré-escola, bem como o ensino fundamental, nas séries de nossa responsabilidade, conforme preceitua a Lei 9.394, de 20 de dezembro de1996, Lei de Diretrizes e Bases da Educação - LDB, não esquecendo, ainda, da educação especial e da de jovens e adultos. </w:t>
      </w:r>
    </w:p>
    <w:p w14:paraId="707A7BE8" w14:textId="77777777" w:rsidR="006D0D70" w:rsidRDefault="006D0D70" w:rsidP="006D0D70">
      <w:pPr>
        <w:spacing w:after="0" w:line="360" w:lineRule="auto"/>
        <w:jc w:val="both"/>
        <w:rPr>
          <w:rFonts w:ascii="Arial" w:hAnsi="Arial" w:cs="Arial"/>
          <w:sz w:val="23"/>
          <w:szCs w:val="23"/>
          <w:shd w:val="clear" w:color="auto" w:fill="FFFFFF"/>
        </w:rPr>
      </w:pPr>
    </w:p>
    <w:p w14:paraId="3665A8A6"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 xml:space="preserve">A presente proposta busca o atendimento da comunidade, através da assistência ao educando, com transporte escolar de qualidade, fornecimento atendendo a 100% da </w:t>
      </w:r>
      <w:proofErr w:type="spellStart"/>
      <w:r w:rsidRPr="006D0D70">
        <w:rPr>
          <w:rFonts w:ascii="Arial" w:hAnsi="Arial" w:cs="Arial"/>
          <w:sz w:val="23"/>
          <w:szCs w:val="23"/>
          <w:shd w:val="clear" w:color="auto" w:fill="FFFFFF"/>
        </w:rPr>
        <w:t>comundade</w:t>
      </w:r>
      <w:proofErr w:type="spellEnd"/>
      <w:r w:rsidRPr="006D0D70">
        <w:rPr>
          <w:rFonts w:ascii="Arial" w:hAnsi="Arial" w:cs="Arial"/>
          <w:sz w:val="23"/>
          <w:szCs w:val="23"/>
          <w:shd w:val="clear" w:color="auto" w:fill="FFFFFF"/>
        </w:rPr>
        <w:t xml:space="preserve">, ade de material didático pedagógico, para 100% (cem por cento) da demanda, e da valorização dos profissionais ligados à educação, no cumprimento da legislação pertinente. Vale ressaltar que a presente proposta busca ainda, o cumprimento do Plano Municipal de   Educação - PME. </w:t>
      </w:r>
    </w:p>
    <w:p w14:paraId="25F056A3" w14:textId="77777777" w:rsidR="006D0D70" w:rsidRDefault="006D0D70" w:rsidP="006D0D70">
      <w:pPr>
        <w:spacing w:after="0" w:line="360" w:lineRule="auto"/>
        <w:jc w:val="both"/>
        <w:rPr>
          <w:rFonts w:ascii="Arial" w:hAnsi="Arial" w:cs="Arial"/>
          <w:b/>
          <w:sz w:val="23"/>
          <w:szCs w:val="23"/>
        </w:rPr>
      </w:pPr>
    </w:p>
    <w:p w14:paraId="28A6E05F" w14:textId="344E364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b/>
          <w:sz w:val="23"/>
          <w:szCs w:val="23"/>
        </w:rPr>
        <w:t>Fundo de Manutenção e Desenvolvimento da Educação Básica e Valorização dos Profissionais do Magistério – FUNDEB:</w:t>
      </w:r>
      <w:r>
        <w:rPr>
          <w:rFonts w:ascii="Arial" w:hAnsi="Arial" w:cs="Arial"/>
          <w:b/>
          <w:sz w:val="23"/>
          <w:szCs w:val="23"/>
        </w:rPr>
        <w:t xml:space="preserve"> </w:t>
      </w:r>
      <w:r w:rsidRPr="006D0D70">
        <w:rPr>
          <w:rFonts w:ascii="Arial" w:hAnsi="Arial" w:cs="Arial"/>
          <w:sz w:val="23"/>
          <w:szCs w:val="23"/>
          <w:shd w:val="clear" w:color="auto" w:fill="FFFFFF"/>
        </w:rPr>
        <w:t>O cumprimento da Lei 14.113, de 25 de dezembro de 2020, na presente proposta, está demonstrado na forma de Anexo específico, que segue modelo da Secretaria do Tesouro Nacional - STN e do Tribunal de Contas do Estado – TCE/MG, com as seguintes informações:</w:t>
      </w:r>
    </w:p>
    <w:p w14:paraId="3356DD83" w14:textId="042699B5"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b/>
          <w:sz w:val="23"/>
          <w:szCs w:val="23"/>
        </w:rPr>
        <w:lastRenderedPageBreak/>
        <w:t>Receitas:</w:t>
      </w:r>
      <w:r>
        <w:rPr>
          <w:rFonts w:ascii="Arial" w:hAnsi="Arial" w:cs="Arial"/>
          <w:b/>
          <w:sz w:val="23"/>
          <w:szCs w:val="23"/>
        </w:rPr>
        <w:t xml:space="preserve"> </w:t>
      </w:r>
      <w:r w:rsidRPr="006D0D70">
        <w:rPr>
          <w:rFonts w:ascii="Arial" w:hAnsi="Arial" w:cs="Arial"/>
          <w:sz w:val="23"/>
          <w:szCs w:val="23"/>
          <w:shd w:val="clear" w:color="auto" w:fill="FFFFFF"/>
        </w:rPr>
        <w:t>O anexo que acompanha o projeto de lei demonstra uma receita do Fundo de Manutenção e Desenvolvimento da Educação Básica e Valorização dos Profissionais do Magistério – FUNDEB, considerando o valor repassado e o rendimento de aplicação, no total de R$ 47.327.967,00.</w:t>
      </w:r>
    </w:p>
    <w:p w14:paraId="25FD1F4A" w14:textId="77777777" w:rsid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b/>
          <w:sz w:val="23"/>
          <w:szCs w:val="23"/>
        </w:rPr>
        <w:t>Despesas:</w:t>
      </w:r>
      <w:r>
        <w:rPr>
          <w:rFonts w:ascii="Arial" w:hAnsi="Arial" w:cs="Arial"/>
          <w:b/>
          <w:sz w:val="23"/>
          <w:szCs w:val="23"/>
        </w:rPr>
        <w:t xml:space="preserve"> </w:t>
      </w:r>
      <w:r w:rsidRPr="006D0D70">
        <w:rPr>
          <w:rFonts w:ascii="Arial" w:hAnsi="Arial" w:cs="Arial"/>
          <w:sz w:val="23"/>
          <w:szCs w:val="23"/>
          <w:shd w:val="clear" w:color="auto" w:fill="FFFFFF"/>
        </w:rPr>
        <w:t>Demonstra, também, uma despesa de igual monta da receita, distribuída da seguinte forma:</w:t>
      </w:r>
    </w:p>
    <w:p w14:paraId="3CF10798" w14:textId="77777777" w:rsidR="006D0D70" w:rsidRPr="006D0D70" w:rsidRDefault="006D0D70" w:rsidP="006D0D70">
      <w:pPr>
        <w:pStyle w:val="PargrafodaLista"/>
        <w:numPr>
          <w:ilvl w:val="0"/>
          <w:numId w:val="8"/>
        </w:numPr>
        <w:spacing w:after="0" w:line="360" w:lineRule="auto"/>
        <w:jc w:val="both"/>
        <w:rPr>
          <w:rFonts w:ascii="Arial" w:hAnsi="Arial" w:cs="Arial"/>
          <w:sz w:val="23"/>
          <w:szCs w:val="23"/>
          <w:shd w:val="clear" w:color="auto" w:fill="FFFFFF"/>
        </w:rPr>
      </w:pPr>
      <w:r w:rsidRPr="006D0D70">
        <w:rPr>
          <w:rFonts w:ascii="Arial" w:hAnsi="Arial" w:cs="Arial"/>
          <w:sz w:val="23"/>
          <w:szCs w:val="23"/>
        </w:rPr>
        <w:t>Para pagamento de profissionais da educação básica em efetivo exercício e respectivos encargos sociais, o quantum de R$ 41.777.967,00; e</w:t>
      </w:r>
    </w:p>
    <w:p w14:paraId="5B864DE0" w14:textId="05BD21DF" w:rsidR="006D0D70" w:rsidRPr="006D0D70" w:rsidRDefault="006D0D70" w:rsidP="006D0D70">
      <w:pPr>
        <w:pStyle w:val="PargrafodaLista"/>
        <w:numPr>
          <w:ilvl w:val="0"/>
          <w:numId w:val="8"/>
        </w:numPr>
        <w:spacing w:after="0" w:line="360" w:lineRule="auto"/>
        <w:jc w:val="both"/>
        <w:rPr>
          <w:rFonts w:ascii="Arial" w:hAnsi="Arial" w:cs="Arial"/>
          <w:sz w:val="23"/>
          <w:szCs w:val="23"/>
          <w:shd w:val="clear" w:color="auto" w:fill="FFFFFF"/>
        </w:rPr>
      </w:pPr>
      <w:r w:rsidRPr="006D0D70">
        <w:rPr>
          <w:rFonts w:ascii="Arial" w:hAnsi="Arial" w:cs="Arial"/>
          <w:sz w:val="23"/>
          <w:szCs w:val="23"/>
        </w:rPr>
        <w:t>Para pagamento de outras despesas, o quantum de R$ 5.550.000,00.</w:t>
      </w:r>
    </w:p>
    <w:p w14:paraId="43C91EB6" w14:textId="77777777" w:rsidR="006D0D70" w:rsidRDefault="006D0D70" w:rsidP="006D0D70">
      <w:pPr>
        <w:spacing w:after="0" w:line="360" w:lineRule="auto"/>
        <w:jc w:val="both"/>
        <w:rPr>
          <w:rFonts w:ascii="Arial" w:hAnsi="Arial" w:cs="Arial"/>
          <w:sz w:val="23"/>
          <w:szCs w:val="23"/>
        </w:rPr>
      </w:pPr>
    </w:p>
    <w:p w14:paraId="58BCFA02"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Estes valores demonstram que o gasto previsto com profissionais da educação básica, será de 88,2%, conforme demonstrado no citado Anexo que acompanha o projeto de lei.</w:t>
      </w:r>
    </w:p>
    <w:p w14:paraId="15ABF686" w14:textId="77777777" w:rsidR="006D0D70" w:rsidRDefault="006D0D70" w:rsidP="006D0D70">
      <w:pPr>
        <w:spacing w:after="0" w:line="360" w:lineRule="auto"/>
        <w:jc w:val="both"/>
        <w:rPr>
          <w:rFonts w:ascii="Arial" w:hAnsi="Arial" w:cs="Arial"/>
          <w:b/>
          <w:sz w:val="23"/>
          <w:szCs w:val="23"/>
        </w:rPr>
      </w:pPr>
    </w:p>
    <w:p w14:paraId="64D007D9" w14:textId="77777777" w:rsidR="006D0D70" w:rsidRPr="006D0D70" w:rsidRDefault="006D0D70" w:rsidP="006D0D70">
      <w:pPr>
        <w:spacing w:after="0" w:line="360" w:lineRule="auto"/>
        <w:jc w:val="both"/>
        <w:rPr>
          <w:rFonts w:ascii="Arial" w:hAnsi="Arial" w:cs="Arial"/>
          <w:sz w:val="23"/>
          <w:szCs w:val="23"/>
        </w:rPr>
      </w:pPr>
      <w:r w:rsidRPr="006D0D70">
        <w:rPr>
          <w:rFonts w:ascii="Arial" w:hAnsi="Arial" w:cs="Arial"/>
          <w:b/>
          <w:sz w:val="23"/>
          <w:szCs w:val="23"/>
        </w:rPr>
        <w:t>Aplicação de Recursos Próprios na Manutenção de Desenvolvimento do Ensino:</w:t>
      </w:r>
    </w:p>
    <w:p w14:paraId="1BCA09F8"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 xml:space="preserve">O cumprimento do artigo 212 da Constituição Federal e Lei 9.394, de 20 de dezembro de 1996, na presente proposta estão demonstrados na forma do Anexo específico, que segue modelo da Secretaria do Tesouro Nacional - STN e do Tribunal de Contas do Estado – TCE/MG, com as seguintes informações: </w:t>
      </w:r>
    </w:p>
    <w:p w14:paraId="72AA98E2" w14:textId="77777777" w:rsidR="006D0D70" w:rsidRDefault="006D0D70" w:rsidP="006D0D70">
      <w:pPr>
        <w:spacing w:after="0" w:line="360" w:lineRule="auto"/>
        <w:jc w:val="both"/>
        <w:rPr>
          <w:rFonts w:ascii="Arial" w:hAnsi="Arial" w:cs="Arial"/>
          <w:b/>
          <w:sz w:val="23"/>
          <w:szCs w:val="23"/>
        </w:rPr>
      </w:pPr>
    </w:p>
    <w:p w14:paraId="14C147CD" w14:textId="586CE5C2" w:rsid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b/>
          <w:sz w:val="23"/>
          <w:szCs w:val="23"/>
        </w:rPr>
        <w:t>Receitas:</w:t>
      </w:r>
      <w:r>
        <w:rPr>
          <w:rFonts w:ascii="Arial" w:hAnsi="Arial" w:cs="Arial"/>
          <w:b/>
          <w:sz w:val="23"/>
          <w:szCs w:val="23"/>
        </w:rPr>
        <w:t xml:space="preserve"> </w:t>
      </w:r>
      <w:r w:rsidRPr="006D0D70">
        <w:rPr>
          <w:rFonts w:ascii="Arial" w:hAnsi="Arial" w:cs="Arial"/>
          <w:sz w:val="23"/>
          <w:szCs w:val="23"/>
          <w:shd w:val="clear" w:color="auto" w:fill="FFFFFF"/>
        </w:rPr>
        <w:t>No Anexo são demonstradas as receitas base de cálculo para a aplicação na manutenção e desenvolvimento do ensino, no total de R$ 375.365.200,00.</w:t>
      </w:r>
    </w:p>
    <w:p w14:paraId="42F15A4F" w14:textId="77777777" w:rsidR="006D0D70" w:rsidRPr="006D0D70" w:rsidRDefault="006D0D70" w:rsidP="006D0D70">
      <w:pPr>
        <w:spacing w:after="0" w:line="360" w:lineRule="auto"/>
        <w:jc w:val="both"/>
        <w:rPr>
          <w:rFonts w:ascii="Arial" w:hAnsi="Arial" w:cs="Arial"/>
          <w:sz w:val="23"/>
          <w:szCs w:val="23"/>
          <w:shd w:val="clear" w:color="auto" w:fill="FFFFFF"/>
        </w:rPr>
      </w:pPr>
    </w:p>
    <w:p w14:paraId="617AE028" w14:textId="402256A0"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b/>
          <w:sz w:val="23"/>
          <w:szCs w:val="23"/>
        </w:rPr>
        <w:t>Despesas:</w:t>
      </w:r>
      <w:r>
        <w:rPr>
          <w:rFonts w:ascii="Arial" w:hAnsi="Arial" w:cs="Arial"/>
          <w:b/>
          <w:sz w:val="23"/>
          <w:szCs w:val="23"/>
        </w:rPr>
        <w:t xml:space="preserve"> </w:t>
      </w:r>
      <w:r w:rsidRPr="006D0D70">
        <w:rPr>
          <w:rFonts w:ascii="Arial" w:hAnsi="Arial" w:cs="Arial"/>
          <w:sz w:val="23"/>
          <w:szCs w:val="23"/>
          <w:shd w:val="clear" w:color="auto" w:fill="FFFFFF"/>
        </w:rPr>
        <w:t>No mesmo Anexo é demonstrada a despesa no total de R$ 95.668.870,00.</w:t>
      </w:r>
    </w:p>
    <w:p w14:paraId="41F63DEA"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Estes valores demonstram que o gasto com a manutenção e desenvolvimento do ensino, será de 25,5%, conforme demonstrado no citado Anexo que acompanha o projeto de lei.</w:t>
      </w:r>
    </w:p>
    <w:p w14:paraId="4BDCDA2C" w14:textId="77777777" w:rsidR="006D0D70" w:rsidRDefault="006D0D70" w:rsidP="006D0D70">
      <w:pPr>
        <w:spacing w:after="0" w:line="360" w:lineRule="auto"/>
        <w:jc w:val="both"/>
        <w:rPr>
          <w:rFonts w:ascii="Arial" w:hAnsi="Arial" w:cs="Arial"/>
          <w:b/>
          <w:sz w:val="23"/>
          <w:szCs w:val="23"/>
        </w:rPr>
      </w:pPr>
    </w:p>
    <w:p w14:paraId="32008E60" w14:textId="0BFEDFD0" w:rsidR="006D0D70" w:rsidRPr="006D0D70" w:rsidRDefault="006D0D70" w:rsidP="006D0D70">
      <w:pPr>
        <w:spacing w:after="0" w:line="360" w:lineRule="auto"/>
        <w:jc w:val="both"/>
        <w:rPr>
          <w:rFonts w:ascii="Arial" w:hAnsi="Arial" w:cs="Arial"/>
          <w:b/>
          <w:sz w:val="23"/>
          <w:szCs w:val="23"/>
        </w:rPr>
      </w:pPr>
      <w:r w:rsidRPr="006D0D70">
        <w:rPr>
          <w:rFonts w:ascii="Arial" w:hAnsi="Arial" w:cs="Arial"/>
          <w:b/>
          <w:sz w:val="23"/>
          <w:szCs w:val="23"/>
        </w:rPr>
        <w:t>Aplicação nas Ações e Serviços Públicos de Saúde:</w:t>
      </w:r>
      <w:r>
        <w:rPr>
          <w:rFonts w:ascii="Arial" w:hAnsi="Arial" w:cs="Arial"/>
          <w:b/>
          <w:sz w:val="23"/>
          <w:szCs w:val="23"/>
        </w:rPr>
        <w:t xml:space="preserve"> </w:t>
      </w:r>
      <w:r w:rsidRPr="006D0D70">
        <w:rPr>
          <w:rFonts w:ascii="Arial" w:hAnsi="Arial" w:cs="Arial"/>
          <w:sz w:val="23"/>
          <w:szCs w:val="23"/>
          <w:shd w:val="clear" w:color="auto" w:fill="FFFFFF"/>
        </w:rPr>
        <w:t>A saúde se constitui numa das preocupações centrais do Município, devido ao fato de ser o mesmo o responsável direto pelo atendimento da demanda, já que é onde o cidadão reside, e a porta de entrada para o SUS.</w:t>
      </w:r>
    </w:p>
    <w:p w14:paraId="15B7FA35" w14:textId="77777777" w:rsidR="006D0D70" w:rsidRDefault="006D0D70" w:rsidP="006D0D70">
      <w:pPr>
        <w:spacing w:after="0" w:line="360" w:lineRule="auto"/>
        <w:jc w:val="both"/>
        <w:rPr>
          <w:rFonts w:ascii="Arial" w:hAnsi="Arial" w:cs="Arial"/>
          <w:sz w:val="23"/>
          <w:szCs w:val="23"/>
          <w:shd w:val="clear" w:color="auto" w:fill="FFFFFF"/>
        </w:rPr>
      </w:pPr>
    </w:p>
    <w:p w14:paraId="5A62BC76"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 xml:space="preserve">A cada dia se vê, de forma quase solitária, na obrigação de enfrentar este grande desafio, situação que o leva a aumentar a cada exercício a destinação de recursos para manutenção dos serviços. Os recursos das demais esferas governamentais, destinados </w:t>
      </w:r>
      <w:r w:rsidRPr="006D0D70">
        <w:rPr>
          <w:rFonts w:ascii="Arial" w:hAnsi="Arial" w:cs="Arial"/>
          <w:sz w:val="23"/>
          <w:szCs w:val="23"/>
          <w:shd w:val="clear" w:color="auto" w:fill="FFFFFF"/>
        </w:rPr>
        <w:lastRenderedPageBreak/>
        <w:t>para seu financiamento, mesmo somados, são muito menores que os destinados pelo Município.</w:t>
      </w:r>
    </w:p>
    <w:p w14:paraId="4E069081" w14:textId="77777777" w:rsidR="006D0D70" w:rsidRDefault="006D0D70" w:rsidP="006D0D70">
      <w:pPr>
        <w:spacing w:after="0" w:line="360" w:lineRule="auto"/>
        <w:jc w:val="both"/>
        <w:rPr>
          <w:rFonts w:ascii="Arial" w:hAnsi="Arial" w:cs="Arial"/>
          <w:sz w:val="23"/>
          <w:szCs w:val="23"/>
          <w:shd w:val="clear" w:color="auto" w:fill="FFFFFF"/>
        </w:rPr>
      </w:pPr>
    </w:p>
    <w:p w14:paraId="18E4CE91"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O seu enfrentamento é diuturno, e no cumprimento da Emenda Constitucional 29, de 13 de setembro de 2000, regulamentada pela Lei Complementar 141, de 13 de janeiro de 2012, o Município, diferentemente das demais esferas de governo, não destina somente o mínimo do percentual exigido, ele vai muito além dos 15% (quinze por cento) que lhe é imputado.</w:t>
      </w:r>
    </w:p>
    <w:p w14:paraId="77BC6B13" w14:textId="77777777" w:rsidR="006D0D70" w:rsidRDefault="006D0D70" w:rsidP="006D0D70">
      <w:pPr>
        <w:spacing w:after="0" w:line="360" w:lineRule="auto"/>
        <w:jc w:val="both"/>
        <w:rPr>
          <w:rFonts w:ascii="Arial" w:hAnsi="Arial" w:cs="Arial"/>
          <w:sz w:val="23"/>
          <w:szCs w:val="23"/>
          <w:shd w:val="clear" w:color="auto" w:fill="FFFFFF"/>
        </w:rPr>
      </w:pPr>
    </w:p>
    <w:p w14:paraId="1CD54008" w14:textId="49B31F16"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 xml:space="preserve">O cumprimento da Emenda Constitucional 29, de 13 de setembro de 2000, e da Lei Complementar 141, de 13 de janeiro de 2012, na presente proposta, está demonstrado na forma do Anexo específico, que segue modelo da Secretaria do Tesouro Nacional - STN e do Tribunal de Contas do Estado – TCE/MG, com as seguintes informações: </w:t>
      </w:r>
    </w:p>
    <w:p w14:paraId="1264C12D" w14:textId="77777777" w:rsidR="006D0D70" w:rsidRDefault="006D0D70" w:rsidP="006D0D70">
      <w:pPr>
        <w:spacing w:after="0" w:line="360" w:lineRule="auto"/>
        <w:jc w:val="both"/>
        <w:rPr>
          <w:rFonts w:ascii="Arial" w:hAnsi="Arial" w:cs="Arial"/>
          <w:sz w:val="23"/>
          <w:szCs w:val="23"/>
          <w:shd w:val="clear" w:color="auto" w:fill="FFFFFF"/>
        </w:rPr>
      </w:pPr>
    </w:p>
    <w:p w14:paraId="3C0644F4"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No Anexo são demonstradas as receitas base de cálculo para as ações e serviços públicos de saúde, no total de R$ 371.365.200,00.</w:t>
      </w:r>
    </w:p>
    <w:p w14:paraId="3E5385D5" w14:textId="77777777" w:rsidR="006D0D70" w:rsidRDefault="006D0D70" w:rsidP="006D0D70">
      <w:pPr>
        <w:spacing w:after="0" w:line="360" w:lineRule="auto"/>
        <w:jc w:val="both"/>
        <w:rPr>
          <w:rFonts w:ascii="Arial" w:hAnsi="Arial" w:cs="Arial"/>
          <w:b/>
          <w:sz w:val="23"/>
          <w:szCs w:val="23"/>
        </w:rPr>
      </w:pPr>
    </w:p>
    <w:p w14:paraId="4E55CD36" w14:textId="734CD4A9"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b/>
          <w:sz w:val="23"/>
          <w:szCs w:val="23"/>
        </w:rPr>
        <w:t>Despesas:</w:t>
      </w:r>
      <w:r>
        <w:rPr>
          <w:rFonts w:ascii="Arial" w:hAnsi="Arial" w:cs="Arial"/>
          <w:b/>
          <w:sz w:val="23"/>
          <w:szCs w:val="23"/>
        </w:rPr>
        <w:t xml:space="preserve"> </w:t>
      </w:r>
      <w:r w:rsidRPr="006D0D70">
        <w:rPr>
          <w:rFonts w:ascii="Arial" w:hAnsi="Arial" w:cs="Arial"/>
          <w:sz w:val="23"/>
          <w:szCs w:val="23"/>
          <w:shd w:val="clear" w:color="auto" w:fill="FFFFFF"/>
        </w:rPr>
        <w:t>No mesmo Anexo é demonstrada a despesa no total de R$ 99.227.542,00.</w:t>
      </w:r>
    </w:p>
    <w:p w14:paraId="4CAE5E3E"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Estes valores demonstram que o gasto com ações e serviços públicos de saúde, será de 26,7%, conforme demonstrado no citado Anexo que acompanha o projeto de lei.</w:t>
      </w:r>
    </w:p>
    <w:p w14:paraId="65874563" w14:textId="77777777" w:rsidR="006D0D70" w:rsidRDefault="006D0D70" w:rsidP="006D0D70">
      <w:pPr>
        <w:spacing w:after="0" w:line="360" w:lineRule="auto"/>
        <w:jc w:val="both"/>
        <w:rPr>
          <w:rFonts w:ascii="Arial" w:hAnsi="Arial" w:cs="Arial"/>
          <w:b/>
          <w:sz w:val="23"/>
          <w:szCs w:val="23"/>
        </w:rPr>
      </w:pPr>
    </w:p>
    <w:p w14:paraId="4ED4178F" w14:textId="2414C593"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b/>
          <w:sz w:val="23"/>
          <w:szCs w:val="23"/>
        </w:rPr>
        <w:t>Responsabilidade Fiscal:</w:t>
      </w:r>
      <w:r>
        <w:rPr>
          <w:rFonts w:ascii="Arial" w:hAnsi="Arial" w:cs="Arial"/>
          <w:b/>
          <w:sz w:val="23"/>
          <w:szCs w:val="23"/>
        </w:rPr>
        <w:t xml:space="preserve"> </w:t>
      </w:r>
      <w:r w:rsidRPr="006D0D70">
        <w:rPr>
          <w:rFonts w:ascii="Arial" w:hAnsi="Arial" w:cs="Arial"/>
          <w:sz w:val="23"/>
          <w:szCs w:val="23"/>
          <w:shd w:val="clear" w:color="auto" w:fill="FFFFFF"/>
        </w:rPr>
        <w:t xml:space="preserve">A Lei de Responsabilidade Fiscal, publicada em 04 de maio de 2000, vem prestando relevantes serviços para nossa sociedade, quando estabelece controle ao gestor público, através de fixação de limites de gastos com pessoal, e a obrigação de poupança necessária para o cumprimento da dívida, de forma a não sacrificar ainda mais o nosso cidadão. </w:t>
      </w:r>
    </w:p>
    <w:p w14:paraId="4BEC5851" w14:textId="77777777" w:rsidR="006D0D70" w:rsidRDefault="006D0D70" w:rsidP="006D0D70">
      <w:pPr>
        <w:spacing w:after="0" w:line="360" w:lineRule="auto"/>
        <w:jc w:val="both"/>
        <w:rPr>
          <w:rFonts w:ascii="Arial" w:hAnsi="Arial" w:cs="Arial"/>
          <w:sz w:val="23"/>
          <w:szCs w:val="23"/>
          <w:shd w:val="clear" w:color="auto" w:fill="FFFFFF"/>
        </w:rPr>
      </w:pPr>
    </w:p>
    <w:p w14:paraId="3998A6D6"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 xml:space="preserve">Da responsabilidade Fiscal, na presente proposta, queremos ressaltar os gastos com pessoal da seguinte forma: </w:t>
      </w:r>
    </w:p>
    <w:p w14:paraId="5514D2C6" w14:textId="77777777" w:rsidR="006D0D70" w:rsidRDefault="006D0D70" w:rsidP="006D0D70">
      <w:pPr>
        <w:spacing w:after="0" w:line="360" w:lineRule="auto"/>
        <w:jc w:val="both"/>
        <w:rPr>
          <w:rFonts w:ascii="Arial" w:hAnsi="Arial" w:cs="Arial"/>
          <w:b/>
          <w:sz w:val="23"/>
          <w:szCs w:val="23"/>
        </w:rPr>
      </w:pPr>
    </w:p>
    <w:p w14:paraId="686BD592" w14:textId="7FB16FA4" w:rsidR="006D0D70" w:rsidRPr="006D0D70" w:rsidRDefault="006D0D70" w:rsidP="006D0D70">
      <w:pPr>
        <w:spacing w:after="0" w:line="360" w:lineRule="auto"/>
        <w:jc w:val="both"/>
        <w:rPr>
          <w:rFonts w:ascii="Arial" w:hAnsi="Arial" w:cs="Arial"/>
          <w:b/>
          <w:sz w:val="23"/>
          <w:szCs w:val="23"/>
        </w:rPr>
      </w:pPr>
      <w:r w:rsidRPr="006D0D70">
        <w:rPr>
          <w:rFonts w:ascii="Arial" w:hAnsi="Arial" w:cs="Arial"/>
          <w:b/>
          <w:sz w:val="23"/>
          <w:szCs w:val="23"/>
        </w:rPr>
        <w:t xml:space="preserve">Gastos com Pessoal: </w:t>
      </w:r>
      <w:r w:rsidRPr="006D0D70">
        <w:rPr>
          <w:rFonts w:ascii="Arial" w:hAnsi="Arial" w:cs="Arial"/>
          <w:sz w:val="23"/>
          <w:szCs w:val="23"/>
          <w:shd w:val="clear" w:color="auto" w:fill="FFFFFF"/>
        </w:rPr>
        <w:t xml:space="preserve">Os gastos com pessoal como sabemos tem como limite o percentual de 54% para o Executivo e 6% para o Legislativo. </w:t>
      </w:r>
    </w:p>
    <w:p w14:paraId="1DBAB8EB" w14:textId="77777777" w:rsid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lastRenderedPageBreak/>
        <w:t>Nesta proposta, os gastos com pessoal são demonstrados na forma do Anexo específico, que segue modelo da Secretaria do Tesouro Nacional - STN e do Tribunal de Contas do Estado - TCE, com as seguintes informações:</w:t>
      </w:r>
    </w:p>
    <w:p w14:paraId="677BF94C" w14:textId="77777777" w:rsidR="006D0D70" w:rsidRDefault="006D0D70" w:rsidP="006D0D70">
      <w:pPr>
        <w:pStyle w:val="PargrafodaLista"/>
        <w:numPr>
          <w:ilvl w:val="0"/>
          <w:numId w:val="9"/>
        </w:num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Receita corrente líquida ajustada, no valor de R$ 588.245.076,00;</w:t>
      </w:r>
    </w:p>
    <w:p w14:paraId="4F6F18EE" w14:textId="77777777" w:rsidR="006D0D70" w:rsidRDefault="006D0D70" w:rsidP="006D0D70">
      <w:pPr>
        <w:pStyle w:val="PargrafodaLista"/>
        <w:numPr>
          <w:ilvl w:val="0"/>
          <w:numId w:val="9"/>
        </w:num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Gasto do Executivo no total de R$ 197.841.528,00, que representa 33,89%, da receita corrente líquida ajustada;</w:t>
      </w:r>
    </w:p>
    <w:p w14:paraId="0BA9E7B9" w14:textId="77777777" w:rsidR="006D0D70" w:rsidRDefault="006D0D70" w:rsidP="006D0D70">
      <w:pPr>
        <w:pStyle w:val="PargrafodaLista"/>
        <w:numPr>
          <w:ilvl w:val="0"/>
          <w:numId w:val="9"/>
        </w:num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Gasto do Legislativo no total de R$ 17.472.000,00, que representa 2,99%, da receita corrente líquida ajustada;</w:t>
      </w:r>
    </w:p>
    <w:p w14:paraId="392B1518" w14:textId="77777777" w:rsidR="006D0D70" w:rsidRDefault="006D0D70" w:rsidP="006D0D70">
      <w:pPr>
        <w:pStyle w:val="PargrafodaLista"/>
        <w:numPr>
          <w:ilvl w:val="0"/>
          <w:numId w:val="9"/>
        </w:num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Gasto do Município no total de R$ 215.313.528,00, que representa 36,88%, da receita corrente líquida ajustada.</w:t>
      </w:r>
    </w:p>
    <w:p w14:paraId="48A18BE5" w14:textId="77777777" w:rsidR="006D0D70" w:rsidRDefault="006D0D70" w:rsidP="006D0D70">
      <w:pPr>
        <w:spacing w:after="0" w:line="360" w:lineRule="auto"/>
        <w:jc w:val="both"/>
        <w:rPr>
          <w:rFonts w:ascii="Arial" w:hAnsi="Arial" w:cs="Arial"/>
          <w:sz w:val="23"/>
          <w:szCs w:val="23"/>
          <w:shd w:val="clear" w:color="auto" w:fill="FFFFFF"/>
        </w:rPr>
      </w:pPr>
    </w:p>
    <w:p w14:paraId="3FF89A82" w14:textId="77777777" w:rsid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Além das funções acima demonstradas e comentadas contém, na presente proposta, a destinação de recursos para atendimento das seguintes funções de governo:</w:t>
      </w:r>
    </w:p>
    <w:p w14:paraId="1D25F63C" w14:textId="77777777" w:rsidR="006D0D70" w:rsidRPr="006D0D70" w:rsidRDefault="006D0D70" w:rsidP="006D0D70">
      <w:pPr>
        <w:pStyle w:val="PargrafodaLista"/>
        <w:numPr>
          <w:ilvl w:val="0"/>
          <w:numId w:val="10"/>
        </w:numPr>
        <w:spacing w:after="0" w:line="360" w:lineRule="auto"/>
        <w:jc w:val="both"/>
        <w:rPr>
          <w:rFonts w:ascii="Arial" w:hAnsi="Arial" w:cs="Arial"/>
          <w:sz w:val="23"/>
          <w:szCs w:val="23"/>
          <w:shd w:val="clear" w:color="auto" w:fill="FFFFFF"/>
        </w:rPr>
      </w:pPr>
      <w:r w:rsidRPr="006D0D70">
        <w:rPr>
          <w:rFonts w:ascii="Arial" w:hAnsi="Arial" w:cs="Arial"/>
          <w:sz w:val="23"/>
          <w:szCs w:val="23"/>
        </w:rPr>
        <w:t>Legislativa, no valor de R$ 25.397.635,00;</w:t>
      </w:r>
    </w:p>
    <w:p w14:paraId="66AAD420" w14:textId="77777777" w:rsidR="006D0D70" w:rsidRPr="006D0D70" w:rsidRDefault="006D0D70" w:rsidP="006D0D70">
      <w:pPr>
        <w:pStyle w:val="PargrafodaLista"/>
        <w:numPr>
          <w:ilvl w:val="0"/>
          <w:numId w:val="10"/>
        </w:numPr>
        <w:spacing w:after="0" w:line="360" w:lineRule="auto"/>
        <w:jc w:val="both"/>
        <w:rPr>
          <w:rFonts w:ascii="Arial" w:hAnsi="Arial" w:cs="Arial"/>
          <w:sz w:val="23"/>
          <w:szCs w:val="23"/>
          <w:shd w:val="clear" w:color="auto" w:fill="FFFFFF"/>
        </w:rPr>
      </w:pPr>
      <w:r w:rsidRPr="006D0D70">
        <w:rPr>
          <w:rFonts w:ascii="Arial" w:hAnsi="Arial" w:cs="Arial"/>
          <w:sz w:val="23"/>
          <w:szCs w:val="23"/>
        </w:rPr>
        <w:t xml:space="preserve">Administração, no valor de R$ 59.275.741,00; </w:t>
      </w:r>
    </w:p>
    <w:p w14:paraId="4223F6B9" w14:textId="77777777" w:rsidR="006D0D70" w:rsidRPr="006D0D70" w:rsidRDefault="006D0D70" w:rsidP="006D0D70">
      <w:pPr>
        <w:pStyle w:val="PargrafodaLista"/>
        <w:numPr>
          <w:ilvl w:val="0"/>
          <w:numId w:val="10"/>
        </w:numPr>
        <w:spacing w:after="0" w:line="360" w:lineRule="auto"/>
        <w:jc w:val="both"/>
        <w:rPr>
          <w:rFonts w:ascii="Arial" w:hAnsi="Arial" w:cs="Arial"/>
          <w:sz w:val="23"/>
          <w:szCs w:val="23"/>
          <w:shd w:val="clear" w:color="auto" w:fill="FFFFFF"/>
        </w:rPr>
      </w:pPr>
      <w:r w:rsidRPr="006D0D70">
        <w:rPr>
          <w:rFonts w:ascii="Arial" w:hAnsi="Arial" w:cs="Arial"/>
          <w:sz w:val="23"/>
          <w:szCs w:val="23"/>
        </w:rPr>
        <w:t>Urbanismo, no valor de R$ 133.397.631,00;</w:t>
      </w:r>
    </w:p>
    <w:p w14:paraId="35167776" w14:textId="77777777" w:rsidR="006D0D70" w:rsidRPr="006D0D70" w:rsidRDefault="006D0D70" w:rsidP="006D0D70">
      <w:pPr>
        <w:pStyle w:val="PargrafodaLista"/>
        <w:numPr>
          <w:ilvl w:val="0"/>
          <w:numId w:val="10"/>
        </w:numPr>
        <w:spacing w:after="0" w:line="360" w:lineRule="auto"/>
        <w:jc w:val="both"/>
        <w:rPr>
          <w:rFonts w:ascii="Arial" w:hAnsi="Arial" w:cs="Arial"/>
          <w:sz w:val="23"/>
          <w:szCs w:val="23"/>
          <w:shd w:val="clear" w:color="auto" w:fill="FFFFFF"/>
        </w:rPr>
      </w:pPr>
      <w:r w:rsidRPr="006D0D70">
        <w:rPr>
          <w:rFonts w:ascii="Arial" w:hAnsi="Arial" w:cs="Arial"/>
          <w:sz w:val="23"/>
          <w:szCs w:val="23"/>
        </w:rPr>
        <w:t>Saneamento, no valor de R$ 118.687.458,00</w:t>
      </w:r>
    </w:p>
    <w:p w14:paraId="122ABC41" w14:textId="77777777" w:rsidR="006D0D70" w:rsidRPr="006D0D70" w:rsidRDefault="006D0D70" w:rsidP="006D0D70">
      <w:pPr>
        <w:pStyle w:val="PargrafodaLista"/>
        <w:numPr>
          <w:ilvl w:val="0"/>
          <w:numId w:val="10"/>
        </w:numPr>
        <w:spacing w:after="0" w:line="360" w:lineRule="auto"/>
        <w:jc w:val="both"/>
        <w:rPr>
          <w:rFonts w:ascii="Arial" w:hAnsi="Arial" w:cs="Arial"/>
          <w:sz w:val="23"/>
          <w:szCs w:val="23"/>
          <w:shd w:val="clear" w:color="auto" w:fill="FFFFFF"/>
        </w:rPr>
      </w:pPr>
      <w:r w:rsidRPr="006D0D70">
        <w:rPr>
          <w:rFonts w:ascii="Arial" w:hAnsi="Arial" w:cs="Arial"/>
          <w:sz w:val="23"/>
          <w:szCs w:val="23"/>
        </w:rPr>
        <w:t>Gestão Ambiental, no valor de R$ 9.420.000,00;</w:t>
      </w:r>
    </w:p>
    <w:p w14:paraId="69F03622" w14:textId="77777777" w:rsidR="006D0D70" w:rsidRPr="006D0D70" w:rsidRDefault="006D0D70" w:rsidP="006D0D70">
      <w:pPr>
        <w:pStyle w:val="PargrafodaLista"/>
        <w:numPr>
          <w:ilvl w:val="0"/>
          <w:numId w:val="10"/>
        </w:numPr>
        <w:spacing w:after="0" w:line="360" w:lineRule="auto"/>
        <w:jc w:val="both"/>
        <w:rPr>
          <w:rFonts w:ascii="Arial" w:hAnsi="Arial" w:cs="Arial"/>
          <w:sz w:val="23"/>
          <w:szCs w:val="23"/>
          <w:shd w:val="clear" w:color="auto" w:fill="FFFFFF"/>
        </w:rPr>
      </w:pPr>
      <w:r w:rsidRPr="006D0D70">
        <w:rPr>
          <w:rFonts w:ascii="Arial" w:hAnsi="Arial" w:cs="Arial"/>
          <w:sz w:val="23"/>
          <w:szCs w:val="23"/>
        </w:rPr>
        <w:t>Agricultura, no valor de R$ 13.106.000,00</w:t>
      </w:r>
    </w:p>
    <w:p w14:paraId="21AA003D" w14:textId="77777777" w:rsidR="006D0D70" w:rsidRPr="006D0D70" w:rsidRDefault="006D0D70" w:rsidP="006D0D70">
      <w:pPr>
        <w:pStyle w:val="PargrafodaLista"/>
        <w:numPr>
          <w:ilvl w:val="0"/>
          <w:numId w:val="10"/>
        </w:numPr>
        <w:spacing w:after="0" w:line="360" w:lineRule="auto"/>
        <w:jc w:val="both"/>
        <w:rPr>
          <w:rFonts w:ascii="Arial" w:hAnsi="Arial" w:cs="Arial"/>
          <w:sz w:val="23"/>
          <w:szCs w:val="23"/>
          <w:shd w:val="clear" w:color="auto" w:fill="FFFFFF"/>
        </w:rPr>
      </w:pPr>
      <w:r w:rsidRPr="006D0D70">
        <w:rPr>
          <w:rFonts w:ascii="Arial" w:hAnsi="Arial" w:cs="Arial"/>
          <w:sz w:val="23"/>
          <w:szCs w:val="23"/>
        </w:rPr>
        <w:t>Segurança Pública, no valor de R$ 5.331.600,00;</w:t>
      </w:r>
    </w:p>
    <w:p w14:paraId="3C9BE7FB" w14:textId="77777777" w:rsidR="006D0D70" w:rsidRPr="006D0D70" w:rsidRDefault="006D0D70" w:rsidP="006D0D70">
      <w:pPr>
        <w:pStyle w:val="PargrafodaLista"/>
        <w:numPr>
          <w:ilvl w:val="0"/>
          <w:numId w:val="10"/>
        </w:numPr>
        <w:spacing w:after="0" w:line="360" w:lineRule="auto"/>
        <w:jc w:val="both"/>
        <w:rPr>
          <w:rFonts w:ascii="Arial" w:hAnsi="Arial" w:cs="Arial"/>
          <w:sz w:val="23"/>
          <w:szCs w:val="23"/>
          <w:shd w:val="clear" w:color="auto" w:fill="FFFFFF"/>
        </w:rPr>
      </w:pPr>
      <w:r w:rsidRPr="006D0D70">
        <w:rPr>
          <w:rFonts w:ascii="Arial" w:hAnsi="Arial" w:cs="Arial"/>
          <w:sz w:val="23"/>
          <w:szCs w:val="23"/>
        </w:rPr>
        <w:t>Energia, no valor de R$ 5.630.000,00;</w:t>
      </w:r>
    </w:p>
    <w:p w14:paraId="2954F30A" w14:textId="77777777" w:rsidR="006D0D70" w:rsidRPr="006D0D70" w:rsidRDefault="006D0D70" w:rsidP="006D0D70">
      <w:pPr>
        <w:pStyle w:val="PargrafodaLista"/>
        <w:numPr>
          <w:ilvl w:val="0"/>
          <w:numId w:val="10"/>
        </w:numPr>
        <w:spacing w:after="0" w:line="360" w:lineRule="auto"/>
        <w:jc w:val="both"/>
        <w:rPr>
          <w:rFonts w:ascii="Arial" w:hAnsi="Arial" w:cs="Arial"/>
          <w:sz w:val="23"/>
          <w:szCs w:val="23"/>
          <w:shd w:val="clear" w:color="auto" w:fill="FFFFFF"/>
        </w:rPr>
      </w:pPr>
      <w:r w:rsidRPr="006D0D70">
        <w:rPr>
          <w:rFonts w:ascii="Arial" w:hAnsi="Arial" w:cs="Arial"/>
          <w:sz w:val="23"/>
          <w:szCs w:val="23"/>
        </w:rPr>
        <w:t>Desportos e Lazer, no valor de R$ 13.730.000,00; e</w:t>
      </w:r>
      <w:r>
        <w:rPr>
          <w:rFonts w:ascii="Arial" w:hAnsi="Arial" w:cs="Arial"/>
          <w:sz w:val="23"/>
          <w:szCs w:val="23"/>
        </w:rPr>
        <w:t>,</w:t>
      </w:r>
    </w:p>
    <w:p w14:paraId="1FC28281" w14:textId="3AFC8C64" w:rsidR="006D0D70" w:rsidRPr="006D0D70" w:rsidRDefault="006D0D70" w:rsidP="006D0D70">
      <w:pPr>
        <w:pStyle w:val="PargrafodaLista"/>
        <w:numPr>
          <w:ilvl w:val="0"/>
          <w:numId w:val="10"/>
        </w:numPr>
        <w:spacing w:after="0" w:line="360" w:lineRule="auto"/>
        <w:jc w:val="both"/>
        <w:rPr>
          <w:rFonts w:ascii="Arial" w:hAnsi="Arial" w:cs="Arial"/>
          <w:sz w:val="23"/>
          <w:szCs w:val="23"/>
          <w:shd w:val="clear" w:color="auto" w:fill="FFFFFF"/>
        </w:rPr>
      </w:pPr>
      <w:r w:rsidRPr="006D0D70">
        <w:rPr>
          <w:rFonts w:ascii="Arial" w:hAnsi="Arial" w:cs="Arial"/>
          <w:sz w:val="23"/>
          <w:szCs w:val="23"/>
        </w:rPr>
        <w:t>Encargos Especiais, no valor de R$ 6.278.807,00.</w:t>
      </w:r>
    </w:p>
    <w:p w14:paraId="05A2B64B" w14:textId="77777777" w:rsidR="006D0D70" w:rsidRDefault="006D0D70" w:rsidP="006D0D70">
      <w:pPr>
        <w:spacing w:after="0" w:line="360" w:lineRule="auto"/>
        <w:jc w:val="both"/>
        <w:rPr>
          <w:rFonts w:ascii="Arial" w:hAnsi="Arial" w:cs="Arial"/>
          <w:sz w:val="23"/>
          <w:szCs w:val="23"/>
          <w:shd w:val="clear" w:color="auto" w:fill="FFFFFF"/>
        </w:rPr>
      </w:pPr>
    </w:p>
    <w:p w14:paraId="04156064"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Consta ainda, em cumprimento a LC 101/2000, uma reserva de contingência no valor de R$ 20.000.000,00.</w:t>
      </w:r>
    </w:p>
    <w:p w14:paraId="4E38062E" w14:textId="77777777" w:rsidR="006D0D70" w:rsidRDefault="006D0D70" w:rsidP="006D0D70">
      <w:pPr>
        <w:spacing w:after="0" w:line="360" w:lineRule="auto"/>
        <w:jc w:val="both"/>
        <w:rPr>
          <w:rFonts w:ascii="Arial" w:hAnsi="Arial" w:cs="Arial"/>
          <w:sz w:val="23"/>
          <w:szCs w:val="23"/>
        </w:rPr>
      </w:pPr>
    </w:p>
    <w:p w14:paraId="2AB4BC57"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 xml:space="preserve">Esta proposta orçamentária, senhores vereadores, tem em seu bojo o cumprimento de programas e ações constantes no Plano Plurianual para o quadriênio de 2026 a 2029, e acreditamos que com aplicação destes programas e ações, estaremos atendendo as necessidades prioritárias e imprescindíveis de nossa comunidade. Além de destinar recursos para custeio dos diversos serviços desenvolvidos pela administração, destina também recursos para investimentos. </w:t>
      </w:r>
    </w:p>
    <w:p w14:paraId="72AA209B"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lastRenderedPageBreak/>
        <w:t xml:space="preserve">Reafirmamos que as situações das transferências legais e constitucionais, cujo valor depende diretamente das políticas econômica dos governos Federal e Estadual, têm sofrido quedas, que se avolumam a cada mês, ficando a gestão do Município próxima da inviabilidade. </w:t>
      </w:r>
    </w:p>
    <w:p w14:paraId="20628998" w14:textId="77777777" w:rsidR="006D0D70" w:rsidRDefault="006D0D70" w:rsidP="006D0D70">
      <w:pPr>
        <w:spacing w:after="0" w:line="360" w:lineRule="auto"/>
        <w:jc w:val="both"/>
        <w:rPr>
          <w:rFonts w:ascii="Arial" w:hAnsi="Arial" w:cs="Arial"/>
          <w:sz w:val="23"/>
          <w:szCs w:val="23"/>
          <w:shd w:val="clear" w:color="auto" w:fill="FFFFFF"/>
        </w:rPr>
      </w:pPr>
    </w:p>
    <w:p w14:paraId="03B1D3B2"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Assim sendo, estaremos em 2026, como estamos atualmente, na dependência da atuação das outras esferas de governo, uma vez que os recursos próprios, que dependem da política administrativa local, devido a sua pequenez, não têm poder de resolver todos os problemas que surgirão com a queda das transferências legais e constitucionais.</w:t>
      </w:r>
    </w:p>
    <w:p w14:paraId="7F455618" w14:textId="77777777" w:rsidR="006D0D70" w:rsidRDefault="006D0D70" w:rsidP="006D0D70">
      <w:pPr>
        <w:spacing w:after="0" w:line="360" w:lineRule="auto"/>
        <w:jc w:val="both"/>
        <w:rPr>
          <w:rFonts w:ascii="Arial" w:hAnsi="Arial" w:cs="Arial"/>
          <w:sz w:val="23"/>
          <w:szCs w:val="23"/>
          <w:shd w:val="clear" w:color="auto" w:fill="FFFFFF"/>
        </w:rPr>
      </w:pPr>
    </w:p>
    <w:p w14:paraId="58131107" w14:textId="77777777" w:rsidR="006D0D70" w:rsidRPr="006D0D70" w:rsidRDefault="006D0D70" w:rsidP="006D0D70">
      <w:pPr>
        <w:spacing w:after="0" w:line="360" w:lineRule="auto"/>
        <w:jc w:val="both"/>
        <w:rPr>
          <w:rFonts w:ascii="Arial" w:hAnsi="Arial" w:cs="Arial"/>
          <w:sz w:val="23"/>
          <w:szCs w:val="23"/>
          <w:shd w:val="clear" w:color="auto" w:fill="FFFFFF"/>
        </w:rPr>
      </w:pPr>
      <w:r w:rsidRPr="006D0D70">
        <w:rPr>
          <w:rFonts w:ascii="Arial" w:hAnsi="Arial" w:cs="Arial"/>
          <w:sz w:val="23"/>
          <w:szCs w:val="23"/>
          <w:shd w:val="clear" w:color="auto" w:fill="FFFFFF"/>
        </w:rPr>
        <w:t>Finalmente podemos afiançar que está “Proposta Orçamentária” foi elaborada com atendimento de todos os dispositivos legais vigentes, e que a mesma apresenta os recursos disponíveis para a busca do bom atendimento de nosso cidadão, com vistas ao seu bem-estar social.</w:t>
      </w:r>
    </w:p>
    <w:p w14:paraId="2F45A704" w14:textId="77777777" w:rsidR="006D0D70" w:rsidRDefault="006D0D70" w:rsidP="006D0D70">
      <w:pPr>
        <w:spacing w:after="0" w:line="360" w:lineRule="auto"/>
        <w:jc w:val="both"/>
        <w:rPr>
          <w:rFonts w:ascii="Arial" w:hAnsi="Arial" w:cs="Arial"/>
          <w:sz w:val="23"/>
          <w:szCs w:val="23"/>
          <w:shd w:val="clear" w:color="auto" w:fill="FFFFFF"/>
        </w:rPr>
      </w:pPr>
    </w:p>
    <w:p w14:paraId="6E8130AD" w14:textId="2204DAAB" w:rsidR="006D0D70" w:rsidRPr="006D0D70" w:rsidRDefault="006D0D70" w:rsidP="006D0D70">
      <w:pPr>
        <w:spacing w:after="0" w:line="360" w:lineRule="auto"/>
        <w:jc w:val="both"/>
        <w:rPr>
          <w:rFonts w:ascii="Arial" w:hAnsi="Arial" w:cs="Arial"/>
          <w:sz w:val="23"/>
          <w:szCs w:val="23"/>
        </w:rPr>
      </w:pPr>
      <w:r w:rsidRPr="006D0D70">
        <w:rPr>
          <w:rFonts w:ascii="Arial" w:hAnsi="Arial" w:cs="Arial"/>
          <w:sz w:val="23"/>
          <w:szCs w:val="23"/>
          <w:shd w:val="clear" w:color="auto" w:fill="FFFFFF"/>
        </w:rPr>
        <w:t>Com estas ponderações, solicitamos a aprovação do Projeto de Lei que ora encaminhamos, e, valemo-nos da oportunidade para reafirmarmos à Vossas Excelências nossos protestos de estima e consideração.</w:t>
      </w:r>
      <w:r w:rsidRPr="006D0D70">
        <w:rPr>
          <w:rFonts w:ascii="Arial" w:hAnsi="Arial" w:cs="Arial"/>
          <w:sz w:val="23"/>
          <w:szCs w:val="23"/>
        </w:rPr>
        <w:t xml:space="preserve"> </w:t>
      </w:r>
    </w:p>
    <w:p w14:paraId="3EF002CF" w14:textId="77308998" w:rsidR="00A610F9" w:rsidRPr="006D0D70" w:rsidRDefault="00A610F9" w:rsidP="006D0D70">
      <w:pPr>
        <w:spacing w:after="0" w:line="360" w:lineRule="auto"/>
        <w:jc w:val="both"/>
        <w:rPr>
          <w:rFonts w:ascii="Arial" w:eastAsia="Times New Roman" w:hAnsi="Arial" w:cs="Arial"/>
          <w:kern w:val="0"/>
          <w:sz w:val="23"/>
          <w:szCs w:val="23"/>
          <w:lang w:eastAsia="pt-BR"/>
          <w14:ligatures w14:val="none"/>
        </w:rPr>
      </w:pPr>
    </w:p>
    <w:p w14:paraId="45827E16" w14:textId="550156EF" w:rsidR="0087541D" w:rsidRPr="006D0D70" w:rsidRDefault="0087541D" w:rsidP="006D0D70">
      <w:pPr>
        <w:spacing w:after="0" w:line="360" w:lineRule="auto"/>
        <w:rPr>
          <w:rFonts w:ascii="Arial" w:eastAsia="Times New Roman" w:hAnsi="Arial" w:cs="Arial"/>
          <w:kern w:val="0"/>
          <w:sz w:val="23"/>
          <w:szCs w:val="23"/>
          <w:lang w:eastAsia="pt-BR"/>
          <w14:ligatures w14:val="none"/>
        </w:rPr>
      </w:pPr>
      <w:r w:rsidRPr="006D0D70">
        <w:rPr>
          <w:rFonts w:ascii="Arial" w:hAnsi="Arial" w:cs="Arial"/>
          <w:sz w:val="23"/>
          <w:szCs w:val="23"/>
        </w:rPr>
        <w:t>Atenciosamente,</w:t>
      </w:r>
    </w:p>
    <w:p w14:paraId="05C2E43E" w14:textId="77777777" w:rsidR="00E85021" w:rsidRPr="006D0D70" w:rsidRDefault="00E85021" w:rsidP="006D0D70">
      <w:pPr>
        <w:spacing w:after="0" w:line="360" w:lineRule="auto"/>
        <w:jc w:val="both"/>
        <w:rPr>
          <w:rFonts w:ascii="Arial" w:hAnsi="Arial" w:cs="Arial"/>
          <w:sz w:val="23"/>
          <w:szCs w:val="23"/>
        </w:rPr>
      </w:pPr>
    </w:p>
    <w:p w14:paraId="3A2BE829" w14:textId="77777777" w:rsidR="0087541D" w:rsidRPr="006D0D70" w:rsidRDefault="0087541D" w:rsidP="006D0D70">
      <w:pPr>
        <w:spacing w:after="0" w:line="360" w:lineRule="auto"/>
        <w:jc w:val="both"/>
        <w:rPr>
          <w:rFonts w:ascii="Arial" w:hAnsi="Arial" w:cs="Arial"/>
          <w:sz w:val="23"/>
          <w:szCs w:val="23"/>
        </w:rPr>
      </w:pPr>
    </w:p>
    <w:p w14:paraId="41764263" w14:textId="77777777" w:rsidR="0087541D" w:rsidRPr="006D0D70" w:rsidRDefault="0087541D" w:rsidP="006D0D70">
      <w:pPr>
        <w:spacing w:after="0" w:line="360" w:lineRule="auto"/>
        <w:jc w:val="center"/>
        <w:rPr>
          <w:rFonts w:ascii="Arial" w:hAnsi="Arial" w:cs="Arial"/>
          <w:sz w:val="23"/>
          <w:szCs w:val="23"/>
        </w:rPr>
      </w:pPr>
      <w:r w:rsidRPr="006D0D70">
        <w:rPr>
          <w:rFonts w:ascii="Arial" w:hAnsi="Arial" w:cs="Arial"/>
          <w:sz w:val="23"/>
          <w:szCs w:val="23"/>
        </w:rPr>
        <w:t>Gabriel Augusto Parreiras</w:t>
      </w:r>
    </w:p>
    <w:p w14:paraId="70DDB378" w14:textId="77777777" w:rsidR="0087541D" w:rsidRPr="006D0D70" w:rsidRDefault="0087541D" w:rsidP="006D0D70">
      <w:pPr>
        <w:spacing w:after="0" w:line="360" w:lineRule="auto"/>
        <w:jc w:val="center"/>
        <w:rPr>
          <w:rFonts w:ascii="Arial" w:hAnsi="Arial" w:cs="Arial"/>
          <w:b/>
          <w:sz w:val="23"/>
          <w:szCs w:val="23"/>
        </w:rPr>
      </w:pPr>
      <w:r w:rsidRPr="006D0D70">
        <w:rPr>
          <w:rFonts w:ascii="Arial" w:hAnsi="Arial" w:cs="Arial"/>
          <w:b/>
          <w:sz w:val="23"/>
          <w:szCs w:val="23"/>
        </w:rPr>
        <w:t>Prefeito Municipal</w:t>
      </w:r>
    </w:p>
    <w:p w14:paraId="116BB851" w14:textId="77777777" w:rsidR="008A6C9F" w:rsidRPr="006D0D70" w:rsidRDefault="008A6C9F" w:rsidP="006D0D70">
      <w:pPr>
        <w:spacing w:after="0" w:line="360" w:lineRule="auto"/>
        <w:contextualSpacing/>
        <w:jc w:val="both"/>
        <w:rPr>
          <w:rFonts w:ascii="Arial" w:hAnsi="Arial" w:cs="Arial"/>
          <w:sz w:val="23"/>
          <w:szCs w:val="23"/>
        </w:rPr>
      </w:pPr>
    </w:p>
    <w:p w14:paraId="4CA9010B" w14:textId="77777777" w:rsidR="00694910" w:rsidRPr="006D0D70" w:rsidRDefault="00694910" w:rsidP="006D0D70">
      <w:pPr>
        <w:spacing w:after="0" w:line="360" w:lineRule="auto"/>
        <w:contextualSpacing/>
        <w:jc w:val="both"/>
        <w:rPr>
          <w:rFonts w:ascii="Arial" w:hAnsi="Arial" w:cs="Arial"/>
          <w:sz w:val="23"/>
          <w:szCs w:val="23"/>
        </w:rPr>
      </w:pPr>
    </w:p>
    <w:p w14:paraId="0A99ED8A" w14:textId="77777777" w:rsidR="00694910" w:rsidRPr="006D0D70" w:rsidRDefault="00694910" w:rsidP="006D0D70">
      <w:pPr>
        <w:spacing w:after="0" w:line="360" w:lineRule="auto"/>
        <w:contextualSpacing/>
        <w:jc w:val="both"/>
        <w:rPr>
          <w:rFonts w:ascii="Arial" w:hAnsi="Arial" w:cs="Arial"/>
          <w:sz w:val="23"/>
          <w:szCs w:val="23"/>
        </w:rPr>
      </w:pPr>
    </w:p>
    <w:p w14:paraId="4E3A7690" w14:textId="77777777" w:rsidR="00694910" w:rsidRPr="006D0D70" w:rsidRDefault="00694910" w:rsidP="006D0D70">
      <w:pPr>
        <w:spacing w:after="0" w:line="360" w:lineRule="auto"/>
        <w:contextualSpacing/>
        <w:jc w:val="both"/>
        <w:rPr>
          <w:rFonts w:ascii="Arial" w:hAnsi="Arial" w:cs="Arial"/>
          <w:sz w:val="23"/>
          <w:szCs w:val="23"/>
        </w:rPr>
      </w:pPr>
    </w:p>
    <w:p w14:paraId="58E90773" w14:textId="77777777" w:rsidR="00694910" w:rsidRPr="006D0D70" w:rsidRDefault="00694910" w:rsidP="006D0D70">
      <w:pPr>
        <w:spacing w:after="0" w:line="360" w:lineRule="auto"/>
        <w:contextualSpacing/>
        <w:jc w:val="both"/>
        <w:rPr>
          <w:rFonts w:ascii="Arial" w:hAnsi="Arial" w:cs="Arial"/>
          <w:sz w:val="23"/>
          <w:szCs w:val="23"/>
        </w:rPr>
      </w:pPr>
    </w:p>
    <w:p w14:paraId="5A1D77EC" w14:textId="77777777" w:rsidR="0087541D" w:rsidRPr="006D0D70" w:rsidRDefault="0087541D" w:rsidP="006D0D70">
      <w:pPr>
        <w:spacing w:after="0" w:line="360" w:lineRule="auto"/>
        <w:contextualSpacing/>
        <w:jc w:val="both"/>
        <w:rPr>
          <w:rFonts w:ascii="Arial" w:hAnsi="Arial" w:cs="Arial"/>
          <w:sz w:val="23"/>
          <w:szCs w:val="23"/>
        </w:rPr>
      </w:pPr>
      <w:r w:rsidRPr="006D0D70">
        <w:rPr>
          <w:rFonts w:ascii="Arial" w:hAnsi="Arial" w:cs="Arial"/>
          <w:sz w:val="23"/>
          <w:szCs w:val="23"/>
        </w:rPr>
        <w:t>Excelentíssimo Senhor</w:t>
      </w:r>
    </w:p>
    <w:p w14:paraId="378E8887" w14:textId="77777777" w:rsidR="0087541D" w:rsidRPr="006D0D70" w:rsidRDefault="0087541D" w:rsidP="006D0D70">
      <w:pPr>
        <w:spacing w:after="0" w:line="360" w:lineRule="auto"/>
        <w:contextualSpacing/>
        <w:jc w:val="both"/>
        <w:rPr>
          <w:rFonts w:ascii="Arial" w:hAnsi="Arial" w:cs="Arial"/>
          <w:b/>
          <w:bCs/>
          <w:sz w:val="23"/>
          <w:szCs w:val="23"/>
        </w:rPr>
      </w:pPr>
      <w:r w:rsidRPr="006D0D70">
        <w:rPr>
          <w:rFonts w:ascii="Arial" w:hAnsi="Arial" w:cs="Arial"/>
          <w:b/>
          <w:bCs/>
          <w:sz w:val="23"/>
          <w:szCs w:val="23"/>
        </w:rPr>
        <w:t>VEREADOR JOSÉ METÓDIO DORNAS</w:t>
      </w:r>
    </w:p>
    <w:p w14:paraId="72187D2E" w14:textId="77777777" w:rsidR="0087541D" w:rsidRPr="006D0D70" w:rsidRDefault="0087541D" w:rsidP="006D0D70">
      <w:pPr>
        <w:spacing w:after="0" w:line="360" w:lineRule="auto"/>
        <w:contextualSpacing/>
        <w:jc w:val="both"/>
        <w:rPr>
          <w:rFonts w:ascii="Arial" w:hAnsi="Arial" w:cs="Arial"/>
          <w:bCs/>
          <w:sz w:val="23"/>
          <w:szCs w:val="23"/>
        </w:rPr>
      </w:pPr>
      <w:r w:rsidRPr="006D0D70">
        <w:rPr>
          <w:rFonts w:ascii="Arial" w:hAnsi="Arial" w:cs="Arial"/>
          <w:bCs/>
          <w:sz w:val="23"/>
          <w:szCs w:val="23"/>
        </w:rPr>
        <w:t>Presidente da Câmara Municipal de Brumadinho</w:t>
      </w:r>
    </w:p>
    <w:p w14:paraId="2131D995" w14:textId="7FDB255E" w:rsidR="003F670B" w:rsidRDefault="0087541D" w:rsidP="006D0D70">
      <w:pPr>
        <w:tabs>
          <w:tab w:val="left" w:pos="6315"/>
        </w:tabs>
        <w:spacing w:after="0" w:line="360" w:lineRule="auto"/>
        <w:jc w:val="both"/>
        <w:rPr>
          <w:rFonts w:ascii="Arial" w:hAnsi="Arial" w:cs="Arial"/>
          <w:sz w:val="23"/>
          <w:szCs w:val="23"/>
        </w:rPr>
      </w:pPr>
      <w:r w:rsidRPr="006D0D70">
        <w:rPr>
          <w:rFonts w:ascii="Arial" w:hAnsi="Arial" w:cs="Arial"/>
          <w:sz w:val="23"/>
          <w:szCs w:val="23"/>
        </w:rPr>
        <w:t xml:space="preserve">Praça da Paz Carmem de Oliveira, </w:t>
      </w:r>
      <w:proofErr w:type="spellStart"/>
      <w:r w:rsidRPr="006D0D70">
        <w:rPr>
          <w:rFonts w:ascii="Arial" w:hAnsi="Arial" w:cs="Arial"/>
          <w:sz w:val="23"/>
          <w:szCs w:val="23"/>
        </w:rPr>
        <w:t>sn</w:t>
      </w:r>
      <w:proofErr w:type="spellEnd"/>
      <w:r w:rsidRPr="006D0D70">
        <w:rPr>
          <w:rFonts w:ascii="Arial" w:hAnsi="Arial" w:cs="Arial"/>
          <w:sz w:val="23"/>
          <w:szCs w:val="23"/>
        </w:rPr>
        <w:t xml:space="preserve">º – São </w:t>
      </w:r>
      <w:r w:rsidR="00EE0315" w:rsidRPr="006D0D70">
        <w:rPr>
          <w:rFonts w:ascii="Arial" w:hAnsi="Arial" w:cs="Arial"/>
          <w:sz w:val="23"/>
          <w:szCs w:val="23"/>
        </w:rPr>
        <w:t>Conrado,</w:t>
      </w:r>
      <w:r w:rsidRPr="006D0D70">
        <w:rPr>
          <w:rFonts w:ascii="Arial" w:hAnsi="Arial" w:cs="Arial"/>
          <w:sz w:val="23"/>
          <w:szCs w:val="23"/>
        </w:rPr>
        <w:t xml:space="preserve"> Brumadinho/MG </w:t>
      </w:r>
    </w:p>
    <w:p w14:paraId="3D82B827" w14:textId="77777777" w:rsidR="003F670B" w:rsidRDefault="003F670B" w:rsidP="006D0D70">
      <w:pPr>
        <w:tabs>
          <w:tab w:val="left" w:pos="6315"/>
        </w:tabs>
        <w:spacing w:after="0" w:line="360" w:lineRule="auto"/>
        <w:jc w:val="both"/>
        <w:rPr>
          <w:rFonts w:ascii="Arial" w:hAnsi="Arial" w:cs="Arial"/>
          <w:sz w:val="23"/>
          <w:szCs w:val="23"/>
        </w:rPr>
      </w:pPr>
    </w:p>
    <w:p w14:paraId="4E08D187" w14:textId="77777777" w:rsidR="003F670B" w:rsidRDefault="003F670B" w:rsidP="006D0D70">
      <w:pPr>
        <w:tabs>
          <w:tab w:val="left" w:pos="6315"/>
        </w:tabs>
        <w:spacing w:after="0" w:line="360" w:lineRule="auto"/>
        <w:jc w:val="both"/>
        <w:rPr>
          <w:rFonts w:ascii="Arial" w:hAnsi="Arial" w:cs="Arial"/>
          <w:sz w:val="23"/>
          <w:szCs w:val="23"/>
        </w:rPr>
      </w:pPr>
    </w:p>
    <w:p w14:paraId="0DEAE57E" w14:textId="77777777" w:rsidR="003F670B" w:rsidRPr="003F670B" w:rsidRDefault="003F670B" w:rsidP="003F670B">
      <w:pPr>
        <w:spacing w:after="0" w:line="360" w:lineRule="auto"/>
        <w:jc w:val="center"/>
        <w:rPr>
          <w:rFonts w:ascii="Arial" w:eastAsia="Calibri" w:hAnsi="Arial" w:cs="Arial"/>
          <w:b/>
          <w:bCs/>
          <w:sz w:val="26"/>
          <w:szCs w:val="26"/>
        </w:rPr>
      </w:pPr>
      <w:r w:rsidRPr="003F670B">
        <w:rPr>
          <w:rFonts w:ascii="Arial" w:eastAsia="Calibri" w:hAnsi="Arial" w:cs="Arial"/>
          <w:b/>
          <w:bCs/>
          <w:sz w:val="26"/>
          <w:szCs w:val="26"/>
        </w:rPr>
        <w:t>PROJETO DE LEI Nº 200/2025</w:t>
      </w:r>
    </w:p>
    <w:p w14:paraId="0772BEE9" w14:textId="77777777" w:rsidR="003F670B" w:rsidRPr="003F670B" w:rsidRDefault="003F670B" w:rsidP="003F670B">
      <w:pPr>
        <w:spacing w:after="0" w:line="360" w:lineRule="auto"/>
        <w:jc w:val="both"/>
        <w:rPr>
          <w:rFonts w:ascii="Arial" w:eastAsia="Calibri" w:hAnsi="Arial" w:cs="Arial"/>
          <w:b/>
          <w:bCs/>
          <w:sz w:val="23"/>
          <w:szCs w:val="23"/>
        </w:rPr>
      </w:pPr>
    </w:p>
    <w:p w14:paraId="5812A398" w14:textId="77777777" w:rsidR="003F670B" w:rsidRPr="003F670B" w:rsidRDefault="003F670B" w:rsidP="003F670B">
      <w:pPr>
        <w:spacing w:after="0" w:line="360" w:lineRule="auto"/>
        <w:ind w:left="3540"/>
        <w:jc w:val="both"/>
        <w:rPr>
          <w:rFonts w:ascii="Calibri" w:eastAsia="Calibri" w:hAnsi="Calibri" w:cs="Times New Roman"/>
        </w:rPr>
      </w:pPr>
      <w:r w:rsidRPr="003F670B">
        <w:rPr>
          <w:rFonts w:ascii="Arial" w:eastAsia="Calibri" w:hAnsi="Arial" w:cs="Arial"/>
          <w:sz w:val="23"/>
          <w:szCs w:val="23"/>
        </w:rPr>
        <w:t>“Estima as Receitas e Fixa as Despesas do Orçamento Fiscal do Município de Brumadinho para o Exercício Financeiro de 2026”.</w:t>
      </w:r>
    </w:p>
    <w:p w14:paraId="5E1AEBD6" w14:textId="77777777" w:rsidR="003F670B" w:rsidRPr="003F670B" w:rsidRDefault="003F670B" w:rsidP="003F670B">
      <w:pPr>
        <w:widowControl w:val="0"/>
        <w:tabs>
          <w:tab w:val="left" w:pos="4840"/>
        </w:tabs>
        <w:snapToGrid w:val="0"/>
        <w:spacing w:after="0" w:line="360" w:lineRule="auto"/>
        <w:jc w:val="both"/>
        <w:rPr>
          <w:rFonts w:ascii="Arial" w:eastAsia="Times New Roman" w:hAnsi="Arial" w:cs="Arial"/>
          <w:kern w:val="0"/>
          <w:sz w:val="23"/>
          <w:szCs w:val="23"/>
          <w:lang w:eastAsia="pt-BR"/>
          <w14:ligatures w14:val="none"/>
        </w:rPr>
      </w:pPr>
    </w:p>
    <w:p w14:paraId="49D666FB"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r w:rsidRPr="003F670B">
        <w:rPr>
          <w:rFonts w:ascii="Arial" w:eastAsia="Times New Roman" w:hAnsi="Arial" w:cs="Arial"/>
          <w:kern w:val="0"/>
          <w:sz w:val="23"/>
          <w:szCs w:val="23"/>
          <w:lang w:eastAsia="pt-BR"/>
          <w14:ligatures w14:val="none"/>
        </w:rPr>
        <w:tab/>
        <w:t>O povo do Município de Brumadinho, por seus representantes aprovou e eu, Prefeito Municipal, sanciono a seguinte Lei:</w:t>
      </w:r>
    </w:p>
    <w:p w14:paraId="413976C9"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p>
    <w:p w14:paraId="548EE16C"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r w:rsidRPr="003F670B">
        <w:rPr>
          <w:rFonts w:ascii="Arial" w:eastAsia="Times New Roman" w:hAnsi="Arial" w:cs="Arial"/>
          <w:kern w:val="0"/>
          <w:sz w:val="23"/>
          <w:szCs w:val="23"/>
          <w:lang w:eastAsia="pt-BR"/>
          <w14:ligatures w14:val="none"/>
        </w:rPr>
        <w:tab/>
      </w:r>
      <w:r w:rsidRPr="003F670B">
        <w:rPr>
          <w:rFonts w:ascii="Arial" w:eastAsia="Times New Roman" w:hAnsi="Arial" w:cs="Arial"/>
          <w:b/>
          <w:kern w:val="0"/>
          <w:sz w:val="23"/>
          <w:szCs w:val="23"/>
          <w:lang w:eastAsia="pt-BR"/>
          <w14:ligatures w14:val="none"/>
        </w:rPr>
        <w:t>Art. 1º</w:t>
      </w:r>
      <w:r w:rsidRPr="003F670B">
        <w:rPr>
          <w:rFonts w:ascii="Arial" w:eastAsia="Times New Roman" w:hAnsi="Arial" w:cs="Arial"/>
          <w:kern w:val="0"/>
          <w:sz w:val="23"/>
          <w:szCs w:val="23"/>
          <w:lang w:eastAsia="pt-BR"/>
          <w14:ligatures w14:val="none"/>
        </w:rPr>
        <w:t xml:space="preserve"> O Orçamento Fiscal do Município de Brumadinho para o Exercício Financeiro de 2026, estima as receitas e fixa as despesas em </w:t>
      </w:r>
      <w:r w:rsidRPr="003F670B">
        <w:rPr>
          <w:rFonts w:ascii="Arial" w:eastAsia="Times New Roman" w:hAnsi="Arial" w:cs="Arial"/>
          <w:bCs/>
          <w:kern w:val="0"/>
          <w:sz w:val="23"/>
          <w:szCs w:val="23"/>
          <w:lang w:eastAsia="pt-BR"/>
          <w14:ligatures w14:val="none"/>
        </w:rPr>
        <w:t>R$ 704.392.076,00</w:t>
      </w:r>
      <w:r w:rsidRPr="003F670B">
        <w:rPr>
          <w:rFonts w:ascii="Arial" w:eastAsia="Times New Roman" w:hAnsi="Arial" w:cs="Arial"/>
          <w:kern w:val="0"/>
          <w:sz w:val="23"/>
          <w:szCs w:val="23"/>
          <w:lang w:eastAsia="pt-BR"/>
          <w14:ligatures w14:val="none"/>
        </w:rPr>
        <w:t xml:space="preserve"> (</w:t>
      </w:r>
      <w:r w:rsidRPr="003F670B">
        <w:rPr>
          <w:rFonts w:ascii="Arial" w:eastAsia="Times New Roman" w:hAnsi="Arial" w:cs="Arial"/>
          <w:bCs/>
          <w:kern w:val="0"/>
          <w:sz w:val="23"/>
          <w:szCs w:val="23"/>
          <w:lang w:eastAsia="pt-BR"/>
          <w14:ligatures w14:val="none"/>
        </w:rPr>
        <w:t>setecentos e quatro milhões, trezentos e noventa e dois mil e setenta e seis reais</w:t>
      </w:r>
      <w:r w:rsidRPr="003F670B">
        <w:rPr>
          <w:rFonts w:ascii="Arial" w:eastAsia="Times New Roman" w:hAnsi="Arial" w:cs="Arial"/>
          <w:kern w:val="0"/>
          <w:sz w:val="23"/>
          <w:szCs w:val="23"/>
          <w:lang w:eastAsia="pt-BR"/>
          <w14:ligatures w14:val="none"/>
        </w:rPr>
        <w:t>) discriminados nos anexos e demonstrativos integrantes desta Lei.</w:t>
      </w:r>
    </w:p>
    <w:p w14:paraId="086AD55D"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p>
    <w:p w14:paraId="0587FE32"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r w:rsidRPr="003F670B">
        <w:rPr>
          <w:rFonts w:ascii="Arial" w:eastAsia="Times New Roman" w:hAnsi="Arial" w:cs="Arial"/>
          <w:kern w:val="0"/>
          <w:sz w:val="23"/>
          <w:szCs w:val="23"/>
          <w:lang w:eastAsia="pt-BR"/>
          <w14:ligatures w14:val="none"/>
        </w:rPr>
        <w:tab/>
      </w:r>
      <w:r w:rsidRPr="003F670B">
        <w:rPr>
          <w:rFonts w:ascii="Arial" w:eastAsia="Times New Roman" w:hAnsi="Arial" w:cs="Arial"/>
          <w:b/>
          <w:kern w:val="0"/>
          <w:sz w:val="23"/>
          <w:szCs w:val="23"/>
          <w:lang w:eastAsia="pt-BR"/>
          <w14:ligatures w14:val="none"/>
        </w:rPr>
        <w:t>Art. 2º</w:t>
      </w:r>
      <w:r w:rsidRPr="003F670B">
        <w:rPr>
          <w:rFonts w:ascii="Arial" w:eastAsia="Times New Roman" w:hAnsi="Arial" w:cs="Arial"/>
          <w:kern w:val="0"/>
          <w:sz w:val="23"/>
          <w:szCs w:val="23"/>
          <w:lang w:eastAsia="pt-BR"/>
          <w14:ligatures w14:val="none"/>
        </w:rPr>
        <w:t xml:space="preserve"> Integram esta Lei os demonstrativos exigidos pela Lei Federal nº 4.320/64, Lei Complementar nº 101/2000 e pela Lei de Diretrizes Orçamentárias </w:t>
      </w:r>
      <w:r w:rsidRPr="003F670B">
        <w:rPr>
          <w:rFonts w:ascii="Arial" w:eastAsia="Times New Roman" w:hAnsi="Arial" w:cs="Arial"/>
          <w:kern w:val="0"/>
          <w:sz w:val="23"/>
          <w:szCs w:val="23"/>
          <w:shd w:val="clear" w:color="auto" w:fill="FFFFFF"/>
          <w:lang w:eastAsia="pt-BR"/>
          <w14:ligatures w14:val="none"/>
        </w:rPr>
        <w:t xml:space="preserve">nº </w:t>
      </w:r>
      <w:r w:rsidRPr="003F670B">
        <w:rPr>
          <w:rFonts w:ascii="Arial" w:eastAsia="Times New Roman" w:hAnsi="Arial" w:cs="Arial"/>
          <w:kern w:val="0"/>
          <w:sz w:val="23"/>
          <w:szCs w:val="23"/>
          <w:lang w:eastAsia="pt-BR"/>
          <w14:ligatures w14:val="none"/>
        </w:rPr>
        <w:t>3.025, de 13 de agosto de 2025,</w:t>
      </w:r>
      <w:r w:rsidRPr="003F670B">
        <w:rPr>
          <w:rFonts w:ascii="Arial" w:eastAsia="Times New Roman" w:hAnsi="Arial" w:cs="Arial"/>
          <w:color w:val="FF0000"/>
          <w:kern w:val="0"/>
          <w:sz w:val="23"/>
          <w:szCs w:val="23"/>
          <w:lang w:eastAsia="pt-BR"/>
          <w14:ligatures w14:val="none"/>
        </w:rPr>
        <w:t xml:space="preserve"> </w:t>
      </w:r>
      <w:r w:rsidRPr="003F670B">
        <w:rPr>
          <w:rFonts w:ascii="Arial" w:eastAsia="Times New Roman" w:hAnsi="Arial" w:cs="Arial"/>
          <w:kern w:val="0"/>
          <w:sz w:val="23"/>
          <w:szCs w:val="23"/>
          <w:lang w:eastAsia="pt-BR"/>
          <w14:ligatures w14:val="none"/>
        </w:rPr>
        <w:t>aprovada para o exercício de 2026.</w:t>
      </w:r>
      <w:r w:rsidRPr="003F670B">
        <w:rPr>
          <w:rFonts w:ascii="Arial" w:eastAsia="Times New Roman" w:hAnsi="Arial" w:cs="Arial"/>
          <w:b/>
          <w:kern w:val="0"/>
          <w:sz w:val="23"/>
          <w:szCs w:val="23"/>
          <w:lang w:eastAsia="pt-BR"/>
          <w14:ligatures w14:val="none"/>
        </w:rPr>
        <w:t xml:space="preserve"> </w:t>
      </w:r>
    </w:p>
    <w:p w14:paraId="4D2F7A7D"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p>
    <w:p w14:paraId="317ADB56"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r w:rsidRPr="003F670B">
        <w:rPr>
          <w:rFonts w:ascii="Arial" w:eastAsia="Times New Roman" w:hAnsi="Arial" w:cs="Arial"/>
          <w:kern w:val="0"/>
          <w:sz w:val="23"/>
          <w:szCs w:val="23"/>
          <w:lang w:eastAsia="pt-BR"/>
          <w14:ligatures w14:val="none"/>
        </w:rPr>
        <w:tab/>
      </w:r>
      <w:r w:rsidRPr="003F670B">
        <w:rPr>
          <w:rFonts w:ascii="Arial" w:eastAsia="Times New Roman" w:hAnsi="Arial" w:cs="Arial"/>
          <w:b/>
          <w:kern w:val="0"/>
          <w:sz w:val="23"/>
          <w:szCs w:val="23"/>
          <w:lang w:eastAsia="pt-BR"/>
          <w14:ligatures w14:val="none"/>
        </w:rPr>
        <w:t>Art. 3º</w:t>
      </w:r>
      <w:r w:rsidRPr="003F670B">
        <w:rPr>
          <w:rFonts w:ascii="Arial" w:eastAsia="Times New Roman" w:hAnsi="Arial" w:cs="Arial"/>
          <w:kern w:val="0"/>
          <w:sz w:val="23"/>
          <w:szCs w:val="23"/>
          <w:lang w:eastAsia="pt-BR"/>
          <w14:ligatures w14:val="none"/>
        </w:rPr>
        <w:t xml:space="preserve"> As receitas estimadas por categoria econômica e segundo a origem dos recursos, estão desdobradas conforme demonstrativo em anexo.</w:t>
      </w:r>
    </w:p>
    <w:p w14:paraId="513D487C"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p>
    <w:p w14:paraId="37129982"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r w:rsidRPr="003F670B">
        <w:rPr>
          <w:rFonts w:ascii="Arial" w:eastAsia="Times New Roman" w:hAnsi="Arial" w:cs="Arial"/>
          <w:kern w:val="0"/>
          <w:sz w:val="23"/>
          <w:szCs w:val="23"/>
          <w:lang w:eastAsia="pt-BR"/>
          <w14:ligatures w14:val="none"/>
        </w:rPr>
        <w:tab/>
      </w:r>
      <w:r w:rsidRPr="003F670B">
        <w:rPr>
          <w:rFonts w:ascii="Arial" w:eastAsia="Times New Roman" w:hAnsi="Arial" w:cs="Arial"/>
          <w:b/>
          <w:kern w:val="0"/>
          <w:sz w:val="23"/>
          <w:szCs w:val="23"/>
          <w:lang w:eastAsia="pt-BR"/>
          <w14:ligatures w14:val="none"/>
        </w:rPr>
        <w:t>Art. 4º</w:t>
      </w:r>
      <w:r w:rsidRPr="003F670B">
        <w:rPr>
          <w:rFonts w:ascii="Arial" w:eastAsia="Times New Roman" w:hAnsi="Arial" w:cs="Arial"/>
          <w:kern w:val="0"/>
          <w:sz w:val="23"/>
          <w:szCs w:val="23"/>
          <w:lang w:eastAsia="pt-BR"/>
          <w14:ligatures w14:val="none"/>
        </w:rPr>
        <w:t xml:space="preserve"> As despesas fixadas para o exercício de 2026, no mesmo valor das receitas estimadas, constantes nos demonstrativos que integram esta Lei, estão desdobradas de acordo com as Funções de Governo.</w:t>
      </w:r>
    </w:p>
    <w:p w14:paraId="5F97EF9C"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b/>
          <w:kern w:val="0"/>
          <w:sz w:val="23"/>
          <w:szCs w:val="23"/>
          <w:lang w:eastAsia="pt-BR"/>
          <w14:ligatures w14:val="none"/>
        </w:rPr>
      </w:pPr>
    </w:p>
    <w:p w14:paraId="62D01647"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r w:rsidRPr="003F670B">
        <w:rPr>
          <w:rFonts w:ascii="Arial" w:eastAsia="Times New Roman" w:hAnsi="Arial" w:cs="Arial"/>
          <w:b/>
          <w:kern w:val="0"/>
          <w:sz w:val="23"/>
          <w:szCs w:val="23"/>
          <w:lang w:eastAsia="pt-BR"/>
          <w14:ligatures w14:val="none"/>
        </w:rPr>
        <w:tab/>
        <w:t>Art. 5º</w:t>
      </w:r>
      <w:r w:rsidRPr="003F670B">
        <w:rPr>
          <w:rFonts w:ascii="Arial" w:eastAsia="Times New Roman" w:hAnsi="Arial" w:cs="Arial"/>
          <w:kern w:val="0"/>
          <w:sz w:val="23"/>
          <w:szCs w:val="23"/>
          <w:lang w:eastAsia="pt-BR"/>
          <w14:ligatures w14:val="none"/>
        </w:rPr>
        <w:t xml:space="preserve"> Os recursos correspondentes à Reserva de Contingência poderão ser destinados ao atendimento de passivos contingentes, outros riscos e eventos fiscais imprevistos, como fonte compensatória de recursos para abertura de créditos adicionais e outras situações previstas na Lei de Diretrizes Orçamentárias.</w:t>
      </w:r>
    </w:p>
    <w:p w14:paraId="63F37D21"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p>
    <w:p w14:paraId="0F1444F1"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r w:rsidRPr="003F670B">
        <w:rPr>
          <w:rFonts w:ascii="Arial" w:eastAsia="Times New Roman" w:hAnsi="Arial" w:cs="Arial"/>
          <w:kern w:val="0"/>
          <w:sz w:val="23"/>
          <w:szCs w:val="23"/>
          <w:lang w:eastAsia="pt-BR"/>
          <w14:ligatures w14:val="none"/>
        </w:rPr>
        <w:tab/>
      </w:r>
      <w:r w:rsidRPr="003F670B">
        <w:rPr>
          <w:rFonts w:ascii="Arial" w:eastAsia="Times New Roman" w:hAnsi="Arial" w:cs="Arial"/>
          <w:b/>
          <w:kern w:val="0"/>
          <w:sz w:val="23"/>
          <w:szCs w:val="23"/>
          <w:lang w:eastAsia="pt-BR"/>
          <w14:ligatures w14:val="none"/>
        </w:rPr>
        <w:t>Art. 6º</w:t>
      </w:r>
      <w:r w:rsidRPr="003F670B">
        <w:rPr>
          <w:rFonts w:ascii="Arial" w:eastAsia="Times New Roman" w:hAnsi="Arial" w:cs="Arial"/>
          <w:kern w:val="0"/>
          <w:sz w:val="23"/>
          <w:szCs w:val="23"/>
          <w:lang w:eastAsia="pt-BR"/>
          <w14:ligatures w14:val="none"/>
        </w:rPr>
        <w:t xml:space="preserve"> Fica o Poder Executivo autorizado a realizar operações de crédito por antecipação da receita através de contratos até o limite estabelecido na legislação específica.</w:t>
      </w:r>
    </w:p>
    <w:p w14:paraId="17A57EE3"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r w:rsidRPr="003F670B">
        <w:rPr>
          <w:rFonts w:ascii="Arial" w:eastAsia="Times New Roman" w:hAnsi="Arial" w:cs="Arial"/>
          <w:b/>
          <w:kern w:val="0"/>
          <w:sz w:val="23"/>
          <w:szCs w:val="23"/>
          <w:lang w:eastAsia="pt-BR"/>
          <w14:ligatures w14:val="none"/>
        </w:rPr>
        <w:lastRenderedPageBreak/>
        <w:tab/>
        <w:t>Art. 7º</w:t>
      </w:r>
      <w:r w:rsidRPr="003F670B">
        <w:rPr>
          <w:rFonts w:ascii="Arial" w:eastAsia="Times New Roman" w:hAnsi="Arial" w:cs="Arial"/>
          <w:kern w:val="0"/>
          <w:sz w:val="23"/>
          <w:szCs w:val="23"/>
          <w:lang w:eastAsia="pt-BR"/>
          <w14:ligatures w14:val="none"/>
        </w:rPr>
        <w:t xml:space="preserve"> Fica o Poder Executivo, respeitadas as demais prescrições constitucionais e nos termos da Lei nº 4.320/64, autorizado a abrir créditos adicionais por decreto ao Orçamento Fiscal, até o limite de 30% (trinta por cento) da despesa fixada no art. 1º desta Lei, acrescentando, se necessário, naturezas de despesas, dentro de cada projeto ou atividade.</w:t>
      </w:r>
    </w:p>
    <w:p w14:paraId="430179D2"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p>
    <w:p w14:paraId="2AAB3F56" w14:textId="77777777" w:rsidR="003F670B" w:rsidRPr="003F670B" w:rsidRDefault="003F670B" w:rsidP="003F670B">
      <w:pPr>
        <w:widowControl w:val="0"/>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r w:rsidRPr="003F670B">
        <w:rPr>
          <w:rFonts w:ascii="Arial" w:eastAsia="Times New Roman" w:hAnsi="Arial" w:cs="Arial"/>
          <w:kern w:val="0"/>
          <w:sz w:val="23"/>
          <w:szCs w:val="23"/>
          <w:lang w:eastAsia="pt-BR"/>
          <w14:ligatures w14:val="none"/>
        </w:rPr>
        <w:tab/>
      </w:r>
      <w:r w:rsidRPr="003F670B">
        <w:rPr>
          <w:rFonts w:ascii="Arial" w:eastAsia="Times New Roman" w:hAnsi="Arial" w:cs="Arial"/>
          <w:b/>
          <w:kern w:val="0"/>
          <w:sz w:val="23"/>
          <w:szCs w:val="23"/>
          <w:lang w:eastAsia="pt-BR"/>
          <w14:ligatures w14:val="none"/>
        </w:rPr>
        <w:t>§1º</w:t>
      </w:r>
      <w:r w:rsidRPr="003F670B">
        <w:rPr>
          <w:rFonts w:ascii="Arial" w:eastAsia="Times New Roman" w:hAnsi="Arial" w:cs="Arial"/>
          <w:kern w:val="0"/>
          <w:sz w:val="23"/>
          <w:szCs w:val="23"/>
          <w:lang w:eastAsia="pt-BR"/>
          <w14:ligatures w14:val="none"/>
        </w:rPr>
        <w:t xml:space="preserve"> Não oneram o limite estabelecido no caput deste artigo:</w:t>
      </w:r>
    </w:p>
    <w:p w14:paraId="06A99C1D" w14:textId="77777777" w:rsidR="003F670B" w:rsidRPr="003F670B" w:rsidRDefault="003F670B" w:rsidP="003F670B">
      <w:pPr>
        <w:widowControl w:val="0"/>
        <w:numPr>
          <w:ilvl w:val="0"/>
          <w:numId w:val="11"/>
        </w:numPr>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r w:rsidRPr="003F670B">
        <w:rPr>
          <w:rFonts w:ascii="Arial" w:eastAsia="Times New Roman" w:hAnsi="Arial" w:cs="Arial"/>
          <w:kern w:val="0"/>
          <w:sz w:val="23"/>
          <w:szCs w:val="23"/>
          <w:lang w:eastAsia="pt-BR"/>
          <w14:ligatures w14:val="none"/>
        </w:rPr>
        <w:t>as suplementações de dotações referentes às despesas de pessoal e encargos sociais;</w:t>
      </w:r>
    </w:p>
    <w:p w14:paraId="33D6BE28" w14:textId="77777777" w:rsidR="003F670B" w:rsidRPr="003F670B" w:rsidRDefault="003F670B" w:rsidP="003F670B">
      <w:pPr>
        <w:widowControl w:val="0"/>
        <w:numPr>
          <w:ilvl w:val="0"/>
          <w:numId w:val="11"/>
        </w:numPr>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r w:rsidRPr="003F670B">
        <w:rPr>
          <w:rFonts w:ascii="Arial" w:eastAsia="Times New Roman" w:hAnsi="Arial" w:cs="Arial"/>
          <w:kern w:val="0"/>
          <w:sz w:val="23"/>
          <w:szCs w:val="23"/>
          <w:lang w:eastAsia="pt-BR"/>
          <w14:ligatures w14:val="none"/>
        </w:rPr>
        <w:t>as suplementações de dotações com recursos vinculados, isto é, oriundos de arrecadações com destinos específicos, de transferência, transposições e/ou de convênios celebrados com o Estado, a União e outras entidades;</w:t>
      </w:r>
    </w:p>
    <w:p w14:paraId="5049D228" w14:textId="77777777" w:rsidR="003F670B" w:rsidRPr="003F670B" w:rsidRDefault="003F670B" w:rsidP="003F670B">
      <w:pPr>
        <w:widowControl w:val="0"/>
        <w:numPr>
          <w:ilvl w:val="0"/>
          <w:numId w:val="11"/>
        </w:numPr>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r w:rsidRPr="003F670B">
        <w:rPr>
          <w:rFonts w:ascii="Arial" w:eastAsia="Times New Roman" w:hAnsi="Arial" w:cs="Arial"/>
          <w:kern w:val="0"/>
          <w:sz w:val="23"/>
          <w:szCs w:val="23"/>
          <w:lang w:eastAsia="pt-BR"/>
          <w14:ligatures w14:val="none"/>
        </w:rPr>
        <w:t>as suplementações de dotações com recursos oriundos do excesso de arrecadação e o saldo financeiro dos exercícios anteriores (superávit financeiro), cuja origem dos recursos seja proveniente do Acordo Judicial de Reparação Integral, ou de Multas, Acordos Administrativos e Termos de Compromissos firmados ou derivados da empresa Vale S/A., decorrentes do rompimento da Barragem B1 da Mina do Córrego do Feijão em 2019;</w:t>
      </w:r>
    </w:p>
    <w:p w14:paraId="3B102944" w14:textId="77777777" w:rsidR="003F670B" w:rsidRPr="003F670B" w:rsidRDefault="003F670B" w:rsidP="003F670B">
      <w:pPr>
        <w:widowControl w:val="0"/>
        <w:numPr>
          <w:ilvl w:val="0"/>
          <w:numId w:val="11"/>
        </w:numPr>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r w:rsidRPr="003F670B">
        <w:rPr>
          <w:rFonts w:ascii="Arial" w:eastAsia="Times New Roman" w:hAnsi="Arial" w:cs="Arial"/>
          <w:kern w:val="0"/>
          <w:sz w:val="23"/>
          <w:szCs w:val="23"/>
          <w:lang w:eastAsia="pt-BR"/>
          <w14:ligatures w14:val="none"/>
        </w:rPr>
        <w:t>as suplementações de dotações referentes ao pagamento da dívida pública e de precatórios judiciais;</w:t>
      </w:r>
    </w:p>
    <w:p w14:paraId="760BDC48" w14:textId="77777777" w:rsidR="003F670B" w:rsidRPr="003F670B" w:rsidRDefault="003F670B" w:rsidP="003F670B">
      <w:pPr>
        <w:widowControl w:val="0"/>
        <w:numPr>
          <w:ilvl w:val="0"/>
          <w:numId w:val="11"/>
        </w:numPr>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r w:rsidRPr="003F670B">
        <w:rPr>
          <w:rFonts w:ascii="Arial" w:eastAsia="Times New Roman" w:hAnsi="Arial" w:cs="Arial"/>
          <w:kern w:val="0"/>
          <w:sz w:val="23"/>
          <w:szCs w:val="23"/>
          <w:lang w:eastAsia="pt-BR"/>
          <w14:ligatures w14:val="none"/>
        </w:rPr>
        <w:t>as suplementações de dotações que tenham como origem os recursos provenientes do excesso de arrecadação, conforme inciso II do artigo 43 da Lei 4.320 e o superávit financeiro verificado no balanço patrimonial do exercício anterior, nos termos do inciso I do artigo 43 da Lei 4.320/64, desde que não superem 30% (cinquenta por cento) do valor fixado no art. 1º;</w:t>
      </w:r>
    </w:p>
    <w:p w14:paraId="400EBA68" w14:textId="77777777" w:rsidR="003F670B" w:rsidRPr="003F670B" w:rsidRDefault="003F670B" w:rsidP="003F670B">
      <w:pPr>
        <w:widowControl w:val="0"/>
        <w:numPr>
          <w:ilvl w:val="0"/>
          <w:numId w:val="11"/>
        </w:numPr>
        <w:tabs>
          <w:tab w:val="left" w:pos="709"/>
          <w:tab w:val="left" w:pos="4840"/>
        </w:tabs>
        <w:snapToGrid w:val="0"/>
        <w:spacing w:after="0" w:line="360" w:lineRule="auto"/>
        <w:jc w:val="both"/>
        <w:rPr>
          <w:rFonts w:ascii="Arial" w:eastAsia="Times New Roman" w:hAnsi="Arial" w:cs="Arial"/>
          <w:kern w:val="0"/>
          <w:sz w:val="23"/>
          <w:szCs w:val="23"/>
          <w:lang w:eastAsia="pt-BR"/>
          <w14:ligatures w14:val="none"/>
        </w:rPr>
      </w:pPr>
      <w:r w:rsidRPr="003F670B">
        <w:rPr>
          <w:rFonts w:ascii="Arial" w:eastAsia="Times New Roman" w:hAnsi="Arial" w:cs="Arial"/>
          <w:kern w:val="0"/>
          <w:sz w:val="23"/>
          <w:szCs w:val="23"/>
          <w:lang w:eastAsia="pt-BR"/>
          <w14:ligatures w14:val="none"/>
        </w:rPr>
        <w:t>as alterações orçamentárias geradas quando da criação de novos órgãos ou unidades orçamentárias.</w:t>
      </w:r>
    </w:p>
    <w:p w14:paraId="1011F230" w14:textId="77777777" w:rsidR="003F670B" w:rsidRPr="003F670B" w:rsidRDefault="003F670B" w:rsidP="003F670B">
      <w:pPr>
        <w:spacing w:after="0" w:line="360" w:lineRule="auto"/>
        <w:jc w:val="both"/>
        <w:rPr>
          <w:rFonts w:ascii="Arial" w:eastAsia="Calibri" w:hAnsi="Arial" w:cs="Arial"/>
          <w:b/>
          <w:sz w:val="23"/>
          <w:szCs w:val="23"/>
        </w:rPr>
      </w:pPr>
    </w:p>
    <w:p w14:paraId="1B84DD14" w14:textId="77777777" w:rsidR="003F670B" w:rsidRPr="003F670B" w:rsidRDefault="003F670B" w:rsidP="003F670B">
      <w:pPr>
        <w:spacing w:after="0" w:line="360" w:lineRule="auto"/>
        <w:ind w:firstLine="708"/>
        <w:jc w:val="both"/>
        <w:rPr>
          <w:rFonts w:ascii="Arial" w:eastAsia="Calibri" w:hAnsi="Arial" w:cs="Arial"/>
          <w:sz w:val="23"/>
          <w:szCs w:val="23"/>
        </w:rPr>
      </w:pPr>
      <w:r w:rsidRPr="003F670B">
        <w:rPr>
          <w:rFonts w:ascii="Arial" w:eastAsia="Calibri" w:hAnsi="Arial" w:cs="Arial"/>
          <w:b/>
          <w:sz w:val="23"/>
          <w:szCs w:val="23"/>
        </w:rPr>
        <w:t xml:space="preserve">§2º </w:t>
      </w:r>
      <w:r w:rsidRPr="003F670B">
        <w:rPr>
          <w:rFonts w:ascii="Arial" w:eastAsia="Calibri" w:hAnsi="Arial" w:cs="Arial"/>
          <w:sz w:val="23"/>
          <w:szCs w:val="23"/>
        </w:rPr>
        <w:t>A abertura de crédito suplementar de que trata o caput, poderá conter a inclusão de grupo de despesa, modalidade de aplicação e inclusão e a alteração de fontes de recursos em cada projeto, atividade e operação especial de que trata esta lei.</w:t>
      </w:r>
    </w:p>
    <w:p w14:paraId="5322003C" w14:textId="77777777" w:rsidR="003F670B" w:rsidRPr="003F670B" w:rsidRDefault="003F670B" w:rsidP="003F670B">
      <w:pPr>
        <w:spacing w:after="0" w:line="360" w:lineRule="auto"/>
        <w:ind w:firstLine="708"/>
        <w:jc w:val="both"/>
        <w:rPr>
          <w:rFonts w:ascii="Arial" w:eastAsia="Calibri" w:hAnsi="Arial" w:cs="Arial"/>
          <w:sz w:val="23"/>
          <w:szCs w:val="23"/>
        </w:rPr>
      </w:pPr>
    </w:p>
    <w:p w14:paraId="5A6FF1EF" w14:textId="77777777" w:rsidR="003F670B" w:rsidRPr="003F670B" w:rsidRDefault="003F670B" w:rsidP="003F670B">
      <w:pPr>
        <w:spacing w:after="0" w:line="360" w:lineRule="auto"/>
        <w:ind w:firstLine="708"/>
        <w:jc w:val="both"/>
        <w:rPr>
          <w:rFonts w:ascii="Arial" w:eastAsia="Calibri" w:hAnsi="Arial" w:cs="Arial"/>
          <w:sz w:val="23"/>
          <w:szCs w:val="23"/>
        </w:rPr>
      </w:pPr>
      <w:r w:rsidRPr="003F670B">
        <w:rPr>
          <w:rFonts w:ascii="Arial" w:eastAsia="Calibri" w:hAnsi="Arial" w:cs="Arial"/>
          <w:b/>
          <w:sz w:val="23"/>
          <w:szCs w:val="23"/>
        </w:rPr>
        <w:t xml:space="preserve">Art. 8º </w:t>
      </w:r>
      <w:r w:rsidRPr="003F670B">
        <w:rPr>
          <w:rFonts w:ascii="Arial" w:eastAsia="Calibri" w:hAnsi="Arial" w:cs="Arial"/>
          <w:sz w:val="23"/>
          <w:szCs w:val="23"/>
        </w:rPr>
        <w:t xml:space="preserve">A migração de créditos entre as dotações que possuam a mesma categoria econômica, grupo de despesa e fonte de recurso, dentro de um mesmo projeto, atividade </w:t>
      </w:r>
      <w:r w:rsidRPr="003F670B">
        <w:rPr>
          <w:rFonts w:ascii="Arial" w:eastAsia="Calibri" w:hAnsi="Arial" w:cs="Arial"/>
          <w:sz w:val="23"/>
          <w:szCs w:val="23"/>
        </w:rPr>
        <w:lastRenderedPageBreak/>
        <w:t>ou operação especial, e preservando-se a modalidade de aplicação, não são caracterizados como créditos adicionais, conforme disposto na Lei de Diretrizes Orçamentárias, e serão realizados como rotina administrativa através de ato do titular da Secretaria Municipal de Fazenda, que conterá justificativa, indicação das dotações que sofrerão decréscimo e acréscimos de créditos com seus respectivos valores e deverão ser publicados no Diário Oficial.</w:t>
      </w:r>
    </w:p>
    <w:p w14:paraId="13A14C7F" w14:textId="77777777" w:rsidR="003F670B" w:rsidRPr="003F670B" w:rsidRDefault="003F670B" w:rsidP="003F670B">
      <w:pPr>
        <w:spacing w:after="0" w:line="360" w:lineRule="auto"/>
        <w:ind w:firstLine="708"/>
        <w:jc w:val="both"/>
        <w:rPr>
          <w:rFonts w:ascii="Arial" w:eastAsia="Calibri" w:hAnsi="Arial" w:cs="Arial"/>
          <w:sz w:val="23"/>
          <w:szCs w:val="23"/>
        </w:rPr>
      </w:pPr>
    </w:p>
    <w:p w14:paraId="2E00627A" w14:textId="77777777" w:rsidR="003F670B" w:rsidRPr="003F670B" w:rsidRDefault="003F670B" w:rsidP="003F670B">
      <w:pPr>
        <w:spacing w:after="0" w:line="360" w:lineRule="auto"/>
        <w:ind w:firstLine="708"/>
        <w:jc w:val="both"/>
        <w:rPr>
          <w:rFonts w:ascii="Arial" w:eastAsia="Calibri" w:hAnsi="Arial" w:cs="Arial"/>
          <w:sz w:val="23"/>
          <w:szCs w:val="23"/>
        </w:rPr>
      </w:pPr>
      <w:r w:rsidRPr="003F670B">
        <w:rPr>
          <w:rFonts w:ascii="Arial" w:eastAsia="Calibri" w:hAnsi="Arial" w:cs="Arial"/>
          <w:b/>
          <w:sz w:val="23"/>
          <w:szCs w:val="23"/>
        </w:rPr>
        <w:t>Art. 9º</w:t>
      </w:r>
      <w:r w:rsidRPr="003F670B">
        <w:rPr>
          <w:rFonts w:ascii="Arial" w:eastAsia="Calibri" w:hAnsi="Arial" w:cs="Arial"/>
          <w:sz w:val="23"/>
          <w:szCs w:val="23"/>
        </w:rPr>
        <w:t xml:space="preserve"> Esta Lei entra em vigor na data de sua publicação.</w:t>
      </w:r>
    </w:p>
    <w:p w14:paraId="5FCEC0F4" w14:textId="77777777" w:rsidR="003F670B" w:rsidRPr="003F670B" w:rsidRDefault="003F670B" w:rsidP="003F670B">
      <w:pPr>
        <w:spacing w:after="0" w:line="360" w:lineRule="auto"/>
        <w:rPr>
          <w:rFonts w:ascii="Arial" w:eastAsia="Times New Roman" w:hAnsi="Arial" w:cs="Arial"/>
          <w:kern w:val="0"/>
          <w:sz w:val="23"/>
          <w:szCs w:val="23"/>
          <w:lang w:eastAsia="pt-BR"/>
          <w14:ligatures w14:val="none"/>
        </w:rPr>
      </w:pPr>
    </w:p>
    <w:p w14:paraId="19CD3A4B" w14:textId="77777777" w:rsidR="003F670B" w:rsidRPr="003F670B" w:rsidRDefault="003F670B" w:rsidP="003F670B">
      <w:pPr>
        <w:spacing w:after="0" w:line="360" w:lineRule="auto"/>
        <w:rPr>
          <w:rFonts w:ascii="Arial" w:eastAsia="Times New Roman" w:hAnsi="Arial" w:cs="Arial"/>
          <w:kern w:val="0"/>
          <w:sz w:val="23"/>
          <w:szCs w:val="23"/>
          <w:lang w:eastAsia="pt-BR"/>
          <w14:ligatures w14:val="none"/>
        </w:rPr>
      </w:pPr>
    </w:p>
    <w:p w14:paraId="71420711" w14:textId="77777777" w:rsidR="003F670B" w:rsidRPr="003F670B" w:rsidRDefault="003F670B" w:rsidP="003F670B">
      <w:pPr>
        <w:spacing w:after="0" w:line="360" w:lineRule="auto"/>
        <w:jc w:val="center"/>
        <w:rPr>
          <w:rFonts w:ascii="Arial" w:eastAsia="Times New Roman" w:hAnsi="Arial" w:cs="Arial"/>
          <w:kern w:val="0"/>
          <w:sz w:val="23"/>
          <w:szCs w:val="23"/>
          <w:lang w:eastAsia="pt-BR"/>
          <w14:ligatures w14:val="none"/>
        </w:rPr>
      </w:pPr>
      <w:r w:rsidRPr="003F670B">
        <w:rPr>
          <w:rFonts w:ascii="Arial" w:eastAsia="Times New Roman" w:hAnsi="Arial" w:cs="Arial"/>
          <w:kern w:val="0"/>
          <w:sz w:val="23"/>
          <w:szCs w:val="23"/>
          <w:lang w:eastAsia="pt-BR"/>
          <w14:ligatures w14:val="none"/>
        </w:rPr>
        <w:t>Brumadinho, 30 de setembro de 2025.</w:t>
      </w:r>
    </w:p>
    <w:p w14:paraId="0D15FD62" w14:textId="77777777" w:rsidR="003F670B" w:rsidRDefault="003F670B" w:rsidP="003F670B">
      <w:pPr>
        <w:spacing w:after="0" w:line="360" w:lineRule="auto"/>
        <w:jc w:val="center"/>
        <w:rPr>
          <w:rFonts w:ascii="Arial" w:eastAsia="Times New Roman" w:hAnsi="Arial" w:cs="Arial"/>
          <w:kern w:val="0"/>
          <w:sz w:val="23"/>
          <w:szCs w:val="23"/>
          <w:lang w:eastAsia="pt-BR"/>
          <w14:ligatures w14:val="none"/>
        </w:rPr>
      </w:pPr>
    </w:p>
    <w:p w14:paraId="408B058B" w14:textId="77777777" w:rsidR="003F670B" w:rsidRDefault="003F670B" w:rsidP="003F670B">
      <w:pPr>
        <w:spacing w:after="0" w:line="360" w:lineRule="auto"/>
        <w:jc w:val="center"/>
        <w:rPr>
          <w:rFonts w:ascii="Arial" w:eastAsia="Times New Roman" w:hAnsi="Arial" w:cs="Arial"/>
          <w:kern w:val="0"/>
          <w:sz w:val="23"/>
          <w:szCs w:val="23"/>
          <w:lang w:eastAsia="pt-BR"/>
          <w14:ligatures w14:val="none"/>
        </w:rPr>
      </w:pPr>
    </w:p>
    <w:p w14:paraId="02F8E149" w14:textId="77777777" w:rsidR="003F670B" w:rsidRPr="003F670B" w:rsidRDefault="003F670B" w:rsidP="003F670B">
      <w:pPr>
        <w:spacing w:after="0" w:line="360" w:lineRule="auto"/>
        <w:jc w:val="center"/>
        <w:rPr>
          <w:rFonts w:ascii="Arial" w:eastAsia="Times New Roman" w:hAnsi="Arial" w:cs="Arial"/>
          <w:kern w:val="0"/>
          <w:sz w:val="23"/>
          <w:szCs w:val="23"/>
          <w:lang w:eastAsia="pt-BR"/>
          <w14:ligatures w14:val="none"/>
        </w:rPr>
      </w:pPr>
    </w:p>
    <w:p w14:paraId="1FA642CA" w14:textId="77777777" w:rsidR="003F670B" w:rsidRPr="003F670B" w:rsidRDefault="003F670B" w:rsidP="003F670B">
      <w:pPr>
        <w:spacing w:after="0" w:line="360" w:lineRule="auto"/>
        <w:jc w:val="center"/>
        <w:rPr>
          <w:rFonts w:ascii="Arial" w:eastAsia="Times New Roman" w:hAnsi="Arial" w:cs="Arial"/>
          <w:kern w:val="0"/>
          <w:sz w:val="23"/>
          <w:szCs w:val="23"/>
          <w:lang w:eastAsia="pt-BR"/>
          <w14:ligatures w14:val="none"/>
        </w:rPr>
      </w:pPr>
    </w:p>
    <w:p w14:paraId="485CFCF9" w14:textId="77777777" w:rsidR="003F670B" w:rsidRPr="003F670B" w:rsidRDefault="003F670B" w:rsidP="003F670B">
      <w:pPr>
        <w:spacing w:after="0" w:line="360" w:lineRule="auto"/>
        <w:jc w:val="center"/>
        <w:rPr>
          <w:rFonts w:ascii="Arial" w:eastAsia="Times New Roman" w:hAnsi="Arial" w:cs="Arial"/>
          <w:kern w:val="0"/>
          <w:sz w:val="23"/>
          <w:szCs w:val="23"/>
          <w:lang w:eastAsia="pt-BR"/>
          <w14:ligatures w14:val="none"/>
        </w:rPr>
      </w:pPr>
      <w:r w:rsidRPr="003F670B">
        <w:rPr>
          <w:rFonts w:ascii="Arial" w:eastAsia="Times New Roman" w:hAnsi="Arial" w:cs="Arial"/>
          <w:kern w:val="0"/>
          <w:sz w:val="23"/>
          <w:szCs w:val="23"/>
          <w:lang w:eastAsia="pt-BR"/>
          <w14:ligatures w14:val="none"/>
        </w:rPr>
        <w:t>Gabriel Augusto Parreiras</w:t>
      </w:r>
    </w:p>
    <w:p w14:paraId="3261C223" w14:textId="77777777" w:rsidR="003F670B" w:rsidRPr="003F670B" w:rsidRDefault="003F670B" w:rsidP="003F670B">
      <w:pPr>
        <w:spacing w:after="0" w:line="360" w:lineRule="auto"/>
        <w:jc w:val="center"/>
        <w:rPr>
          <w:rFonts w:ascii="Arial" w:eastAsia="Times New Roman" w:hAnsi="Arial" w:cs="Arial"/>
          <w:b/>
          <w:kern w:val="0"/>
          <w:sz w:val="23"/>
          <w:szCs w:val="23"/>
          <w:lang w:eastAsia="pt-BR"/>
          <w14:ligatures w14:val="none"/>
        </w:rPr>
      </w:pPr>
      <w:r w:rsidRPr="003F670B">
        <w:rPr>
          <w:rFonts w:ascii="Arial" w:eastAsia="Times New Roman" w:hAnsi="Arial" w:cs="Arial"/>
          <w:b/>
          <w:kern w:val="0"/>
          <w:sz w:val="23"/>
          <w:szCs w:val="23"/>
          <w:lang w:eastAsia="pt-BR"/>
          <w14:ligatures w14:val="none"/>
        </w:rPr>
        <w:t>Prefeito Municipal</w:t>
      </w:r>
    </w:p>
    <w:p w14:paraId="134A84F6" w14:textId="77777777" w:rsidR="003F670B" w:rsidRDefault="003F670B" w:rsidP="006D0D70">
      <w:pPr>
        <w:tabs>
          <w:tab w:val="left" w:pos="6315"/>
        </w:tabs>
        <w:spacing w:after="0" w:line="360" w:lineRule="auto"/>
        <w:jc w:val="both"/>
        <w:rPr>
          <w:rFonts w:ascii="Arial" w:hAnsi="Arial" w:cs="Arial"/>
          <w:sz w:val="23"/>
          <w:szCs w:val="23"/>
        </w:rPr>
      </w:pPr>
    </w:p>
    <w:p w14:paraId="7CF43F18" w14:textId="77777777" w:rsidR="003F670B" w:rsidRDefault="003F670B" w:rsidP="006D0D70">
      <w:pPr>
        <w:tabs>
          <w:tab w:val="left" w:pos="6315"/>
        </w:tabs>
        <w:spacing w:after="0" w:line="360" w:lineRule="auto"/>
        <w:jc w:val="both"/>
        <w:rPr>
          <w:rFonts w:ascii="Arial" w:hAnsi="Arial" w:cs="Arial"/>
          <w:sz w:val="23"/>
          <w:szCs w:val="23"/>
        </w:rPr>
      </w:pPr>
    </w:p>
    <w:p w14:paraId="54E7CBBA" w14:textId="77777777" w:rsidR="003F670B" w:rsidRDefault="003F670B" w:rsidP="006D0D70">
      <w:pPr>
        <w:tabs>
          <w:tab w:val="left" w:pos="6315"/>
        </w:tabs>
        <w:spacing w:after="0" w:line="360" w:lineRule="auto"/>
        <w:jc w:val="both"/>
        <w:rPr>
          <w:rFonts w:ascii="Arial" w:hAnsi="Arial" w:cs="Arial"/>
          <w:sz w:val="23"/>
          <w:szCs w:val="23"/>
        </w:rPr>
      </w:pPr>
    </w:p>
    <w:p w14:paraId="710BB7C7" w14:textId="77777777" w:rsidR="003F670B" w:rsidRPr="006D0D70" w:rsidRDefault="003F670B" w:rsidP="006D0D70">
      <w:pPr>
        <w:tabs>
          <w:tab w:val="left" w:pos="6315"/>
        </w:tabs>
        <w:spacing w:after="0" w:line="360" w:lineRule="auto"/>
        <w:jc w:val="both"/>
        <w:rPr>
          <w:rFonts w:ascii="Arial" w:hAnsi="Arial" w:cs="Arial"/>
          <w:sz w:val="23"/>
          <w:szCs w:val="23"/>
        </w:rPr>
      </w:pPr>
    </w:p>
    <w:p w14:paraId="1974AB34" w14:textId="77777777" w:rsidR="00FD7DC7" w:rsidRPr="006D0D70" w:rsidRDefault="00FD7DC7" w:rsidP="006D0D70">
      <w:pPr>
        <w:spacing w:after="0" w:line="360" w:lineRule="auto"/>
        <w:jc w:val="both"/>
        <w:rPr>
          <w:rFonts w:ascii="Arial" w:hAnsi="Arial" w:cs="Arial"/>
          <w:sz w:val="23"/>
          <w:szCs w:val="23"/>
        </w:rPr>
      </w:pPr>
    </w:p>
    <w:sectPr w:rsidR="00FD7DC7" w:rsidRPr="006D0D70" w:rsidSect="0087541D">
      <w:headerReference w:type="default" r:id="rId7"/>
      <w:footerReference w:type="default" r:id="rId8"/>
      <w:pgSz w:w="11906" w:h="16838"/>
      <w:pgMar w:top="1985" w:right="1134" w:bottom="1134" w:left="1701" w:header="709" w:footer="1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904CD" w14:textId="77777777" w:rsidR="007D6F74" w:rsidRDefault="007D6F74" w:rsidP="00EC1228">
      <w:pPr>
        <w:spacing w:after="0" w:line="240" w:lineRule="auto"/>
      </w:pPr>
      <w:r>
        <w:separator/>
      </w:r>
    </w:p>
  </w:endnote>
  <w:endnote w:type="continuationSeparator" w:id="0">
    <w:p w14:paraId="147C77F8" w14:textId="77777777" w:rsidR="007D6F74" w:rsidRDefault="007D6F74" w:rsidP="00EC1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093A" w14:textId="5A2DDE26" w:rsidR="0087541D" w:rsidRDefault="00056EB7" w:rsidP="0087541D">
    <w:pPr>
      <w:pStyle w:val="Rodap"/>
      <w:ind w:left="-1701"/>
    </w:pPr>
    <w:r>
      <w:rPr>
        <w:noProof/>
        <w:lang w:eastAsia="pt-BR"/>
      </w:rPr>
      <w:drawing>
        <wp:inline distT="0" distB="0" distL="0" distR="0" wp14:anchorId="2C861A8A" wp14:editId="46738E7B">
          <wp:extent cx="7541260" cy="63373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6337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8D030" w14:textId="77777777" w:rsidR="007D6F74" w:rsidRDefault="007D6F74" w:rsidP="00EC1228">
      <w:pPr>
        <w:spacing w:after="0" w:line="240" w:lineRule="auto"/>
      </w:pPr>
      <w:r>
        <w:separator/>
      </w:r>
    </w:p>
  </w:footnote>
  <w:footnote w:type="continuationSeparator" w:id="0">
    <w:p w14:paraId="4998BC13" w14:textId="77777777" w:rsidR="007D6F74" w:rsidRDefault="007D6F74" w:rsidP="00EC1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6435" w14:textId="671F8519" w:rsidR="0087541D" w:rsidRDefault="00056EB7">
    <w:pPr>
      <w:pStyle w:val="Cabealho"/>
    </w:pPr>
    <w:r>
      <w:rPr>
        <w:noProof/>
        <w:lang w:eastAsia="pt-BR"/>
      </w:rPr>
      <w:drawing>
        <wp:anchor distT="0" distB="0" distL="114300" distR="114300" simplePos="0" relativeHeight="251659264" behindDoc="1" locked="0" layoutInCell="1" allowOverlap="1" wp14:anchorId="3F41F011" wp14:editId="6B553968">
          <wp:simplePos x="0" y="0"/>
          <wp:positionH relativeFrom="page">
            <wp:posOffset>19050</wp:posOffset>
          </wp:positionH>
          <wp:positionV relativeFrom="paragraph">
            <wp:posOffset>-438785</wp:posOffset>
          </wp:positionV>
          <wp:extent cx="7525870" cy="1237130"/>
          <wp:effectExtent l="0" t="0" r="0" b="0"/>
          <wp:wrapNone/>
          <wp:docPr id="89064047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40475"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5870" cy="1237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52A"/>
    <w:multiLevelType w:val="hybridMultilevel"/>
    <w:tmpl w:val="0D8AA5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4C1D4C"/>
    <w:multiLevelType w:val="hybridMultilevel"/>
    <w:tmpl w:val="6B7E4098"/>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5D07405"/>
    <w:multiLevelType w:val="hybridMultilevel"/>
    <w:tmpl w:val="713EED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78F78C3"/>
    <w:multiLevelType w:val="hybridMultilevel"/>
    <w:tmpl w:val="3BA451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4267AC3"/>
    <w:multiLevelType w:val="hybridMultilevel"/>
    <w:tmpl w:val="B164F4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8D21116"/>
    <w:multiLevelType w:val="hybridMultilevel"/>
    <w:tmpl w:val="35DA7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04A1DFB"/>
    <w:multiLevelType w:val="hybridMultilevel"/>
    <w:tmpl w:val="BABE8612"/>
    <w:lvl w:ilvl="0" w:tplc="6DF82EB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DEB7104"/>
    <w:multiLevelType w:val="hybridMultilevel"/>
    <w:tmpl w:val="E07C8D6C"/>
    <w:lvl w:ilvl="0" w:tplc="23E0AC04">
      <w:start w:val="1"/>
      <w:numFmt w:val="bullet"/>
      <w:lvlText w:val=""/>
      <w:lvlJc w:val="left"/>
      <w:pPr>
        <w:ind w:left="108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1237B70"/>
    <w:multiLevelType w:val="hybridMultilevel"/>
    <w:tmpl w:val="AA2E2D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E271979"/>
    <w:multiLevelType w:val="hybridMultilevel"/>
    <w:tmpl w:val="B5BC9FA6"/>
    <w:lvl w:ilvl="0" w:tplc="04160013">
      <w:start w:val="1"/>
      <w:numFmt w:val="upperRoman"/>
      <w:lvlText w:val="%1."/>
      <w:lvlJc w:val="right"/>
      <w:pPr>
        <w:ind w:left="1425" w:hanging="360"/>
      </w:pPr>
    </w:lvl>
    <w:lvl w:ilvl="1" w:tplc="04160019">
      <w:start w:val="1"/>
      <w:numFmt w:val="lowerLetter"/>
      <w:lvlText w:val="%2."/>
      <w:lvlJc w:val="left"/>
      <w:pPr>
        <w:ind w:left="2145" w:hanging="360"/>
      </w:pPr>
    </w:lvl>
    <w:lvl w:ilvl="2" w:tplc="0416001B">
      <w:start w:val="1"/>
      <w:numFmt w:val="lowerRoman"/>
      <w:lvlText w:val="%3."/>
      <w:lvlJc w:val="right"/>
      <w:pPr>
        <w:ind w:left="2865" w:hanging="180"/>
      </w:pPr>
    </w:lvl>
    <w:lvl w:ilvl="3" w:tplc="0416000F">
      <w:start w:val="1"/>
      <w:numFmt w:val="decimal"/>
      <w:lvlText w:val="%4."/>
      <w:lvlJc w:val="left"/>
      <w:pPr>
        <w:ind w:left="3585" w:hanging="360"/>
      </w:pPr>
    </w:lvl>
    <w:lvl w:ilvl="4" w:tplc="04160019">
      <w:start w:val="1"/>
      <w:numFmt w:val="lowerLetter"/>
      <w:lvlText w:val="%5."/>
      <w:lvlJc w:val="left"/>
      <w:pPr>
        <w:ind w:left="4305" w:hanging="360"/>
      </w:pPr>
    </w:lvl>
    <w:lvl w:ilvl="5" w:tplc="0416001B">
      <w:start w:val="1"/>
      <w:numFmt w:val="lowerRoman"/>
      <w:lvlText w:val="%6."/>
      <w:lvlJc w:val="right"/>
      <w:pPr>
        <w:ind w:left="5025" w:hanging="180"/>
      </w:pPr>
    </w:lvl>
    <w:lvl w:ilvl="6" w:tplc="0416000F">
      <w:start w:val="1"/>
      <w:numFmt w:val="decimal"/>
      <w:lvlText w:val="%7."/>
      <w:lvlJc w:val="left"/>
      <w:pPr>
        <w:ind w:left="5745" w:hanging="360"/>
      </w:pPr>
    </w:lvl>
    <w:lvl w:ilvl="7" w:tplc="04160019">
      <w:start w:val="1"/>
      <w:numFmt w:val="lowerLetter"/>
      <w:lvlText w:val="%8."/>
      <w:lvlJc w:val="left"/>
      <w:pPr>
        <w:ind w:left="6465" w:hanging="360"/>
      </w:pPr>
    </w:lvl>
    <w:lvl w:ilvl="8" w:tplc="0416001B">
      <w:start w:val="1"/>
      <w:numFmt w:val="lowerRoman"/>
      <w:lvlText w:val="%9."/>
      <w:lvlJc w:val="right"/>
      <w:pPr>
        <w:ind w:left="7185" w:hanging="180"/>
      </w:pPr>
    </w:lvl>
  </w:abstractNum>
  <w:abstractNum w:abstractNumId="10" w15:restartNumberingAfterBreak="0">
    <w:nsid w:val="7F7202EA"/>
    <w:multiLevelType w:val="multilevel"/>
    <w:tmpl w:val="A50E8FB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0883039">
    <w:abstractNumId w:val="6"/>
  </w:num>
  <w:num w:numId="2" w16cid:durableId="443965065">
    <w:abstractNumId w:val="1"/>
  </w:num>
  <w:num w:numId="3" w16cid:durableId="558707989">
    <w:abstractNumId w:val="7"/>
  </w:num>
  <w:num w:numId="4" w16cid:durableId="1504278170">
    <w:abstractNumId w:val="10"/>
  </w:num>
  <w:num w:numId="5" w16cid:durableId="1619601015">
    <w:abstractNumId w:val="0"/>
  </w:num>
  <w:num w:numId="6" w16cid:durableId="1233077975">
    <w:abstractNumId w:val="2"/>
  </w:num>
  <w:num w:numId="7" w16cid:durableId="1081178744">
    <w:abstractNumId w:val="4"/>
  </w:num>
  <w:num w:numId="8" w16cid:durableId="1291861806">
    <w:abstractNumId w:val="8"/>
  </w:num>
  <w:num w:numId="9" w16cid:durableId="1372344505">
    <w:abstractNumId w:val="5"/>
  </w:num>
  <w:num w:numId="10" w16cid:durableId="2101022573">
    <w:abstractNumId w:val="3"/>
  </w:num>
  <w:num w:numId="11" w16cid:durableId="14555195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28"/>
    <w:rsid w:val="00056EB7"/>
    <w:rsid w:val="000746BE"/>
    <w:rsid w:val="000A4C9A"/>
    <w:rsid w:val="000D0464"/>
    <w:rsid w:val="000D19A4"/>
    <w:rsid w:val="000D6976"/>
    <w:rsid w:val="000F7EF7"/>
    <w:rsid w:val="00110877"/>
    <w:rsid w:val="00125BBC"/>
    <w:rsid w:val="00131762"/>
    <w:rsid w:val="00134EB2"/>
    <w:rsid w:val="00151719"/>
    <w:rsid w:val="00151B1C"/>
    <w:rsid w:val="0017229C"/>
    <w:rsid w:val="00172B5E"/>
    <w:rsid w:val="0017746D"/>
    <w:rsid w:val="001A5092"/>
    <w:rsid w:val="001B51D1"/>
    <w:rsid w:val="001D4507"/>
    <w:rsid w:val="001E63BB"/>
    <w:rsid w:val="001F0F06"/>
    <w:rsid w:val="002179FB"/>
    <w:rsid w:val="002203FC"/>
    <w:rsid w:val="00225A4B"/>
    <w:rsid w:val="002376A5"/>
    <w:rsid w:val="00243614"/>
    <w:rsid w:val="002D641E"/>
    <w:rsid w:val="002D7D62"/>
    <w:rsid w:val="002F06AC"/>
    <w:rsid w:val="002F1283"/>
    <w:rsid w:val="002F5AEF"/>
    <w:rsid w:val="0033270E"/>
    <w:rsid w:val="0034007D"/>
    <w:rsid w:val="003475AB"/>
    <w:rsid w:val="0035651C"/>
    <w:rsid w:val="00356FC0"/>
    <w:rsid w:val="00364BA7"/>
    <w:rsid w:val="003A5856"/>
    <w:rsid w:val="003A7231"/>
    <w:rsid w:val="003B1A33"/>
    <w:rsid w:val="003C6D7D"/>
    <w:rsid w:val="003D72E5"/>
    <w:rsid w:val="003F670B"/>
    <w:rsid w:val="004323C7"/>
    <w:rsid w:val="00444BE5"/>
    <w:rsid w:val="004647E6"/>
    <w:rsid w:val="004B36BB"/>
    <w:rsid w:val="00500939"/>
    <w:rsid w:val="00515EE8"/>
    <w:rsid w:val="00524181"/>
    <w:rsid w:val="00547FAF"/>
    <w:rsid w:val="005734DA"/>
    <w:rsid w:val="00580B36"/>
    <w:rsid w:val="00597648"/>
    <w:rsid w:val="005B03A1"/>
    <w:rsid w:val="00613117"/>
    <w:rsid w:val="00637286"/>
    <w:rsid w:val="00642187"/>
    <w:rsid w:val="00656F96"/>
    <w:rsid w:val="00690E00"/>
    <w:rsid w:val="00694910"/>
    <w:rsid w:val="006D0D70"/>
    <w:rsid w:val="00701E6A"/>
    <w:rsid w:val="00722700"/>
    <w:rsid w:val="007569AE"/>
    <w:rsid w:val="00791E68"/>
    <w:rsid w:val="007A4E5C"/>
    <w:rsid w:val="007A5ADF"/>
    <w:rsid w:val="007A6A3F"/>
    <w:rsid w:val="007B428A"/>
    <w:rsid w:val="007B5AB9"/>
    <w:rsid w:val="007C7B38"/>
    <w:rsid w:val="007D6F74"/>
    <w:rsid w:val="0081169B"/>
    <w:rsid w:val="00811A9D"/>
    <w:rsid w:val="00857FA0"/>
    <w:rsid w:val="0087541D"/>
    <w:rsid w:val="00893F93"/>
    <w:rsid w:val="008A6C9F"/>
    <w:rsid w:val="008F7463"/>
    <w:rsid w:val="009322CC"/>
    <w:rsid w:val="009849CC"/>
    <w:rsid w:val="009A7956"/>
    <w:rsid w:val="009B6498"/>
    <w:rsid w:val="009C069F"/>
    <w:rsid w:val="009D2A09"/>
    <w:rsid w:val="009E0E63"/>
    <w:rsid w:val="00A049C5"/>
    <w:rsid w:val="00A07DE5"/>
    <w:rsid w:val="00A22987"/>
    <w:rsid w:val="00A30042"/>
    <w:rsid w:val="00A35B81"/>
    <w:rsid w:val="00A610F9"/>
    <w:rsid w:val="00A65C8F"/>
    <w:rsid w:val="00A95496"/>
    <w:rsid w:val="00AB09F3"/>
    <w:rsid w:val="00AD7086"/>
    <w:rsid w:val="00B04F7F"/>
    <w:rsid w:val="00B0584D"/>
    <w:rsid w:val="00B264CE"/>
    <w:rsid w:val="00B430F6"/>
    <w:rsid w:val="00B71A6B"/>
    <w:rsid w:val="00B77E91"/>
    <w:rsid w:val="00B9463F"/>
    <w:rsid w:val="00BB2B51"/>
    <w:rsid w:val="00BE0532"/>
    <w:rsid w:val="00BE6535"/>
    <w:rsid w:val="00BE78FE"/>
    <w:rsid w:val="00BF7791"/>
    <w:rsid w:val="00C07BAF"/>
    <w:rsid w:val="00C168B3"/>
    <w:rsid w:val="00C250FD"/>
    <w:rsid w:val="00C25F51"/>
    <w:rsid w:val="00C50345"/>
    <w:rsid w:val="00C721E8"/>
    <w:rsid w:val="00CC3171"/>
    <w:rsid w:val="00CC3E4A"/>
    <w:rsid w:val="00CE078E"/>
    <w:rsid w:val="00CF576A"/>
    <w:rsid w:val="00CF72B3"/>
    <w:rsid w:val="00D0492E"/>
    <w:rsid w:val="00D12646"/>
    <w:rsid w:val="00D41C30"/>
    <w:rsid w:val="00D44C86"/>
    <w:rsid w:val="00D52D9E"/>
    <w:rsid w:val="00D53F5D"/>
    <w:rsid w:val="00D548DB"/>
    <w:rsid w:val="00D66D87"/>
    <w:rsid w:val="00D76115"/>
    <w:rsid w:val="00D8135C"/>
    <w:rsid w:val="00D82002"/>
    <w:rsid w:val="00D951A1"/>
    <w:rsid w:val="00DA2FAF"/>
    <w:rsid w:val="00DA5C56"/>
    <w:rsid w:val="00DD661C"/>
    <w:rsid w:val="00DF6EDB"/>
    <w:rsid w:val="00E242FC"/>
    <w:rsid w:val="00E44B5F"/>
    <w:rsid w:val="00E71455"/>
    <w:rsid w:val="00E8165C"/>
    <w:rsid w:val="00E81CDF"/>
    <w:rsid w:val="00E85021"/>
    <w:rsid w:val="00E853D3"/>
    <w:rsid w:val="00E86B32"/>
    <w:rsid w:val="00EA4178"/>
    <w:rsid w:val="00EB1DE3"/>
    <w:rsid w:val="00EB23BC"/>
    <w:rsid w:val="00EB75E0"/>
    <w:rsid w:val="00EC1228"/>
    <w:rsid w:val="00EE0315"/>
    <w:rsid w:val="00F034C0"/>
    <w:rsid w:val="00F128CA"/>
    <w:rsid w:val="00F22ADE"/>
    <w:rsid w:val="00F25E60"/>
    <w:rsid w:val="00F36EBB"/>
    <w:rsid w:val="00F5388B"/>
    <w:rsid w:val="00F56705"/>
    <w:rsid w:val="00F61ED2"/>
    <w:rsid w:val="00F72ABD"/>
    <w:rsid w:val="00F922D8"/>
    <w:rsid w:val="00F92597"/>
    <w:rsid w:val="00FC3D45"/>
    <w:rsid w:val="00FD2768"/>
    <w:rsid w:val="00FD7DC7"/>
    <w:rsid w:val="00FF0F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04A19"/>
  <w15:chartTrackingRefBased/>
  <w15:docId w15:val="{D130F2CE-99F4-4385-96E8-4DB12D4F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12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1228"/>
  </w:style>
  <w:style w:type="paragraph" w:styleId="Rodap">
    <w:name w:val="footer"/>
    <w:basedOn w:val="Normal"/>
    <w:link w:val="RodapChar"/>
    <w:uiPriority w:val="99"/>
    <w:unhideWhenUsed/>
    <w:rsid w:val="00EC1228"/>
    <w:pPr>
      <w:tabs>
        <w:tab w:val="center" w:pos="4252"/>
        <w:tab w:val="right" w:pos="8504"/>
      </w:tabs>
      <w:spacing w:after="0" w:line="240" w:lineRule="auto"/>
    </w:pPr>
  </w:style>
  <w:style w:type="character" w:customStyle="1" w:styleId="RodapChar">
    <w:name w:val="Rodapé Char"/>
    <w:basedOn w:val="Fontepargpadro"/>
    <w:link w:val="Rodap"/>
    <w:uiPriority w:val="99"/>
    <w:rsid w:val="00EC1228"/>
  </w:style>
  <w:style w:type="paragraph" w:styleId="PargrafodaLista">
    <w:name w:val="List Paragraph"/>
    <w:basedOn w:val="Normal"/>
    <w:uiPriority w:val="34"/>
    <w:qFormat/>
    <w:rsid w:val="003C6D7D"/>
    <w:pPr>
      <w:ind w:left="720"/>
      <w:contextualSpacing/>
    </w:pPr>
  </w:style>
  <w:style w:type="paragraph" w:styleId="SemEspaamento">
    <w:name w:val="No Spacing"/>
    <w:uiPriority w:val="1"/>
    <w:qFormat/>
    <w:rsid w:val="003C6D7D"/>
    <w:pPr>
      <w:spacing w:after="0" w:line="240" w:lineRule="auto"/>
    </w:pPr>
  </w:style>
  <w:style w:type="paragraph" w:styleId="Textodebalo">
    <w:name w:val="Balloon Text"/>
    <w:basedOn w:val="Normal"/>
    <w:link w:val="TextodebaloChar"/>
    <w:uiPriority w:val="99"/>
    <w:semiHidden/>
    <w:unhideWhenUsed/>
    <w:rsid w:val="00E8502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5021"/>
    <w:rPr>
      <w:rFonts w:ascii="Segoe UI" w:hAnsi="Segoe UI" w:cs="Segoe UI"/>
      <w:sz w:val="18"/>
      <w:szCs w:val="18"/>
    </w:rPr>
  </w:style>
  <w:style w:type="paragraph" w:styleId="NormalWeb">
    <w:name w:val="Normal (Web)"/>
    <w:basedOn w:val="Normal"/>
    <w:uiPriority w:val="99"/>
    <w:semiHidden/>
    <w:unhideWhenUsed/>
    <w:rsid w:val="0069491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694910"/>
    <w:rPr>
      <w:b/>
      <w:bCs/>
    </w:rPr>
  </w:style>
  <w:style w:type="character" w:styleId="nfase">
    <w:name w:val="Emphasis"/>
    <w:basedOn w:val="Fontepargpadro"/>
    <w:uiPriority w:val="20"/>
    <w:qFormat/>
    <w:rsid w:val="00A610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89603">
      <w:bodyDiv w:val="1"/>
      <w:marLeft w:val="0"/>
      <w:marRight w:val="0"/>
      <w:marTop w:val="0"/>
      <w:marBottom w:val="0"/>
      <w:divBdr>
        <w:top w:val="none" w:sz="0" w:space="0" w:color="auto"/>
        <w:left w:val="none" w:sz="0" w:space="0" w:color="auto"/>
        <w:bottom w:val="none" w:sz="0" w:space="0" w:color="auto"/>
        <w:right w:val="none" w:sz="0" w:space="0" w:color="auto"/>
      </w:divBdr>
    </w:div>
    <w:div w:id="447088802">
      <w:bodyDiv w:val="1"/>
      <w:marLeft w:val="0"/>
      <w:marRight w:val="0"/>
      <w:marTop w:val="0"/>
      <w:marBottom w:val="0"/>
      <w:divBdr>
        <w:top w:val="none" w:sz="0" w:space="0" w:color="auto"/>
        <w:left w:val="none" w:sz="0" w:space="0" w:color="auto"/>
        <w:bottom w:val="none" w:sz="0" w:space="0" w:color="auto"/>
        <w:right w:val="none" w:sz="0" w:space="0" w:color="auto"/>
      </w:divBdr>
    </w:div>
    <w:div w:id="586886411">
      <w:bodyDiv w:val="1"/>
      <w:marLeft w:val="0"/>
      <w:marRight w:val="0"/>
      <w:marTop w:val="0"/>
      <w:marBottom w:val="0"/>
      <w:divBdr>
        <w:top w:val="none" w:sz="0" w:space="0" w:color="auto"/>
        <w:left w:val="none" w:sz="0" w:space="0" w:color="auto"/>
        <w:bottom w:val="none" w:sz="0" w:space="0" w:color="auto"/>
        <w:right w:val="none" w:sz="0" w:space="0" w:color="auto"/>
      </w:divBdr>
    </w:div>
    <w:div w:id="772634120">
      <w:bodyDiv w:val="1"/>
      <w:marLeft w:val="0"/>
      <w:marRight w:val="0"/>
      <w:marTop w:val="0"/>
      <w:marBottom w:val="0"/>
      <w:divBdr>
        <w:top w:val="none" w:sz="0" w:space="0" w:color="auto"/>
        <w:left w:val="none" w:sz="0" w:space="0" w:color="auto"/>
        <w:bottom w:val="none" w:sz="0" w:space="0" w:color="auto"/>
        <w:right w:val="none" w:sz="0" w:space="0" w:color="auto"/>
      </w:divBdr>
    </w:div>
    <w:div w:id="1643971304">
      <w:bodyDiv w:val="1"/>
      <w:marLeft w:val="0"/>
      <w:marRight w:val="0"/>
      <w:marTop w:val="0"/>
      <w:marBottom w:val="0"/>
      <w:divBdr>
        <w:top w:val="none" w:sz="0" w:space="0" w:color="auto"/>
        <w:left w:val="none" w:sz="0" w:space="0" w:color="auto"/>
        <w:bottom w:val="none" w:sz="0" w:space="0" w:color="auto"/>
        <w:right w:val="none" w:sz="0" w:space="0" w:color="auto"/>
      </w:divBdr>
    </w:div>
    <w:div w:id="1691564016">
      <w:bodyDiv w:val="1"/>
      <w:marLeft w:val="0"/>
      <w:marRight w:val="0"/>
      <w:marTop w:val="0"/>
      <w:marBottom w:val="0"/>
      <w:divBdr>
        <w:top w:val="none" w:sz="0" w:space="0" w:color="auto"/>
        <w:left w:val="none" w:sz="0" w:space="0" w:color="auto"/>
        <w:bottom w:val="none" w:sz="0" w:space="0" w:color="auto"/>
        <w:right w:val="none" w:sz="0" w:space="0" w:color="auto"/>
      </w:divBdr>
    </w:div>
    <w:div w:id="177432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3166</Words>
  <Characters>17098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Isabela Soares Corrêa</cp:lastModifiedBy>
  <cp:revision>2</cp:revision>
  <cp:lastPrinted>2025-06-17T16:34:00Z</cp:lastPrinted>
  <dcterms:created xsi:type="dcterms:W3CDTF">2025-10-21T11:26:00Z</dcterms:created>
  <dcterms:modified xsi:type="dcterms:W3CDTF">2025-10-21T11:26:00Z</dcterms:modified>
</cp:coreProperties>
</file>