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0" w:name="_GoBack"/>
      <w:r w:rsidRPr="00D045B5">
        <w:rPr>
          <w:rFonts w:ascii="Verdana" w:eastAsia="Times New Roman" w:hAnsi="Verdana" w:cs="Times New Roman"/>
          <w:b/>
          <w:bCs/>
          <w:color w:val="333399"/>
          <w:sz w:val="20"/>
          <w:szCs w:val="20"/>
          <w:u w:val="single"/>
          <w:lang w:eastAsia="pt-BR"/>
        </w:rPr>
        <w:t>LEI Nº 748, DE 11 DE OUTUBRO DE 2013</w:t>
      </w:r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left="510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strike/>
          <w:color w:val="993300"/>
          <w:sz w:val="20"/>
          <w:szCs w:val="20"/>
          <w:lang w:eastAsia="pt-BR"/>
        </w:rPr>
        <w:t>CRIA O PÓLO INDUSTRIAL SABIÁ - MUNICÍPIO DE SÃO DOMINGOS DO NORTE E DÁ OUTRAS PROVIDÊNCIAS.</w:t>
      </w:r>
    </w:p>
    <w:bookmarkEnd w:id="0"/>
    <w:p w:rsidR="00D045B5" w:rsidRPr="00D045B5" w:rsidRDefault="00D045B5" w:rsidP="00D045B5">
      <w:pPr>
        <w:spacing w:after="0" w:line="240" w:lineRule="auto"/>
        <w:ind w:left="510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left="5103"/>
        <w:jc w:val="both"/>
        <w:outlineLvl w:val="1"/>
        <w:rPr>
          <w:rFonts w:ascii="Verdana" w:eastAsia="Times New Roman" w:hAnsi="Verdana" w:cs="Times New Roman"/>
          <w:i/>
          <w:iCs/>
          <w:caps/>
          <w:color w:val="9933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  <w:t>CRIA O Polo Industrial Clovis Malacarne - MUNICÍPIO DE SÃO DOMINGOS DO NORTE E DÁ OUTRAS PROVIDÊNCIAS. </w:t>
      </w:r>
      <w:hyperlink r:id="rId4" w:anchor="a1" w:history="1"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(</w:t>
        </w:r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Denominação</w:t>
        </w:r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 </w:t>
        </w:r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alterada</w:t>
        </w:r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 </w:t>
        </w:r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pela</w:t>
        </w:r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 </w:t>
        </w:r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Lei</w:t>
        </w:r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 </w:t>
        </w:r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n</w:t>
        </w:r>
        <w:r w:rsidRPr="00D045B5">
          <w:rPr>
            <w:rFonts w:ascii="Verdana" w:eastAsia="Times New Roman" w:hAnsi="Verdana" w:cs="Times New Roman"/>
            <w:caps/>
            <w:color w:val="0000FF"/>
            <w:sz w:val="20"/>
            <w:szCs w:val="20"/>
            <w:u w:val="single"/>
            <w:lang w:eastAsia="pt-BR"/>
          </w:rPr>
          <w:t>º 788/2014)</w:t>
        </w:r>
      </w:hyperlink>
    </w:p>
    <w:p w:rsidR="00D045B5" w:rsidRPr="00D045B5" w:rsidRDefault="00D045B5" w:rsidP="00D045B5">
      <w:pPr>
        <w:spacing w:after="0" w:line="240" w:lineRule="auto"/>
        <w:ind w:left="510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5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Texto compilado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PREFEITO MUNICIPAL DE SÃO DOMINGOS DO NORTE – ESTADO DO ESPÍRITO SANTO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Faço saber que a Câmara Municipal aprovou e eu sanciono a seguinte Lei: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1" w:name="a1"/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1º</w:t>
      </w:r>
      <w:bookmarkEnd w:id="1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criado no Município de São Domingos do Norte o Distrito </w:t>
      </w:r>
      <w:r w:rsidRPr="00D045B5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Polo Industrial Sabiá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Polo Industrial Clovis </w:t>
      </w:r>
      <w:proofErr w:type="spellStart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Malacarne</w:t>
      </w:r>
      <w:proofErr w:type="spellEnd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- uma área de terra com aproximadamente 80.787.35m² (Oitenta mil, setecentos e oitenta e sete vírgula trinta e cinco metros quadrados), constituída pela área rural localizada no Córrego Sabiá, neste Município, com medidas e demais confrontações constantes em anexo, do Cartório do Registro Geral de Imóveis da 1ª Circunscrição Comarca de São Domingos do Norte - ES, Matrícula 01/1432. </w:t>
      </w:r>
      <w:hyperlink r:id="rId6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(Denominação alterada pela Lei nº 788/2014)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área destinada ao Polo Industrial poderá receber ampliação com áreas contínuas.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proofErr w:type="spellStart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Pólo</w:t>
      </w:r>
      <w:proofErr w:type="spellEnd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Industrial ora criado será constituído de indústrias compatíveis com a realidade sócio cultural e econômica do município já existentes e ainda por aquelas que vierem a ser instaladas em área específica.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2" w:name="a2_pu"/>
      <w:bookmarkEnd w:id="2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Aplica-se ao polo industrial criado por esta Lei o disposto nos artigos </w:t>
      </w:r>
      <w:hyperlink r:id="rId7" w:anchor="a3" w:history="1">
        <w:r w:rsidRPr="00D045B5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pt-BR"/>
          </w:rPr>
          <w:t>3°</w:t>
        </w:r>
      </w:hyperlink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e </w:t>
      </w:r>
      <w:hyperlink r:id="rId8" w:anchor="a4" w:history="1">
        <w:r w:rsidRPr="00D045B5">
          <w:rPr>
            <w:rFonts w:ascii="Verdana" w:eastAsia="Times New Roman" w:hAnsi="Verdana" w:cs="Times New Roman"/>
            <w:i/>
            <w:iCs/>
            <w:color w:val="0000FF"/>
            <w:sz w:val="20"/>
            <w:szCs w:val="20"/>
            <w:u w:val="single"/>
            <w:lang w:eastAsia="pt-BR"/>
          </w:rPr>
          <w:t>4°</w:t>
        </w:r>
      </w:hyperlink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da Lei 750/2013.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9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794/2014)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3" w:name="a2_A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2-A</w:t>
      </w:r>
      <w:bookmarkEnd w:id="3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modalidade que o Poder Executivo Municipal adotará para ceder os lotes industriais disponíveis incorporados ao Polo é a Concessão de Direito Real de Uso, com prazo de 20 (vinte) anos prorrogáveis por igual período, antecedida do competente Processo Licitatório, cujo Edital conterá os termos e condições previstos nesta Lei, prazos e demais posturas, normas e diretrizes dos Órgãos Técnicos da Municipalidade.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0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Para que seja deferida a renovação da Concessão Real de Uso é necessário que a empresa esteja ativa, em pleno funcionamento e em dia com suas obrigações fiscais, trabalhistas e ambientais.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1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4" w:name="a2_B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-</w:t>
      </w: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B</w:t>
      </w:r>
      <w:bookmarkEnd w:id="4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forma da entrega e distribuição dos módulos será através de licitação, nos termos da Lei nº 8.666/93 ou Lei nº 14.133/2021, baseada no termo de referência elaborado pela secretaria competente, que fixará as condições para seleção das candidatas e processada pela Comissão de Licitações do Município, 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especial ou permanente, dependendo da complexidade do termo de referência.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2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5" w:name="a2_C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2-C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bookmarkEnd w:id="5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As obras de instalação das Empresas deverão iniciar-se num prazo máximo de 180 (cento e oitenta) dias a contar da assinatura do Termo de Concessão de Direito Real de Uso e concluída dentro do prazo apresentado na proposta.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3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Para os fins desta Lei, considera-se início da obra a data da expedição do alvará de licença para construção emitido pelo Município de São Domingos do Norte - ES.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4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6" w:name="a2_D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2-D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bookmarkEnd w:id="6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 Termo de Concessão de Direito Real de Uso a ser firmado pela Municipalidade e por representante legal da empresa ou com a pessoa física interessada em instalar nova empresa no Município, conterá necessariamente as seguintes exigências: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5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 - Os prazos para início e conclusão das obras serão contados a partir da data de assinatura do Termo de Concessão de Direito Real de Uso, podendo, excepcionalmente, mediante justificativa do cessionário e a critério exclusivo da Municipalidade, ser prorrogado por até 12 (doze) meses.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6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 - A paralisação da obra por período superior a 30 dias acarretará notificação para que o concessionário apresente justificativa, sob pena de rescisão unilateral da concessão;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7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III - É vedado dar ao imóvel destinação diversa àquela apresentada em cede de proposta na licitação; </w:t>
      </w:r>
      <w:hyperlink r:id="rId18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IV - A construção do empreendimento em no mínimo 50% (cinquenta) da área concedida;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19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V - A área mínima para construção estabelecida no inciso anterior poderá ser reduzida em função do tipo de atividade a ser exercida no local, desde que justificada pela empresa interessada e após emissão de parecer conclusivo pela Prefeitura Municipal.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0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VI - Todas as despesas para a instalação e funcionamento correrão por conta das empresas declaradas vencedoras da Concorrência a que alude o art. 2-A da presente Lei.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1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1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° É vedada a transferência pelo cessionário do módulo licitado para terceiros.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2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2º 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 posse da área cedida transfere-se aos herdeiros legítimos ou testamentários, cabendo a estes a informação da sucessão no prazo de 30 (trinta) dias após a sua abertura.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3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7" w:name="a2_E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2-E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bookmarkEnd w:id="7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 descumprimento de quaisquer das obrigações especificadas nos </w:t>
      </w:r>
      <w:proofErr w:type="spellStart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2-C e 2-D, a descaracterização das atividades da empresa, a locação ou </w:t>
      </w:r>
      <w:proofErr w:type="spellStart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subconcessão</w:t>
      </w:r>
      <w:proofErr w:type="spellEnd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terceiro ou outra forma de </w:t>
      </w:r>
      <w:proofErr w:type="spellStart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desconfiguração</w:t>
      </w:r>
      <w:proofErr w:type="spellEnd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da concessão que comprometa os objetivos da presente Lei, implicarão na rescisão unilateral por parte da Administração do Termo de Concessão de Direito Real de Uso, não tendo direito os concessionários a qualquer tipo de indenização pelas benfeitorias realizadas que não sejam passíveis de remoção, sejam elas úteis, necessárias ou voluptuárias.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4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 A área de terra que retornar ao Município, nas hipóteses elencadas no caput deste artigo, será novamente concedida por meio de licitação, conforme previsto por esta Lei.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5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8" w:name="a2_F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2-F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bookmarkEnd w:id="8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 prazo de concessão será de vinte anos prorrogáveis por igual período, a exclusivo critério da Administração Pública, sendo que ao final, caso não seja por outro instrumento prorrogada a concessão, não terão os concessionários quaisquer direitos à indenização pelas benfeitorias realizadas.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6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9" w:name="a2_G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2-G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bookmarkEnd w:id="9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Decorrido o prazo da concessão e/ou de sua prorrogação, será dada opção de compra do imóvel ou locação ao concessionário.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7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1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° Para avaliação do imóvel em cede de opção de compra ou locação será considerado o valor da terra nua e de quaisquer benfeitorias e melhoramentos custeados pelos entes públicos.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8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2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° Caso o concessionário não exerça a opção de compra ou locação do imóvel, este será levado a leilão, revertendo-se o valor integral aos cofres públicos municipais.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29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incluído pela Lei nº 1.019/2021)</w:t>
        </w:r>
      </w:hyperlink>
    </w:p>
    <w:p w:rsidR="00D045B5" w:rsidRPr="00D045B5" w:rsidRDefault="00D045B5" w:rsidP="00D045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3º 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Na ausência de área própria fica autorizada a aquisição pelo Município de imóvel compatível, para início das atividades, dada como estímulo à geração de empregos imediatos e geração de renda mediata.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Art. 4º </w:t>
      </w:r>
      <w:r w:rsidRPr="00D045B5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A cessão de Uso do terreno destinado à implantação das indústrias terá como prazo 20 (vinte) anos, podendo ser prorrogado por igual período.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strike/>
          <w:color w:val="000000"/>
          <w:sz w:val="20"/>
          <w:szCs w:val="20"/>
          <w:lang w:eastAsia="pt-BR"/>
        </w:rPr>
        <w:t>Art. 5º</w:t>
      </w:r>
      <w:r w:rsidRPr="00D045B5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 As empresas que se instalarem no </w:t>
      </w:r>
      <w:proofErr w:type="spellStart"/>
      <w:r w:rsidRPr="00D045B5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Pólo</w:t>
      </w:r>
      <w:proofErr w:type="spellEnd"/>
      <w:r w:rsidRPr="00D045B5">
        <w:rPr>
          <w:rFonts w:ascii="Verdana" w:eastAsia="Times New Roman" w:hAnsi="Verdana" w:cs="Times New Roman"/>
          <w:strike/>
          <w:color w:val="000000"/>
          <w:sz w:val="20"/>
          <w:szCs w:val="20"/>
          <w:lang w:eastAsia="pt-BR"/>
        </w:rPr>
        <w:t> Industrial do Município de São Domingos do Norte terão isenção de Imposto Predial e Territorial Urbano pelo prazo de 05 (cinco) anos, a partir do início de suas atividades.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10" w:name="a4"/>
      <w:bookmarkEnd w:id="10"/>
      <w:r w:rsidRPr="00D045B5">
        <w:rPr>
          <w:rFonts w:ascii="Verdana" w:eastAsia="Times New Roman" w:hAnsi="Verdana" w:cs="Times New Roman"/>
          <w:b/>
          <w:bCs/>
          <w:i/>
          <w:iCs/>
          <w:strike/>
          <w:color w:val="7F7F7F"/>
          <w:sz w:val="20"/>
          <w:szCs w:val="20"/>
          <w:lang w:eastAsia="pt-BR"/>
        </w:rPr>
        <w:t>Art. 4º</w:t>
      </w:r>
      <w:r w:rsidRPr="00D045B5">
        <w:rPr>
          <w:rFonts w:ascii="Verdana" w:eastAsia="Times New Roman" w:hAnsi="Verdana" w:cs="Times New Roman"/>
          <w:i/>
          <w:iCs/>
          <w:strike/>
          <w:color w:val="7F7F7F"/>
          <w:sz w:val="20"/>
          <w:szCs w:val="20"/>
          <w:lang w:eastAsia="pt-BR"/>
        </w:rPr>
        <w:t> Os bens imóveis da Administração Pública, cuja aquisição haja derivado de procedimentos judiciais ou de dação em pagamento, poderão ser alienados por ato da autoridade competente, observadas as seguintes regras: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30" w:anchor="a2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revogado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31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(Redação dada pela Lei nº 760/2013)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             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strike/>
          <w:color w:val="7F7F7F"/>
          <w:sz w:val="20"/>
          <w:szCs w:val="20"/>
          <w:lang w:eastAsia="pt-BR"/>
        </w:rPr>
        <w:t>I - avaliação dos bens alienáveis;</w:t>
      </w:r>
      <w:r w:rsidRPr="00D045B5">
        <w:rPr>
          <w:rFonts w:ascii="Verdana" w:eastAsia="Times New Roman" w:hAnsi="Verdana" w:cs="Times New Roman"/>
          <w:strike/>
          <w:color w:val="7F7F7F"/>
          <w:sz w:val="20"/>
          <w:szCs w:val="20"/>
          <w:lang w:eastAsia="pt-BR"/>
        </w:rPr>
        <w:t> </w:t>
      </w:r>
      <w:hyperlink r:id="rId32" w:anchor="a2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revogado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33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(Redação dada pela Lei nº 760/2013)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strike/>
          <w:color w:val="7F7F7F"/>
          <w:sz w:val="20"/>
          <w:szCs w:val="20"/>
          <w:lang w:eastAsia="pt-BR"/>
        </w:rPr>
        <w:t>II - comprovação da necessidade ou utilidade da alienação;</w:t>
      </w:r>
      <w:r w:rsidRPr="00D045B5">
        <w:rPr>
          <w:rFonts w:ascii="Verdana" w:eastAsia="Times New Roman" w:hAnsi="Verdana" w:cs="Times New Roman"/>
          <w:color w:val="7F7F7F"/>
          <w:sz w:val="20"/>
          <w:szCs w:val="20"/>
          <w:lang w:eastAsia="pt-BR"/>
        </w:rPr>
        <w:t> </w:t>
      </w:r>
      <w:hyperlink r:id="rId34" w:anchor="a2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revogado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35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(Redação dada pela Lei nº 760/2013)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strike/>
          <w:color w:val="7F7F7F"/>
          <w:sz w:val="20"/>
          <w:szCs w:val="20"/>
          <w:lang w:eastAsia="pt-BR"/>
        </w:rPr>
        <w:t>III - adoção do procedimento licitatório, sob a modalidade de concorrência ou leilão.</w:t>
      </w:r>
      <w:r w:rsidRPr="00D045B5">
        <w:rPr>
          <w:rFonts w:ascii="Verdana" w:eastAsia="Times New Roman" w:hAnsi="Verdana" w:cs="Times New Roman"/>
          <w:strike/>
          <w:color w:val="7F7F7F"/>
          <w:sz w:val="20"/>
          <w:szCs w:val="20"/>
          <w:lang w:eastAsia="pt-BR"/>
        </w:rPr>
        <w:t> </w:t>
      </w:r>
      <w:hyperlink r:id="rId36" w:anchor="a2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(Dispositivo revogado pela Lei nº 1.019/2021)</w:t>
        </w:r>
      </w:hyperlink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37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(Redação dada pela Lei nº 760/2013)</w:t>
        </w:r>
      </w:hyperlink>
    </w:p>
    <w:p w:rsidR="00D045B5" w:rsidRPr="00D045B5" w:rsidRDefault="00D045B5" w:rsidP="00D045B5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bookmarkStart w:id="11" w:name="a5"/>
      <w:bookmarkEnd w:id="11"/>
      <w:r w:rsidRPr="00D045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5º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As empresas que se instalarem no </w:t>
      </w:r>
      <w:proofErr w:type="spellStart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Pólo</w:t>
      </w:r>
      <w:proofErr w:type="spellEnd"/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Industrial do Município de São Domingos do Norte terão isenção de Imposto Predial e Territorial Urbano pelo </w:t>
      </w:r>
      <w:r w:rsidRPr="00D045B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prazo de 10 (dez) anos, a partir do início de suas atividades. 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</w:t>
      </w:r>
      <w:hyperlink r:id="rId38" w:anchor="a1" w:history="1">
        <w:r w:rsidRPr="00D045B5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Redação dada pela Lei nº 760/2013</w:t>
        </w:r>
      </w:hyperlink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 Lei entra em vigor na data de sua publicação.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ind w:firstLine="144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7º</w:t>
      </w: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Revogam-se as disposições em contrário.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Publique e Cumpra-se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Gabinete do Prefeito Municipal de São Domingos do Norte - ES, 11 de </w:t>
      </w:r>
      <w:proofErr w:type="gramStart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Outubro</w:t>
      </w:r>
      <w:proofErr w:type="gramEnd"/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2013.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JOSÉ GERALDO GUIDONI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PREFEITO MUNICIPAL</w:t>
      </w:r>
    </w:p>
    <w:p w:rsidR="00D045B5" w:rsidRPr="00D045B5" w:rsidRDefault="00D045B5" w:rsidP="00D045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D045B5" w:rsidRPr="00D045B5" w:rsidRDefault="00D045B5" w:rsidP="00D045B5">
      <w:pPr>
        <w:spacing w:after="0" w:line="240" w:lineRule="auto"/>
        <w:jc w:val="center"/>
        <w:outlineLvl w:val="6"/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</w:pPr>
      <w:r w:rsidRPr="00D045B5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Este texto não substitui o original publicado e arquivado na Prefeitura Municipal de São Domingos do Norte.</w:t>
      </w:r>
    </w:p>
    <w:p w:rsidR="00073315" w:rsidRDefault="00073315"/>
    <w:sectPr w:rsidR="00073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5"/>
    <w:rsid w:val="00073315"/>
    <w:rsid w:val="00D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EED3-DF9E-4F64-95E0-9773595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0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7">
    <w:name w:val="heading 7"/>
    <w:basedOn w:val="Normal"/>
    <w:link w:val="Ttulo7Char"/>
    <w:uiPriority w:val="9"/>
    <w:qFormat/>
    <w:rsid w:val="00D045B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045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D045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5B5"/>
    <w:rPr>
      <w:color w:val="0000FF"/>
      <w:u w:val="single"/>
    </w:rPr>
  </w:style>
  <w:style w:type="character" w:customStyle="1" w:styleId="spelle">
    <w:name w:val="spelle"/>
    <w:basedOn w:val="Fontepargpadro"/>
    <w:rsid w:val="00D045B5"/>
  </w:style>
  <w:style w:type="paragraph" w:customStyle="1" w:styleId="a3-corpodotexto">
    <w:name w:val="a3-corpodotexto"/>
    <w:basedOn w:val="Normal"/>
    <w:rsid w:val="00D0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45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D0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domingosdonorte.legislacaocompilada.com.br/Arquivo/Documents/legislacao/html/L7502013.html" TargetMode="External"/><Relationship Id="rId13" Type="http://schemas.openxmlformats.org/officeDocument/2006/relationships/hyperlink" Target="https://saodomingosdonorte.legislacaocompilada.com.br/Arquivo/Documents/legislacao/html/L10192021.html" TargetMode="External"/><Relationship Id="rId18" Type="http://schemas.openxmlformats.org/officeDocument/2006/relationships/hyperlink" Target="https://saodomingosdonorte.legislacaocompilada.com.br/Arquivo/Documents/legislacao/html/L10192021.html" TargetMode="External"/><Relationship Id="rId26" Type="http://schemas.openxmlformats.org/officeDocument/2006/relationships/hyperlink" Target="https://saodomingosdonorte.legislacaocompilada.com.br/Arquivo/Documents/legislacao/html/L10192021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aodomingosdonorte.legislacaocompilada.com.br/Arquivo/Documents/legislacao/html/L10192021.html" TargetMode="External"/><Relationship Id="rId34" Type="http://schemas.openxmlformats.org/officeDocument/2006/relationships/hyperlink" Target="https://saodomingosdonorte.legislacaocompilada.com.br/Arquivo/Documents/legislacao/html/L10192021.html" TargetMode="External"/><Relationship Id="rId7" Type="http://schemas.openxmlformats.org/officeDocument/2006/relationships/hyperlink" Target="https://saodomingosdonorte.legislacaocompilada.com.br/Arquivo/Documents/legislacao/html/L7502013.html" TargetMode="External"/><Relationship Id="rId12" Type="http://schemas.openxmlformats.org/officeDocument/2006/relationships/hyperlink" Target="https://saodomingosdonorte.legislacaocompilada.com.br/Arquivo/Documents/legislacao/html/L10192021.html" TargetMode="External"/><Relationship Id="rId17" Type="http://schemas.openxmlformats.org/officeDocument/2006/relationships/hyperlink" Target="https://saodomingosdonorte.legislacaocompilada.com.br/Arquivo/Documents/legislacao/html/L10192021.html" TargetMode="External"/><Relationship Id="rId25" Type="http://schemas.openxmlformats.org/officeDocument/2006/relationships/hyperlink" Target="https://saodomingosdonorte.legislacaocompilada.com.br/Arquivo/Documents/legislacao/html/L10192021.html" TargetMode="External"/><Relationship Id="rId33" Type="http://schemas.openxmlformats.org/officeDocument/2006/relationships/hyperlink" Target="https://saodomingosdonorte.legislacaocompilada.com.br/Arquivo/Documents/legislacao/html/L7602013.html" TargetMode="External"/><Relationship Id="rId38" Type="http://schemas.openxmlformats.org/officeDocument/2006/relationships/hyperlink" Target="https://saodomingosdonorte.legislacaocompilada.com.br/Arquivo/Documents/legislacao/html/L760201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odomingosdonorte.legislacaocompilada.com.br/Arquivo/Documents/legislacao/html/L10192021.html" TargetMode="External"/><Relationship Id="rId20" Type="http://schemas.openxmlformats.org/officeDocument/2006/relationships/hyperlink" Target="https://saodomingosdonorte.legislacaocompilada.com.br/Arquivo/Documents/legislacao/html/L10192021.html" TargetMode="External"/><Relationship Id="rId29" Type="http://schemas.openxmlformats.org/officeDocument/2006/relationships/hyperlink" Target="https://saodomingosdonorte.legislacaocompilada.com.br/Arquivo/Documents/legislacao/html/L1019202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aodomingosdonorte.legislacaocompilada.com.br/Arquivo/Documents/legislacao/html/L7882014.html" TargetMode="External"/><Relationship Id="rId11" Type="http://schemas.openxmlformats.org/officeDocument/2006/relationships/hyperlink" Target="https://saodomingosdonorte.legislacaocompilada.com.br/Arquivo/Documents/legislacao/html/L10192021.html" TargetMode="External"/><Relationship Id="rId24" Type="http://schemas.openxmlformats.org/officeDocument/2006/relationships/hyperlink" Target="https://saodomingosdonorte.legislacaocompilada.com.br/Arquivo/Documents/legislacao/html/L10192021.html" TargetMode="External"/><Relationship Id="rId32" Type="http://schemas.openxmlformats.org/officeDocument/2006/relationships/hyperlink" Target="https://saodomingosdonorte.legislacaocompilada.com.br/Arquivo/Documents/legislacao/html/L10192021.html" TargetMode="External"/><Relationship Id="rId37" Type="http://schemas.openxmlformats.org/officeDocument/2006/relationships/hyperlink" Target="https://saodomingosdonorte.legislacaocompilada.com.br/Arquivo/Documents/legislacao/html/L7602013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aodomingosdonorte.legislacaocompilada.com.br/Arquivo/Documents/legislacao/html_impressao/L7482013.html" TargetMode="External"/><Relationship Id="rId15" Type="http://schemas.openxmlformats.org/officeDocument/2006/relationships/hyperlink" Target="https://saodomingosdonorte.legislacaocompilada.com.br/Arquivo/Documents/legislacao/html/L10192021.html" TargetMode="External"/><Relationship Id="rId23" Type="http://schemas.openxmlformats.org/officeDocument/2006/relationships/hyperlink" Target="https://saodomingosdonorte.legislacaocompilada.com.br/Arquivo/Documents/legislacao/html/L10192021.html" TargetMode="External"/><Relationship Id="rId28" Type="http://schemas.openxmlformats.org/officeDocument/2006/relationships/hyperlink" Target="https://saodomingosdonorte.legislacaocompilada.com.br/Arquivo/Documents/legislacao/html/L10192021.html" TargetMode="External"/><Relationship Id="rId36" Type="http://schemas.openxmlformats.org/officeDocument/2006/relationships/hyperlink" Target="https://saodomingosdonorte.legislacaocompilada.com.br/Arquivo/Documents/legislacao/html/L10192021.html" TargetMode="External"/><Relationship Id="rId10" Type="http://schemas.openxmlformats.org/officeDocument/2006/relationships/hyperlink" Target="https://saodomingosdonorte.legislacaocompilada.com.br/Arquivo/Documents/legislacao/html/L10192021.html" TargetMode="External"/><Relationship Id="rId19" Type="http://schemas.openxmlformats.org/officeDocument/2006/relationships/hyperlink" Target="https://saodomingosdonorte.legislacaocompilada.com.br/Arquivo/Documents/legislacao/html/L10192021.html" TargetMode="External"/><Relationship Id="rId31" Type="http://schemas.openxmlformats.org/officeDocument/2006/relationships/hyperlink" Target="https://saodomingosdonorte.legislacaocompilada.com.br/Arquivo/Documents/legislacao/html/L7602013.html" TargetMode="External"/><Relationship Id="rId4" Type="http://schemas.openxmlformats.org/officeDocument/2006/relationships/hyperlink" Target="https://saodomingosdonorte.legislacaocompilada.com.br/Arquivo/Documents/legislacao/html/L7882014.html" TargetMode="External"/><Relationship Id="rId9" Type="http://schemas.openxmlformats.org/officeDocument/2006/relationships/hyperlink" Target="https://saodomingosdonorte.legislacaocompilada.com.br/Arquivo/Documents/legislacao/html/L7942014.html" TargetMode="External"/><Relationship Id="rId14" Type="http://schemas.openxmlformats.org/officeDocument/2006/relationships/hyperlink" Target="https://saodomingosdonorte.legislacaocompilada.com.br/Arquivo/Documents/legislacao/html/L10192021.html" TargetMode="External"/><Relationship Id="rId22" Type="http://schemas.openxmlformats.org/officeDocument/2006/relationships/hyperlink" Target="https://saodomingosdonorte.legislacaocompilada.com.br/Arquivo/Documents/legislacao/html/L10192021.html" TargetMode="External"/><Relationship Id="rId27" Type="http://schemas.openxmlformats.org/officeDocument/2006/relationships/hyperlink" Target="https://saodomingosdonorte.legislacaocompilada.com.br/Arquivo/Documents/legislacao/html/L10192021.html" TargetMode="External"/><Relationship Id="rId30" Type="http://schemas.openxmlformats.org/officeDocument/2006/relationships/hyperlink" Target="https://saodomingosdonorte.legislacaocompilada.com.br/Arquivo/Documents/legislacao/html/L10192021.html" TargetMode="External"/><Relationship Id="rId35" Type="http://schemas.openxmlformats.org/officeDocument/2006/relationships/hyperlink" Target="https://saodomingosdonorte.legislacaocompilada.com.br/Arquivo/Documents/legislacao/html/L7602013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2025-05-19T14:17:00Z</dcterms:created>
  <dcterms:modified xsi:type="dcterms:W3CDTF">2025-05-19T14:18:00Z</dcterms:modified>
</cp:coreProperties>
</file>