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pacing w:after="200" w:line="360" w:lineRule="auto"/>
        <w:ind w:left="1984" w:firstLine="0"/>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tl w:val="0"/>
        </w:rPr>
        <w:t>Ata nº06/2023 da Reunião Extraordinária do Conselho Municipal de Políticas Culturais de Santa Maria de Jetibá - ES</w:t>
      </w: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Aos nove (09) dias do mês de novembro (11</w:t>
      </w:r>
      <w:bookmarkStart w:id="0" w:name="_GoBack"/>
      <w:bookmarkEnd w:id="0"/>
      <w:r>
        <w:rPr>
          <w:rFonts w:ascii="Times New Roman" w:hAnsi="Times New Roman" w:eastAsia="Times New Roman" w:cs="Times New Roman"/>
          <w:sz w:val="24"/>
          <w:szCs w:val="24"/>
          <w:rtl w:val="0"/>
        </w:rPr>
        <w:t xml:space="preserve">) de dois mil e vinte e três (2023), às treze horas  (08:00h), na Secretaria Municipal de Cultura e Turismo, reuniram-se alguns membros do Conselho municipal de Políticas Culturais de Santa Maria de Jetibá/ES, com a finalidade de discutir a respeito da Lei Paulo Gustavo e Plano Municipal de Cultura. O grupo presente é composto pelos membros, conforme lista de presença assinada digitalmente, eleitos e nomeados por meio do Decreto Municipal nº 2180/2019, conforme Lei Municipal 2160/2018 que cria o Sistema Municipal de Cultura de Santa Maria de Jetibá. </w:t>
      </w: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Esta reunião contou também com a presença de representantes da cidade de São Roque do Canaã e Itarana, para destrinchar alguns tópicos da LPG em conjunto, a fim de que os municípios se ajudem mutuamente, logo, a fala de abertura é proferida pelo membro do conselho por parte da administração pública municipal, Renato Strelow, que lê as informações contidas na Lei Paulo Gustavo e assim os membros e convidados presentes se envolvem na discussão, esclarecem determinados pontos e dão sequência ao assunto.</w:t>
      </w: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 Plano Municipal de Cultura é mencionado por hora, no entanto, não houve tempo hábil para que se fosse discutido com maior profundidade, ficando então como pauta para próxima reunião, visto também que poucas pessoas do conselho estiveram presentes.</w:t>
      </w: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É importante ressaltar também que na reunião a qual se destina esta ata houve um café colonial para receber os convidados dos municípios vizinhos e recebê-los calorosamente, como forma de agradecimento pela sua participação e ajuda com a Lei Paulo Gustavo.</w:t>
      </w: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Não havendo mais assuntos a tratar, é agradecida a presença de todos e está encerrada a reunião, às nove horas e quarenta e quatro minutos (09h44min), e eu, Katielle Maria Detemam, lavrei a presente ata. </w:t>
      </w:r>
    </w:p>
    <w:p>
      <w:pPr>
        <w:pageBreakBefore w:val="0"/>
        <w:tabs>
          <w:tab w:val="center" w:pos="4252"/>
          <w:tab w:val="center" w:pos="4419"/>
          <w:tab w:val="right" w:pos="8504"/>
          <w:tab w:val="right" w:pos="8838"/>
        </w:tabs>
        <w:spacing w:line="360" w:lineRule="auto"/>
        <w:ind w:firstLine="851"/>
        <w:jc w:val="both"/>
        <w:rPr>
          <w:rFonts w:ascii="Times New Roman" w:hAnsi="Times New Roman" w:eastAsia="Times New Roman" w:cs="Times New Roman"/>
          <w:sz w:val="24"/>
          <w:szCs w:val="24"/>
        </w:rPr>
      </w:pPr>
    </w:p>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098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uiPriority w:val="0"/>
    <w:pPr>
      <w:keepNext/>
      <w:keepLines/>
      <w:pageBreakBefore w:val="0"/>
      <w:spacing w:before="0" w:after="60"/>
    </w:pPr>
    <w:rPr>
      <w:sz w:val="52"/>
      <w:szCs w:val="52"/>
    </w:rPr>
  </w:style>
  <w:style w:type="paragraph" w:styleId="11">
    <w:name w:val="Subtitle"/>
    <w:basedOn w:val="1"/>
    <w:next w:val="1"/>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Office_11.2.0.11074_F1E327BC-269C-435d-A152-05C5408002CA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2024-09-05T16:29:56Z</dcterms:created>
  <dc:creator>nilton.capaz</dc:creator>
  <cp:lastModifiedBy>nilton.capaz</cp:lastModifiedBy>
  <dcterms:modified xsi:type="dcterms:W3CDTF">2024-09-05T16:38:53Z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1046-11.2.0.11074</vt:lpwstr>
  </property>
  <property fmtid="{D5CDD505-2E9C-101B-9397-08002B2CF9AE}" pid="3" name="ICV">
    <vt:lpwstr>C8ABE5983C6D4FDA8A2CB7BFC44B93E1</vt:lpwstr>
  </property>
</Properties>
</file>