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after="200" w:line="360" w:lineRule="auto"/>
        <w:ind w:left="1984" w:firstLine="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tl w:val="0"/>
        </w:rPr>
        <w:t>Ata nº01/2024 da Reunião Extraordinária do Conselho Municipal de Políticas Culturais de Santa Maria de Jetibá - ES</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Aos quinze (15) dias do mês de abril (01) de dois mil e vinte e quatro (2024), às dezoito horas (18:00h), na Secretaria Municipal de Cultura e Turismo, reuniram-se os membros do Conselho municipal de Políticas Culturais de Santa Maria de Jetibá/ES, com a seguinte pauta:</w:t>
      </w:r>
    </w:p>
    <w:p>
      <w:pPr>
        <w:pageBreakBefore w:val="0"/>
        <w:numPr>
          <w:ilvl w:val="0"/>
          <w:numId w:val="1"/>
        </w:numPr>
        <w:tabs>
          <w:tab w:val="center" w:pos="4252"/>
          <w:tab w:val="center" w:pos="4419"/>
          <w:tab w:val="right" w:pos="8504"/>
          <w:tab w:val="right" w:pos="8838"/>
        </w:tabs>
        <w:spacing w:line="360" w:lineRule="auto"/>
        <w:ind w:left="144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Plano Fundo a Fundo</w:t>
      </w:r>
    </w:p>
    <w:p>
      <w:pPr>
        <w:pageBreakBefore w:val="0"/>
        <w:numPr>
          <w:ilvl w:val="0"/>
          <w:numId w:val="1"/>
        </w:numPr>
        <w:tabs>
          <w:tab w:val="center" w:pos="4252"/>
          <w:tab w:val="center" w:pos="4419"/>
          <w:tab w:val="right" w:pos="8504"/>
          <w:tab w:val="right" w:pos="8838"/>
        </w:tabs>
        <w:spacing w:line="360" w:lineRule="auto"/>
        <w:ind w:left="144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Criação de plano anual de aplicação de recursos</w:t>
      </w:r>
    </w:p>
    <w:p>
      <w:pPr>
        <w:pageBreakBefore w:val="0"/>
        <w:numPr>
          <w:ilvl w:val="0"/>
          <w:numId w:val="1"/>
        </w:numPr>
        <w:tabs>
          <w:tab w:val="center" w:pos="4252"/>
          <w:tab w:val="center" w:pos="4419"/>
          <w:tab w:val="right" w:pos="8504"/>
          <w:tab w:val="right" w:pos="8838"/>
        </w:tabs>
        <w:spacing w:line="360" w:lineRule="auto"/>
        <w:ind w:left="144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Lei de incentivo à cultura</w:t>
      </w:r>
    </w:p>
    <w:p>
      <w:pPr>
        <w:pageBreakBefore w:val="0"/>
        <w:numPr>
          <w:ilvl w:val="0"/>
          <w:numId w:val="1"/>
        </w:numPr>
        <w:tabs>
          <w:tab w:val="center" w:pos="4252"/>
          <w:tab w:val="center" w:pos="4419"/>
          <w:tab w:val="right" w:pos="8504"/>
          <w:tab w:val="right" w:pos="8838"/>
        </w:tabs>
        <w:spacing w:line="360" w:lineRule="auto"/>
        <w:ind w:left="144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 xml:space="preserve">Festa Pomerana </w:t>
      </w:r>
    </w:p>
    <w:p>
      <w:pPr>
        <w:pageBreakBefore w:val="0"/>
        <w:numPr>
          <w:ilvl w:val="0"/>
          <w:numId w:val="1"/>
        </w:numPr>
        <w:tabs>
          <w:tab w:val="center" w:pos="4252"/>
          <w:tab w:val="center" w:pos="4419"/>
          <w:tab w:val="right" w:pos="8504"/>
          <w:tab w:val="right" w:pos="8838"/>
        </w:tabs>
        <w:spacing w:line="360" w:lineRule="auto"/>
        <w:ind w:left="144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Eleição de nova presidência para o conselho</w:t>
      </w:r>
    </w:p>
    <w:p>
      <w:pPr>
        <w:pageBreakBefore w:val="0"/>
        <w:tabs>
          <w:tab w:val="center" w:pos="4252"/>
          <w:tab w:val="center" w:pos="4419"/>
          <w:tab w:val="right" w:pos="8504"/>
          <w:tab w:val="right" w:pos="8838"/>
        </w:tabs>
        <w:spacing w:line="36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O grupo presente é composto pelos membros, conforme lista de presença assinada digitalmente, eleitos e nomeados por meio do Decreto Municipal nº 2180/2019, conforme Lei Municipal 2160/2018 que cria o Sistema Municipal de Cultura de Santa Maria de Jetibá.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assunto inicial gira em torno do Plano Fundo a Fundo, e é exposto que o Estado liberou a quantia de R$</w:t>
      </w:r>
      <w:r>
        <w:rPr>
          <w:rFonts w:hint="default" w:ascii="Times New Roman" w:hAnsi="Times New Roman" w:eastAsia="Times New Roman" w:cs="Times New Roman"/>
          <w:sz w:val="24"/>
          <w:szCs w:val="24"/>
          <w:rtl w:val="0"/>
          <w:lang w:val="pt-BR"/>
        </w:rPr>
        <w:t xml:space="preserve"> </w:t>
      </w:r>
      <w:r>
        <w:rPr>
          <w:rFonts w:ascii="Times New Roman" w:hAnsi="Times New Roman" w:eastAsia="Times New Roman" w:cs="Times New Roman"/>
          <w:sz w:val="24"/>
          <w:szCs w:val="24"/>
          <w:rtl w:val="0"/>
        </w:rPr>
        <w:t>140.000,00 pela iniciativa FUNCULTURA, com a contrapartida de R$</w:t>
      </w:r>
      <w:r>
        <w:rPr>
          <w:rFonts w:hint="default" w:ascii="Times New Roman" w:hAnsi="Times New Roman" w:eastAsia="Times New Roman" w:cs="Times New Roman"/>
          <w:sz w:val="24"/>
          <w:szCs w:val="24"/>
          <w:rtl w:val="0"/>
          <w:lang w:val="pt-BR"/>
        </w:rPr>
        <w:t xml:space="preserve"> </w:t>
      </w:r>
      <w:r>
        <w:rPr>
          <w:rFonts w:ascii="Times New Roman" w:hAnsi="Times New Roman" w:eastAsia="Times New Roman" w:cs="Times New Roman"/>
          <w:sz w:val="24"/>
          <w:szCs w:val="24"/>
          <w:rtl w:val="0"/>
        </w:rPr>
        <w:t>79.000, por parte do município, totalizando R$</w:t>
      </w:r>
      <w:r>
        <w:rPr>
          <w:rFonts w:hint="default" w:ascii="Times New Roman" w:hAnsi="Times New Roman" w:eastAsia="Times New Roman" w:cs="Times New Roman"/>
          <w:sz w:val="24"/>
          <w:szCs w:val="24"/>
          <w:rtl w:val="0"/>
          <w:lang w:val="pt-BR"/>
        </w:rPr>
        <w:t xml:space="preserve"> </w:t>
      </w:r>
      <w:r>
        <w:rPr>
          <w:rFonts w:ascii="Times New Roman" w:hAnsi="Times New Roman" w:eastAsia="Times New Roman" w:cs="Times New Roman"/>
          <w:sz w:val="24"/>
          <w:szCs w:val="24"/>
          <w:rtl w:val="0"/>
        </w:rPr>
        <w:t xml:space="preserve">220.000,00 (quantia arredondada) disponível para fomento a cultura. Em seguida, Renato destrincha os eixos de premiações para o edital  do Plano Fundo a Fundo que foram definidos em reuniões no ano de 2023 e que serão abertos em breve para inscrições por 30 dias, deixando claro que o tópico em questão já está encaminhado e definido.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Na sequência é comentado a respeito da elaboração de um plano anual de aplicação de recursos, com a finalidade de melhorar o controle dos recursos recebidos. Este plano já possui um esboço pré definido, por tanto a maior ação seria a divisão de valores e definição do que será abrangido na diversidade cultural. Durante a discussão também é mencionada a importância de uma Lei de Tombamento para o município - que objetiva regulamentar os bens materiais e imateriais da cultura pomerana e garantir recursos da LICC (Lei de Incentivo a Cultura Capixaba) - , bem como a criação de uma Lei de Incentivo à cultura própria para o município.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Um assunto muito comentado pela população da cidade e que esteve em discussão durante a reunião foi a mudança de data da Festa Pomerana. O conselho cobra devidas explicações da secretaria de cultura a respeito da alteração e é informado que houve uma falta de organização por parte do poder público do município devido a atrasos com as licitações que foram deixadas para última hora, além de outras questões como indefinição do local, que poderia ou não ocorrer no novo pátio de festas.</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Sem mais assuntos para discutir, a reunião toma rumo para a eleição da nova diretoria, onde então o membro Renato Strelow se candidata a presidência do conselho, membro Guisla se candidata a vice -presidência, membro Sheila se candidata à secretária e membro Katielle se candidata à vice-secretária. Não houve mais candidatos, por tanto fica ele</w:t>
      </w:r>
      <w:r>
        <w:rPr>
          <w:rFonts w:hint="default" w:ascii="Times New Roman" w:hAnsi="Times New Roman" w:eastAsia="Times New Roman" w:cs="Times New Roman"/>
          <w:sz w:val="24"/>
          <w:szCs w:val="24"/>
          <w:rtl w:val="0"/>
          <w:lang w:val="pt-BR"/>
        </w:rPr>
        <w:t>ita</w:t>
      </w:r>
      <w:r>
        <w:rPr>
          <w:rFonts w:ascii="Times New Roman" w:hAnsi="Times New Roman" w:eastAsia="Times New Roman" w:cs="Times New Roman"/>
          <w:sz w:val="24"/>
          <w:szCs w:val="24"/>
          <w:rtl w:val="0"/>
        </w:rPr>
        <w:t xml:space="preserve"> a nova diretoria do conselho conforme se segue:</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p>
    <w:p>
      <w:pPr>
        <w:pageBreakBefore w:val="0"/>
        <w:tabs>
          <w:tab w:val="center" w:pos="4252"/>
          <w:tab w:val="center" w:pos="4419"/>
          <w:tab w:val="right" w:pos="8504"/>
          <w:tab w:val="right" w:pos="8838"/>
        </w:tabs>
        <w:spacing w:line="360" w:lineRule="auto"/>
        <w:ind w:firstLine="851"/>
        <w:jc w:val="both"/>
        <w:rPr>
          <w:rFonts w:hint="default" w:ascii="Times New Roman" w:hAnsi="Times New Roman" w:eastAsia="Times New Roman" w:cs="Times New Roman"/>
          <w:sz w:val="24"/>
          <w:szCs w:val="24"/>
          <w:lang w:val="pt-BR"/>
        </w:rPr>
      </w:pPr>
      <w:r>
        <w:rPr>
          <w:rFonts w:ascii="Times New Roman" w:hAnsi="Times New Roman" w:eastAsia="Times New Roman" w:cs="Times New Roman"/>
          <w:sz w:val="24"/>
          <w:szCs w:val="24"/>
          <w:rtl w:val="0"/>
        </w:rPr>
        <w:t>Presidente - Renato</w:t>
      </w:r>
      <w:r>
        <w:rPr>
          <w:rFonts w:hint="default" w:ascii="Times New Roman" w:hAnsi="Times New Roman" w:eastAsia="Times New Roman" w:cs="Times New Roman"/>
          <w:sz w:val="24"/>
          <w:szCs w:val="24"/>
          <w:rtl w:val="0"/>
          <w:lang w:val="pt-BR"/>
        </w:rPr>
        <w:t xml:space="preserve"> </w:t>
      </w:r>
      <w:r>
        <w:rPr>
          <w:rFonts w:ascii="Times New Roman" w:hAnsi="Times New Roman" w:eastAsia="Times New Roman" w:cs="Times New Roman"/>
          <w:sz w:val="24"/>
          <w:szCs w:val="24"/>
          <w:rtl w:val="0"/>
        </w:rPr>
        <w:t>Strelow</w:t>
      </w:r>
    </w:p>
    <w:p>
      <w:pPr>
        <w:pageBreakBefore w:val="0"/>
        <w:tabs>
          <w:tab w:val="center" w:pos="4252"/>
          <w:tab w:val="center" w:pos="4419"/>
          <w:tab w:val="right" w:pos="8504"/>
          <w:tab w:val="right" w:pos="8838"/>
        </w:tabs>
        <w:spacing w:line="360" w:lineRule="auto"/>
        <w:ind w:firstLine="851"/>
        <w:jc w:val="both"/>
        <w:rPr>
          <w:rFonts w:hint="default" w:ascii="Times New Roman" w:hAnsi="Times New Roman" w:eastAsia="Times New Roman" w:cs="Times New Roman"/>
          <w:sz w:val="24"/>
          <w:szCs w:val="24"/>
          <w:lang w:val="pt-BR"/>
        </w:rPr>
      </w:pPr>
      <w:r>
        <w:rPr>
          <w:rFonts w:ascii="Times New Roman" w:hAnsi="Times New Roman" w:eastAsia="Times New Roman" w:cs="Times New Roman"/>
          <w:sz w:val="24"/>
          <w:szCs w:val="24"/>
          <w:rtl w:val="0"/>
        </w:rPr>
        <w:t>Vice-presidente -  Guisla</w:t>
      </w:r>
      <w:r>
        <w:rPr>
          <w:rFonts w:hint="default" w:ascii="Times New Roman" w:hAnsi="Times New Roman" w:eastAsia="Times New Roman" w:cs="Times New Roman"/>
          <w:sz w:val="24"/>
          <w:szCs w:val="24"/>
          <w:rtl w:val="0"/>
          <w:lang w:val="pt-BR"/>
        </w:rPr>
        <w:t xml:space="preserve"> Böening Flegler</w:t>
      </w:r>
    </w:p>
    <w:p>
      <w:pPr>
        <w:pageBreakBefore w:val="0"/>
        <w:tabs>
          <w:tab w:val="center" w:pos="4252"/>
          <w:tab w:val="center" w:pos="4419"/>
          <w:tab w:val="right" w:pos="8504"/>
          <w:tab w:val="right" w:pos="8838"/>
        </w:tabs>
        <w:spacing w:line="360" w:lineRule="auto"/>
        <w:ind w:firstLine="851"/>
        <w:jc w:val="both"/>
        <w:rPr>
          <w:rFonts w:hint="default" w:ascii="Times New Roman" w:hAnsi="Times New Roman" w:eastAsia="Times New Roman" w:cs="Times New Roman"/>
          <w:sz w:val="24"/>
          <w:szCs w:val="24"/>
          <w:lang w:val="pt-BR"/>
        </w:rPr>
      </w:pPr>
      <w:r>
        <w:rPr>
          <w:rFonts w:ascii="Times New Roman" w:hAnsi="Times New Roman" w:eastAsia="Times New Roman" w:cs="Times New Roman"/>
          <w:sz w:val="24"/>
          <w:szCs w:val="24"/>
          <w:rtl w:val="0"/>
        </w:rPr>
        <w:t>Secretária - Sheila</w:t>
      </w:r>
      <w:r>
        <w:rPr>
          <w:rFonts w:hint="default" w:ascii="Times New Roman" w:hAnsi="Times New Roman" w:eastAsia="Times New Roman" w:cs="Times New Roman"/>
          <w:sz w:val="24"/>
          <w:szCs w:val="24"/>
          <w:rtl w:val="0"/>
          <w:lang w:val="pt-BR"/>
        </w:rPr>
        <w:t xml:space="preserve"> Kempim</w:t>
      </w:r>
      <w:bookmarkStart w:id="0" w:name="_GoBack"/>
      <w:bookmarkEnd w:id="0"/>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Vice-secretária - Katielle Maria Detemam</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Logo após a eleição, que ocorreu de forma unânime e pleno acordo entre os participantes, também se sugere a substituição de alguns membros para os devidos segmentos do conselho e que durante a semana que se segue sejam encaminhados ofícios para as secretarias com indicações das substituições, para fazer a nova composição de membros. O membro Hilderson sugere que após a homologação da nova diretoria, esta possa atuar em conjunto e harmonia com a secretaria de cultura e principalmente vice-versa, para que ambos caminhem lado a lado em prol da cultura do município, garantindo uma parceria mais ativa. Também entra em pauta neste momento um pedido do conselho de que se encaminhe um ofício para os servidores públicos que não foram ativos no conselho, com pleno acordo do prefeito do município, para que sejam tomadas as devidas providências.</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Não havendo mais assuntos a tratar, é agradecida a presença de todos e está encerrada a reunião, às dezenove horas e cinquenta minutos (19h50min), e eu, Katielle Maria Detemam, lavrei a presente ata.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DCD0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Office_11.2.0.11074_F1E327BC-269C-435d-A152-05C5408002CA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2024-09-05T16:27:18Z</dcterms:created>
  <dc:creator>nilton.capaz</dc:creator>
  <cp:lastModifiedBy>nilton.capaz</cp:lastModifiedBy>
  <dcterms:modified xsi:type="dcterms:W3CDTF">2024-09-05T16:35:17Z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05DE594B33434144B55826B25E310BBB</vt:lpwstr>
  </property>
</Properties>
</file>