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line="413" w:lineRule="exact" w:before="249"/>
        <w:ind w:left="4243" w:right="3333" w:firstLine="0"/>
        <w:jc w:val="center"/>
        <w:rPr>
          <w:sz w:val="36"/>
        </w:rPr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303155</wp:posOffset>
            </wp:positionH>
            <wp:positionV relativeFrom="paragraph">
              <wp:posOffset>-209627</wp:posOffset>
            </wp:positionV>
            <wp:extent cx="912877" cy="1257300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2877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Prefeitura</w:t>
      </w:r>
      <w:r>
        <w:rPr>
          <w:spacing w:val="-4"/>
          <w:sz w:val="36"/>
        </w:rPr>
        <w:t> </w:t>
      </w:r>
      <w:r>
        <w:rPr>
          <w:sz w:val="36"/>
        </w:rPr>
        <w:t>Municipal de</w:t>
      </w:r>
      <w:r>
        <w:rPr>
          <w:spacing w:val="-3"/>
          <w:sz w:val="36"/>
        </w:rPr>
        <w:t> </w:t>
      </w:r>
      <w:r>
        <w:rPr>
          <w:sz w:val="36"/>
        </w:rPr>
        <w:t>Santa Maria</w:t>
      </w:r>
      <w:r>
        <w:rPr>
          <w:spacing w:val="-4"/>
          <w:sz w:val="36"/>
        </w:rPr>
        <w:t> </w:t>
      </w:r>
      <w:r>
        <w:rPr>
          <w:sz w:val="36"/>
        </w:rPr>
        <w:t>de Jetibá</w:t>
      </w:r>
    </w:p>
    <w:p>
      <w:pPr>
        <w:spacing w:line="275" w:lineRule="exact" w:before="0"/>
        <w:ind w:left="4243" w:right="3339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Secretaria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Saúde</w:t>
      </w: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spacing w:before="2"/>
        <w:rPr>
          <w:rFonts w:ascii="Arial"/>
          <w:b/>
          <w:sz w:val="36"/>
        </w:rPr>
      </w:pPr>
    </w:p>
    <w:p>
      <w:pPr>
        <w:pStyle w:val="Title"/>
      </w:pPr>
      <w:r>
        <w:rPr/>
        <w:t>PROGRAMAÇÃO ANUAL DE SAÚDE</w:t>
      </w:r>
      <w:r>
        <w:rPr>
          <w:spacing w:val="-121"/>
        </w:rPr>
        <w:t> </w:t>
      </w:r>
      <w:r>
        <w:rPr/>
        <w:t>2024</w:t>
      </w:r>
    </w:p>
    <w:p>
      <w:pPr>
        <w:pStyle w:val="BodyText"/>
        <w:rPr>
          <w:rFonts w:ascii="Arial"/>
          <w:b/>
          <w:sz w:val="50"/>
        </w:rPr>
      </w:pPr>
    </w:p>
    <w:p>
      <w:pPr>
        <w:pStyle w:val="BodyText"/>
        <w:rPr>
          <w:rFonts w:ascii="Arial"/>
          <w:b/>
          <w:sz w:val="50"/>
        </w:rPr>
      </w:pPr>
    </w:p>
    <w:p>
      <w:pPr>
        <w:pStyle w:val="BodyText"/>
        <w:rPr>
          <w:rFonts w:ascii="Arial"/>
          <w:b/>
          <w:sz w:val="50"/>
        </w:rPr>
      </w:pPr>
    </w:p>
    <w:p>
      <w:pPr>
        <w:pStyle w:val="BodyText"/>
        <w:spacing w:before="11"/>
        <w:rPr>
          <w:rFonts w:ascii="Arial"/>
          <w:b/>
          <w:sz w:val="61"/>
        </w:rPr>
      </w:pPr>
    </w:p>
    <w:p>
      <w:pPr>
        <w:pStyle w:val="BodyText"/>
        <w:ind w:left="4081" w:right="3828"/>
        <w:jc w:val="center"/>
      </w:pPr>
      <w:r>
        <w:rPr/>
        <w:t>Santa</w:t>
      </w:r>
      <w:r>
        <w:rPr>
          <w:spacing w:val="-3"/>
        </w:rPr>
        <w:t> </w:t>
      </w:r>
      <w:r>
        <w:rPr/>
        <w:t>Maria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Jetibá</w:t>
      </w:r>
    </w:p>
    <w:p>
      <w:pPr>
        <w:spacing w:before="1"/>
        <w:ind w:left="4077" w:right="3828" w:firstLine="0"/>
        <w:jc w:val="center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Março</w:t>
      </w:r>
      <w:r>
        <w:rPr>
          <w:rFonts w:ascii="Arial" w:hAnsi="Arial"/>
          <w:b/>
          <w:spacing w:val="-3"/>
          <w:sz w:val="18"/>
        </w:rPr>
        <w:t> </w:t>
      </w:r>
      <w:r>
        <w:rPr>
          <w:rFonts w:ascii="Arial" w:hAnsi="Arial"/>
          <w:b/>
          <w:sz w:val="18"/>
        </w:rPr>
        <w:t>2024</w:t>
      </w:r>
    </w:p>
    <w:p>
      <w:pPr>
        <w:spacing w:after="0"/>
        <w:jc w:val="center"/>
        <w:rPr>
          <w:rFonts w:ascii="Arial" w:hAnsi="Arial"/>
          <w:sz w:val="18"/>
        </w:rPr>
        <w:sectPr>
          <w:type w:val="continuous"/>
          <w:pgSz w:w="16840" w:h="11900" w:orient="landscape"/>
          <w:pgMar w:top="1100" w:bottom="280" w:left="360" w:right="600"/>
        </w:sect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"/>
        <w:rPr>
          <w:rFonts w:ascii="Arial"/>
          <w:b/>
          <w:sz w:val="20"/>
        </w:rPr>
      </w:pPr>
    </w:p>
    <w:p>
      <w:pPr>
        <w:spacing w:before="98"/>
        <w:ind w:left="1082" w:right="0" w:firstLine="0"/>
        <w:jc w:val="left"/>
        <w:rPr>
          <w:sz w:val="21"/>
        </w:rPr>
      </w:pPr>
      <w:r>
        <w:rPr>
          <w:rFonts w:ascii="Arial" w:hAnsi="Arial"/>
          <w:b/>
          <w:color w:val="323232"/>
          <w:sz w:val="21"/>
        </w:rPr>
        <w:t>Diretriz</w:t>
      </w:r>
      <w:r>
        <w:rPr>
          <w:rFonts w:ascii="Arial" w:hAnsi="Arial"/>
          <w:b/>
          <w:color w:val="323232"/>
          <w:spacing w:val="-2"/>
          <w:sz w:val="21"/>
        </w:rPr>
        <w:t> </w:t>
      </w:r>
      <w:r>
        <w:rPr>
          <w:rFonts w:ascii="Arial" w:hAnsi="Arial"/>
          <w:b/>
          <w:color w:val="323232"/>
          <w:sz w:val="21"/>
        </w:rPr>
        <w:t>nº</w:t>
      </w:r>
      <w:r>
        <w:rPr>
          <w:rFonts w:ascii="Arial" w:hAnsi="Arial"/>
          <w:b/>
          <w:color w:val="323232"/>
          <w:spacing w:val="-3"/>
          <w:sz w:val="21"/>
        </w:rPr>
        <w:t> </w:t>
      </w:r>
      <w:r>
        <w:rPr>
          <w:rFonts w:ascii="Arial" w:hAnsi="Arial"/>
          <w:b/>
          <w:color w:val="323232"/>
          <w:sz w:val="21"/>
        </w:rPr>
        <w:t>1</w:t>
      </w:r>
      <w:r>
        <w:rPr>
          <w:rFonts w:ascii="Arial" w:hAnsi="Arial"/>
          <w:b/>
          <w:color w:val="323232"/>
          <w:spacing w:val="-1"/>
          <w:sz w:val="21"/>
        </w:rPr>
        <w:t> </w:t>
      </w:r>
      <w:r>
        <w:rPr>
          <w:color w:val="323232"/>
          <w:sz w:val="21"/>
        </w:rPr>
        <w:t>-</w:t>
      </w:r>
      <w:r>
        <w:rPr>
          <w:color w:val="323232"/>
          <w:spacing w:val="-3"/>
          <w:sz w:val="21"/>
        </w:rPr>
        <w:t> </w:t>
      </w:r>
      <w:r>
        <w:rPr>
          <w:color w:val="323232"/>
          <w:sz w:val="21"/>
        </w:rPr>
        <w:t>Aprimoramento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da</w:t>
      </w:r>
      <w:r>
        <w:rPr>
          <w:color w:val="323232"/>
          <w:spacing w:val="-1"/>
          <w:sz w:val="21"/>
        </w:rPr>
        <w:t> </w:t>
      </w:r>
      <w:r>
        <w:rPr>
          <w:color w:val="323232"/>
          <w:sz w:val="21"/>
        </w:rPr>
        <w:t>Gestão</w:t>
      </w:r>
      <w:r>
        <w:rPr>
          <w:color w:val="323232"/>
          <w:spacing w:val="-4"/>
          <w:sz w:val="21"/>
        </w:rPr>
        <w:t> </w:t>
      </w:r>
      <w:r>
        <w:rPr>
          <w:color w:val="323232"/>
          <w:sz w:val="21"/>
        </w:rPr>
        <w:t>do</w:t>
      </w:r>
      <w:r>
        <w:rPr>
          <w:color w:val="323232"/>
          <w:spacing w:val="1"/>
          <w:sz w:val="21"/>
        </w:rPr>
        <w:t> </w:t>
      </w:r>
      <w:r>
        <w:rPr>
          <w:color w:val="323232"/>
          <w:sz w:val="21"/>
        </w:rPr>
        <w:t>SUS</w:t>
      </w:r>
    </w:p>
    <w:p>
      <w:pPr>
        <w:pStyle w:val="BodyText"/>
        <w:rPr>
          <w:sz w:val="27"/>
        </w:rPr>
      </w:pPr>
    </w:p>
    <w:p>
      <w:pPr>
        <w:spacing w:before="1"/>
        <w:ind w:left="1082" w:right="0" w:firstLine="0"/>
        <w:jc w:val="left"/>
        <w:rPr>
          <w:sz w:val="21"/>
        </w:rPr>
      </w:pPr>
      <w:r>
        <w:rPr>
          <w:rFonts w:ascii="Arial" w:hAnsi="Arial"/>
          <w:b/>
          <w:color w:val="323232"/>
          <w:sz w:val="21"/>
        </w:rPr>
        <w:t>Diretriz</w:t>
      </w:r>
      <w:r>
        <w:rPr>
          <w:rFonts w:ascii="Arial" w:hAnsi="Arial"/>
          <w:b/>
          <w:color w:val="323232"/>
          <w:spacing w:val="-2"/>
          <w:sz w:val="21"/>
        </w:rPr>
        <w:t> </w:t>
      </w:r>
      <w:r>
        <w:rPr>
          <w:rFonts w:ascii="Arial" w:hAnsi="Arial"/>
          <w:b/>
          <w:color w:val="323232"/>
          <w:sz w:val="21"/>
        </w:rPr>
        <w:t>nº</w:t>
      </w:r>
      <w:r>
        <w:rPr>
          <w:rFonts w:ascii="Arial" w:hAnsi="Arial"/>
          <w:b/>
          <w:color w:val="323232"/>
          <w:spacing w:val="-3"/>
          <w:sz w:val="21"/>
        </w:rPr>
        <w:t> </w:t>
      </w:r>
      <w:r>
        <w:rPr>
          <w:rFonts w:ascii="Arial" w:hAnsi="Arial"/>
          <w:b/>
          <w:color w:val="323232"/>
          <w:sz w:val="21"/>
        </w:rPr>
        <w:t>2</w:t>
      </w:r>
      <w:r>
        <w:rPr>
          <w:rFonts w:ascii="Arial" w:hAnsi="Arial"/>
          <w:b/>
          <w:color w:val="323232"/>
          <w:spacing w:val="-2"/>
          <w:sz w:val="21"/>
        </w:rPr>
        <w:t> </w:t>
      </w:r>
      <w:r>
        <w:rPr>
          <w:color w:val="323232"/>
          <w:sz w:val="21"/>
        </w:rPr>
        <w:t>-</w:t>
      </w:r>
      <w:r>
        <w:rPr>
          <w:color w:val="323232"/>
          <w:spacing w:val="-3"/>
          <w:sz w:val="21"/>
        </w:rPr>
        <w:t> </w:t>
      </w:r>
      <w:r>
        <w:rPr>
          <w:color w:val="323232"/>
          <w:sz w:val="21"/>
        </w:rPr>
        <w:t>Promoção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e</w:t>
      </w:r>
      <w:r>
        <w:rPr>
          <w:color w:val="323232"/>
          <w:spacing w:val="-1"/>
          <w:sz w:val="21"/>
        </w:rPr>
        <w:t> </w:t>
      </w:r>
      <w:r>
        <w:rPr>
          <w:color w:val="323232"/>
          <w:sz w:val="21"/>
        </w:rPr>
        <w:t>proteção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da</w:t>
      </w:r>
      <w:r>
        <w:rPr>
          <w:color w:val="323232"/>
          <w:spacing w:val="1"/>
          <w:sz w:val="21"/>
        </w:rPr>
        <w:t> </w:t>
      </w:r>
      <w:r>
        <w:rPr>
          <w:color w:val="323232"/>
          <w:sz w:val="21"/>
        </w:rPr>
        <w:t>saúde,</w:t>
      </w:r>
      <w:r>
        <w:rPr>
          <w:color w:val="323232"/>
          <w:spacing w:val="-1"/>
          <w:sz w:val="21"/>
        </w:rPr>
        <w:t> </w:t>
      </w:r>
      <w:r>
        <w:rPr>
          <w:color w:val="323232"/>
          <w:sz w:val="21"/>
        </w:rPr>
        <w:t>prevenção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de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agravos,</w:t>
      </w:r>
      <w:r>
        <w:rPr>
          <w:color w:val="323232"/>
          <w:spacing w:val="-3"/>
          <w:sz w:val="21"/>
        </w:rPr>
        <w:t> </w:t>
      </w:r>
      <w:r>
        <w:rPr>
          <w:color w:val="323232"/>
          <w:sz w:val="21"/>
        </w:rPr>
        <w:t>diagnóstico,</w:t>
      </w:r>
      <w:r>
        <w:rPr>
          <w:color w:val="323232"/>
          <w:spacing w:val="-4"/>
          <w:sz w:val="21"/>
        </w:rPr>
        <w:t> </w:t>
      </w:r>
      <w:r>
        <w:rPr>
          <w:color w:val="323232"/>
          <w:sz w:val="21"/>
        </w:rPr>
        <w:t>tratamento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e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manutenção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da</w:t>
      </w:r>
      <w:r>
        <w:rPr>
          <w:color w:val="323232"/>
          <w:spacing w:val="-1"/>
          <w:sz w:val="21"/>
        </w:rPr>
        <w:t> </w:t>
      </w:r>
      <w:r>
        <w:rPr>
          <w:color w:val="323232"/>
          <w:sz w:val="21"/>
        </w:rPr>
        <w:t>saúde.</w:t>
      </w:r>
    </w:p>
    <w:p>
      <w:pPr>
        <w:pStyle w:val="BodyText"/>
        <w:spacing w:before="10"/>
        <w:rPr>
          <w:sz w:val="20"/>
        </w:rPr>
      </w:pPr>
    </w:p>
    <w:p>
      <w:pPr>
        <w:spacing w:before="0"/>
        <w:ind w:left="1082" w:right="702" w:firstLine="0"/>
        <w:jc w:val="left"/>
        <w:rPr>
          <w:sz w:val="21"/>
        </w:rPr>
      </w:pPr>
      <w:r>
        <w:rPr>
          <w:rFonts w:ascii="Arial" w:hAnsi="Arial"/>
          <w:b/>
          <w:color w:val="323232"/>
          <w:sz w:val="21"/>
        </w:rPr>
        <w:t>Diretriz</w:t>
      </w:r>
      <w:r>
        <w:rPr>
          <w:rFonts w:ascii="Arial" w:hAnsi="Arial"/>
          <w:b/>
          <w:color w:val="323232"/>
          <w:spacing w:val="4"/>
          <w:sz w:val="21"/>
        </w:rPr>
        <w:t> </w:t>
      </w:r>
      <w:r>
        <w:rPr>
          <w:rFonts w:ascii="Arial" w:hAnsi="Arial"/>
          <w:b/>
          <w:color w:val="323232"/>
          <w:sz w:val="21"/>
        </w:rPr>
        <w:t>nº</w:t>
      </w:r>
      <w:r>
        <w:rPr>
          <w:rFonts w:ascii="Arial" w:hAnsi="Arial"/>
          <w:b/>
          <w:color w:val="323232"/>
          <w:spacing w:val="6"/>
          <w:sz w:val="21"/>
        </w:rPr>
        <w:t> </w:t>
      </w:r>
      <w:r>
        <w:rPr>
          <w:rFonts w:ascii="Arial" w:hAnsi="Arial"/>
          <w:b/>
          <w:color w:val="323232"/>
          <w:sz w:val="21"/>
        </w:rPr>
        <w:t>3</w:t>
      </w:r>
      <w:r>
        <w:rPr>
          <w:rFonts w:ascii="Arial" w:hAnsi="Arial"/>
          <w:b/>
          <w:color w:val="323232"/>
          <w:spacing w:val="5"/>
          <w:sz w:val="21"/>
        </w:rPr>
        <w:t> </w:t>
      </w:r>
      <w:r>
        <w:rPr>
          <w:color w:val="323232"/>
          <w:sz w:val="21"/>
        </w:rPr>
        <w:t>-</w:t>
      </w:r>
      <w:r>
        <w:rPr>
          <w:color w:val="323232"/>
          <w:spacing w:val="3"/>
          <w:sz w:val="21"/>
        </w:rPr>
        <w:t> </w:t>
      </w:r>
      <w:r>
        <w:rPr>
          <w:color w:val="323232"/>
          <w:sz w:val="21"/>
        </w:rPr>
        <w:t>Aprimorar</w:t>
      </w:r>
      <w:r>
        <w:rPr>
          <w:color w:val="323232"/>
          <w:spacing w:val="6"/>
          <w:sz w:val="21"/>
        </w:rPr>
        <w:t> </w:t>
      </w:r>
      <w:r>
        <w:rPr>
          <w:color w:val="323232"/>
          <w:sz w:val="21"/>
        </w:rPr>
        <w:t>a</w:t>
      </w:r>
      <w:r>
        <w:rPr>
          <w:color w:val="323232"/>
          <w:spacing w:val="5"/>
          <w:sz w:val="21"/>
        </w:rPr>
        <w:t> </w:t>
      </w:r>
      <w:r>
        <w:rPr>
          <w:color w:val="323232"/>
          <w:sz w:val="21"/>
        </w:rPr>
        <w:t>assistência</w:t>
      </w:r>
      <w:r>
        <w:rPr>
          <w:color w:val="323232"/>
          <w:spacing w:val="7"/>
          <w:sz w:val="21"/>
        </w:rPr>
        <w:t> </w:t>
      </w:r>
      <w:r>
        <w:rPr>
          <w:color w:val="323232"/>
          <w:sz w:val="21"/>
        </w:rPr>
        <w:t>aos</w:t>
      </w:r>
      <w:r>
        <w:rPr>
          <w:color w:val="323232"/>
          <w:spacing w:val="4"/>
          <w:sz w:val="21"/>
        </w:rPr>
        <w:t> </w:t>
      </w:r>
      <w:r>
        <w:rPr>
          <w:color w:val="323232"/>
          <w:sz w:val="21"/>
        </w:rPr>
        <w:t>usuários</w:t>
      </w:r>
      <w:r>
        <w:rPr>
          <w:color w:val="323232"/>
          <w:spacing w:val="4"/>
          <w:sz w:val="21"/>
        </w:rPr>
        <w:t> </w:t>
      </w:r>
      <w:r>
        <w:rPr>
          <w:color w:val="323232"/>
          <w:sz w:val="21"/>
        </w:rPr>
        <w:t>com</w:t>
      </w:r>
      <w:r>
        <w:rPr>
          <w:color w:val="323232"/>
          <w:spacing w:val="7"/>
          <w:sz w:val="21"/>
        </w:rPr>
        <w:t> </w:t>
      </w:r>
      <w:r>
        <w:rPr>
          <w:color w:val="323232"/>
          <w:sz w:val="21"/>
        </w:rPr>
        <w:t>condições</w:t>
      </w:r>
      <w:r>
        <w:rPr>
          <w:color w:val="323232"/>
          <w:spacing w:val="7"/>
          <w:sz w:val="21"/>
        </w:rPr>
        <w:t> </w:t>
      </w:r>
      <w:r>
        <w:rPr>
          <w:color w:val="323232"/>
          <w:sz w:val="21"/>
        </w:rPr>
        <w:t>agudas</w:t>
      </w:r>
      <w:r>
        <w:rPr>
          <w:color w:val="323232"/>
          <w:spacing w:val="4"/>
          <w:sz w:val="21"/>
        </w:rPr>
        <w:t> </w:t>
      </w:r>
      <w:r>
        <w:rPr>
          <w:color w:val="323232"/>
          <w:sz w:val="21"/>
        </w:rPr>
        <w:t>ou</w:t>
      </w:r>
      <w:r>
        <w:rPr>
          <w:color w:val="323232"/>
          <w:spacing w:val="7"/>
          <w:sz w:val="21"/>
        </w:rPr>
        <w:t> </w:t>
      </w:r>
      <w:r>
        <w:rPr>
          <w:color w:val="323232"/>
          <w:sz w:val="21"/>
        </w:rPr>
        <w:t>crônicas,</w:t>
      </w:r>
      <w:r>
        <w:rPr>
          <w:color w:val="323232"/>
          <w:spacing w:val="5"/>
          <w:sz w:val="21"/>
        </w:rPr>
        <w:t> </w:t>
      </w:r>
      <w:r>
        <w:rPr>
          <w:color w:val="323232"/>
          <w:sz w:val="21"/>
        </w:rPr>
        <w:t>que</w:t>
      </w:r>
      <w:r>
        <w:rPr>
          <w:color w:val="323232"/>
          <w:spacing w:val="5"/>
          <w:sz w:val="21"/>
        </w:rPr>
        <w:t> </w:t>
      </w:r>
      <w:r>
        <w:rPr>
          <w:color w:val="323232"/>
          <w:sz w:val="21"/>
        </w:rPr>
        <w:t>apresentem</w:t>
      </w:r>
      <w:r>
        <w:rPr>
          <w:color w:val="323232"/>
          <w:spacing w:val="4"/>
          <w:sz w:val="21"/>
        </w:rPr>
        <w:t> </w:t>
      </w:r>
      <w:r>
        <w:rPr>
          <w:color w:val="323232"/>
          <w:sz w:val="21"/>
        </w:rPr>
        <w:t>potencial</w:t>
      </w:r>
      <w:r>
        <w:rPr>
          <w:color w:val="323232"/>
          <w:spacing w:val="2"/>
          <w:sz w:val="21"/>
        </w:rPr>
        <w:t> </w:t>
      </w:r>
      <w:r>
        <w:rPr>
          <w:color w:val="323232"/>
          <w:sz w:val="21"/>
        </w:rPr>
        <w:t>de</w:t>
      </w:r>
      <w:r>
        <w:rPr>
          <w:color w:val="323232"/>
          <w:spacing w:val="7"/>
          <w:sz w:val="21"/>
        </w:rPr>
        <w:t> </w:t>
      </w:r>
      <w:r>
        <w:rPr>
          <w:color w:val="323232"/>
          <w:sz w:val="21"/>
        </w:rPr>
        <w:t>instabilização</w:t>
      </w:r>
      <w:r>
        <w:rPr>
          <w:color w:val="323232"/>
          <w:spacing w:val="5"/>
          <w:sz w:val="21"/>
        </w:rPr>
        <w:t> </w:t>
      </w:r>
      <w:r>
        <w:rPr>
          <w:color w:val="323232"/>
          <w:sz w:val="21"/>
        </w:rPr>
        <w:t>e</w:t>
      </w:r>
      <w:r>
        <w:rPr>
          <w:color w:val="323232"/>
          <w:spacing w:val="5"/>
          <w:sz w:val="21"/>
        </w:rPr>
        <w:t> </w:t>
      </w:r>
      <w:r>
        <w:rPr>
          <w:color w:val="323232"/>
          <w:sz w:val="21"/>
        </w:rPr>
        <w:t>de</w:t>
      </w:r>
      <w:r>
        <w:rPr>
          <w:color w:val="323232"/>
          <w:spacing w:val="-56"/>
          <w:sz w:val="21"/>
        </w:rPr>
        <w:t> </w:t>
      </w:r>
      <w:r>
        <w:rPr>
          <w:color w:val="323232"/>
          <w:sz w:val="21"/>
        </w:rPr>
        <w:t>complicações</w:t>
      </w:r>
      <w:r>
        <w:rPr>
          <w:color w:val="323232"/>
          <w:spacing w:val="1"/>
          <w:sz w:val="21"/>
        </w:rPr>
        <w:t> </w:t>
      </w:r>
      <w:r>
        <w:rPr>
          <w:color w:val="323232"/>
          <w:sz w:val="21"/>
        </w:rPr>
        <w:t>de seu</w:t>
      </w:r>
      <w:r>
        <w:rPr>
          <w:color w:val="323232"/>
          <w:spacing w:val="3"/>
          <w:sz w:val="21"/>
        </w:rPr>
        <w:t> </w:t>
      </w:r>
      <w:r>
        <w:rPr>
          <w:color w:val="323232"/>
          <w:sz w:val="21"/>
        </w:rPr>
        <w:t>estado</w:t>
      </w:r>
      <w:r>
        <w:rPr>
          <w:color w:val="323232"/>
          <w:spacing w:val="3"/>
          <w:sz w:val="21"/>
        </w:rPr>
        <w:t> </w:t>
      </w:r>
      <w:r>
        <w:rPr>
          <w:color w:val="323232"/>
          <w:sz w:val="21"/>
        </w:rPr>
        <w:t>de saúde</w:t>
      </w:r>
    </w:p>
    <w:p>
      <w:pPr>
        <w:pStyle w:val="BodyText"/>
        <w:spacing w:before="1"/>
        <w:rPr>
          <w:sz w:val="27"/>
        </w:rPr>
      </w:pPr>
    </w:p>
    <w:p>
      <w:pPr>
        <w:spacing w:before="0"/>
        <w:ind w:left="1082" w:right="0" w:firstLine="0"/>
        <w:jc w:val="left"/>
        <w:rPr>
          <w:sz w:val="21"/>
        </w:rPr>
      </w:pPr>
      <w:r>
        <w:rPr>
          <w:rFonts w:ascii="Arial" w:hAnsi="Arial"/>
          <w:b/>
          <w:color w:val="323232"/>
          <w:sz w:val="21"/>
        </w:rPr>
        <w:t>Diretriz</w:t>
      </w:r>
      <w:r>
        <w:rPr>
          <w:rFonts w:ascii="Arial" w:hAnsi="Arial"/>
          <w:b/>
          <w:color w:val="323232"/>
          <w:spacing w:val="-2"/>
          <w:sz w:val="21"/>
        </w:rPr>
        <w:t> </w:t>
      </w:r>
      <w:r>
        <w:rPr>
          <w:rFonts w:ascii="Arial" w:hAnsi="Arial"/>
          <w:b/>
          <w:color w:val="323232"/>
          <w:sz w:val="21"/>
        </w:rPr>
        <w:t>nº</w:t>
      </w:r>
      <w:r>
        <w:rPr>
          <w:rFonts w:ascii="Arial" w:hAnsi="Arial"/>
          <w:b/>
          <w:color w:val="323232"/>
          <w:spacing w:val="-3"/>
          <w:sz w:val="21"/>
        </w:rPr>
        <w:t> </w:t>
      </w:r>
      <w:r>
        <w:rPr>
          <w:rFonts w:ascii="Arial" w:hAnsi="Arial"/>
          <w:b/>
          <w:color w:val="323232"/>
          <w:sz w:val="21"/>
        </w:rPr>
        <w:t>4</w:t>
      </w:r>
      <w:r>
        <w:rPr>
          <w:rFonts w:ascii="Arial" w:hAnsi="Arial"/>
          <w:b/>
          <w:color w:val="323232"/>
          <w:spacing w:val="-2"/>
          <w:sz w:val="21"/>
        </w:rPr>
        <w:t> </w:t>
      </w:r>
      <w:r>
        <w:rPr>
          <w:color w:val="323232"/>
          <w:sz w:val="21"/>
        </w:rPr>
        <w:t>-</w:t>
      </w:r>
      <w:r>
        <w:rPr>
          <w:color w:val="323232"/>
          <w:spacing w:val="-3"/>
          <w:sz w:val="21"/>
        </w:rPr>
        <w:t> </w:t>
      </w:r>
      <w:r>
        <w:rPr>
          <w:color w:val="323232"/>
          <w:sz w:val="21"/>
        </w:rPr>
        <w:t>Redução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dos riscos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e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agravos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à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saúde</w:t>
      </w:r>
      <w:r>
        <w:rPr>
          <w:color w:val="323232"/>
          <w:spacing w:val="1"/>
          <w:sz w:val="21"/>
        </w:rPr>
        <w:t> </w:t>
      </w:r>
      <w:r>
        <w:rPr>
          <w:color w:val="323232"/>
          <w:sz w:val="21"/>
        </w:rPr>
        <w:t>da</w:t>
      </w:r>
      <w:r>
        <w:rPr>
          <w:color w:val="323232"/>
          <w:spacing w:val="1"/>
          <w:sz w:val="21"/>
        </w:rPr>
        <w:t> </w:t>
      </w:r>
      <w:r>
        <w:rPr>
          <w:color w:val="323232"/>
          <w:sz w:val="21"/>
        </w:rPr>
        <w:t>população, por</w:t>
      </w:r>
      <w:r>
        <w:rPr>
          <w:color w:val="323232"/>
          <w:spacing w:val="-1"/>
          <w:sz w:val="21"/>
        </w:rPr>
        <w:t> </w:t>
      </w:r>
      <w:r>
        <w:rPr>
          <w:color w:val="323232"/>
          <w:sz w:val="21"/>
        </w:rPr>
        <w:t>meio</w:t>
      </w:r>
      <w:r>
        <w:rPr>
          <w:color w:val="323232"/>
          <w:spacing w:val="1"/>
          <w:sz w:val="21"/>
        </w:rPr>
        <w:t> </w:t>
      </w:r>
      <w:r>
        <w:rPr>
          <w:color w:val="323232"/>
          <w:sz w:val="21"/>
        </w:rPr>
        <w:t>das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ações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de</w:t>
      </w:r>
      <w:r>
        <w:rPr>
          <w:color w:val="323232"/>
          <w:spacing w:val="1"/>
          <w:sz w:val="21"/>
        </w:rPr>
        <w:t> </w:t>
      </w:r>
      <w:r>
        <w:rPr>
          <w:color w:val="323232"/>
          <w:sz w:val="21"/>
        </w:rPr>
        <w:t>promoção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e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vigilância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em saúde.</w:t>
      </w:r>
    </w:p>
    <w:p>
      <w:pPr>
        <w:pStyle w:val="BodyText"/>
        <w:rPr>
          <w:sz w:val="21"/>
        </w:rPr>
      </w:pPr>
    </w:p>
    <w:p>
      <w:pPr>
        <w:spacing w:before="0"/>
        <w:ind w:left="1082" w:right="0" w:firstLine="0"/>
        <w:jc w:val="left"/>
        <w:rPr>
          <w:sz w:val="21"/>
        </w:rPr>
      </w:pPr>
      <w:r>
        <w:rPr>
          <w:rFonts w:ascii="Arial" w:hAnsi="Arial"/>
          <w:b/>
          <w:color w:val="323232"/>
          <w:sz w:val="21"/>
        </w:rPr>
        <w:t>Diretriz</w:t>
      </w:r>
      <w:r>
        <w:rPr>
          <w:rFonts w:ascii="Arial" w:hAnsi="Arial"/>
          <w:b/>
          <w:color w:val="323232"/>
          <w:spacing w:val="-2"/>
          <w:sz w:val="21"/>
        </w:rPr>
        <w:t> </w:t>
      </w:r>
      <w:r>
        <w:rPr>
          <w:rFonts w:ascii="Arial" w:hAnsi="Arial"/>
          <w:b/>
          <w:color w:val="323232"/>
          <w:sz w:val="21"/>
        </w:rPr>
        <w:t>nº</w:t>
      </w:r>
      <w:r>
        <w:rPr>
          <w:rFonts w:ascii="Arial" w:hAnsi="Arial"/>
          <w:b/>
          <w:color w:val="323232"/>
          <w:spacing w:val="-3"/>
          <w:sz w:val="21"/>
        </w:rPr>
        <w:t> </w:t>
      </w:r>
      <w:r>
        <w:rPr>
          <w:rFonts w:ascii="Arial" w:hAnsi="Arial"/>
          <w:b/>
          <w:color w:val="323232"/>
          <w:sz w:val="21"/>
        </w:rPr>
        <w:t>5</w:t>
      </w:r>
      <w:r>
        <w:rPr>
          <w:rFonts w:ascii="Arial" w:hAnsi="Arial"/>
          <w:b/>
          <w:color w:val="323232"/>
          <w:spacing w:val="-2"/>
          <w:sz w:val="21"/>
        </w:rPr>
        <w:t> </w:t>
      </w:r>
      <w:r>
        <w:rPr>
          <w:color w:val="323232"/>
          <w:sz w:val="21"/>
        </w:rPr>
        <w:t>-</w:t>
      </w:r>
      <w:r>
        <w:rPr>
          <w:color w:val="323232"/>
          <w:spacing w:val="-3"/>
          <w:sz w:val="21"/>
        </w:rPr>
        <w:t> </w:t>
      </w:r>
      <w:r>
        <w:rPr>
          <w:color w:val="323232"/>
          <w:sz w:val="21"/>
        </w:rPr>
        <w:t>Aprimorar</w:t>
      </w:r>
      <w:r>
        <w:rPr>
          <w:color w:val="323232"/>
          <w:spacing w:val="-3"/>
          <w:sz w:val="21"/>
        </w:rPr>
        <w:t> </w:t>
      </w:r>
      <w:r>
        <w:rPr>
          <w:color w:val="323232"/>
          <w:sz w:val="21"/>
        </w:rPr>
        <w:t>a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assistência</w:t>
      </w:r>
      <w:r>
        <w:rPr>
          <w:color w:val="323232"/>
          <w:spacing w:val="1"/>
          <w:sz w:val="21"/>
        </w:rPr>
        <w:t> </w:t>
      </w:r>
      <w:r>
        <w:rPr>
          <w:color w:val="323232"/>
          <w:sz w:val="21"/>
        </w:rPr>
        <w:t>farmacêutica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no</w:t>
      </w:r>
      <w:r>
        <w:rPr>
          <w:color w:val="323232"/>
          <w:spacing w:val="-1"/>
          <w:sz w:val="21"/>
        </w:rPr>
        <w:t> </w:t>
      </w:r>
      <w:r>
        <w:rPr>
          <w:color w:val="323232"/>
          <w:sz w:val="21"/>
        </w:rPr>
        <w:t>âmbito</w:t>
      </w:r>
      <w:r>
        <w:rPr>
          <w:color w:val="323232"/>
          <w:spacing w:val="1"/>
          <w:sz w:val="21"/>
        </w:rPr>
        <w:t> </w:t>
      </w:r>
      <w:r>
        <w:rPr>
          <w:color w:val="323232"/>
          <w:sz w:val="21"/>
        </w:rPr>
        <w:t>do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SUS</w:t>
      </w:r>
    </w:p>
    <w:p>
      <w:pPr>
        <w:pStyle w:val="BodyText"/>
        <w:rPr>
          <w:sz w:val="27"/>
        </w:rPr>
      </w:pPr>
    </w:p>
    <w:p>
      <w:pPr>
        <w:spacing w:before="0"/>
        <w:ind w:left="1082" w:right="0" w:firstLine="0"/>
        <w:jc w:val="left"/>
        <w:rPr>
          <w:sz w:val="21"/>
        </w:rPr>
      </w:pPr>
      <w:r>
        <w:rPr>
          <w:rFonts w:ascii="Arial" w:hAnsi="Arial"/>
          <w:b/>
          <w:color w:val="323232"/>
          <w:sz w:val="21"/>
        </w:rPr>
        <w:t>Diretriz</w:t>
      </w:r>
      <w:r>
        <w:rPr>
          <w:rFonts w:ascii="Arial" w:hAnsi="Arial"/>
          <w:b/>
          <w:color w:val="323232"/>
          <w:spacing w:val="-3"/>
          <w:sz w:val="21"/>
        </w:rPr>
        <w:t> </w:t>
      </w:r>
      <w:r>
        <w:rPr>
          <w:rFonts w:ascii="Arial" w:hAnsi="Arial"/>
          <w:b/>
          <w:color w:val="323232"/>
          <w:sz w:val="21"/>
        </w:rPr>
        <w:t>nº</w:t>
      </w:r>
      <w:r>
        <w:rPr>
          <w:rFonts w:ascii="Arial" w:hAnsi="Arial"/>
          <w:b/>
          <w:color w:val="323232"/>
          <w:spacing w:val="-3"/>
          <w:sz w:val="21"/>
        </w:rPr>
        <w:t> </w:t>
      </w:r>
      <w:r>
        <w:rPr>
          <w:rFonts w:ascii="Arial" w:hAnsi="Arial"/>
          <w:b/>
          <w:color w:val="323232"/>
          <w:sz w:val="21"/>
        </w:rPr>
        <w:t>6</w:t>
      </w:r>
      <w:r>
        <w:rPr>
          <w:rFonts w:ascii="Arial" w:hAnsi="Arial"/>
          <w:b/>
          <w:color w:val="323232"/>
          <w:spacing w:val="-2"/>
          <w:sz w:val="21"/>
        </w:rPr>
        <w:t> </w:t>
      </w:r>
      <w:r>
        <w:rPr>
          <w:color w:val="323232"/>
          <w:sz w:val="21"/>
        </w:rPr>
        <w:t>-</w:t>
      </w:r>
      <w:r>
        <w:rPr>
          <w:color w:val="323232"/>
          <w:spacing w:val="-3"/>
          <w:sz w:val="21"/>
        </w:rPr>
        <w:t> </w:t>
      </w:r>
      <w:r>
        <w:rPr>
          <w:color w:val="323232"/>
          <w:sz w:val="21"/>
        </w:rPr>
        <w:t>Ampliação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e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Fortalecimento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da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Participação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e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Controle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Social</w:t>
      </w:r>
    </w:p>
    <w:p>
      <w:pPr>
        <w:spacing w:after="0"/>
        <w:jc w:val="left"/>
        <w:rPr>
          <w:sz w:val="21"/>
        </w:rPr>
        <w:sectPr>
          <w:pgSz w:w="16840" w:h="11900" w:orient="landscape"/>
          <w:pgMar w:top="1100" w:bottom="280" w:left="360" w:right="6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ind w:left="1082"/>
      </w:pPr>
      <w:r>
        <w:rPr/>
        <w:t>I.</w:t>
      </w:r>
      <w:r>
        <w:rPr>
          <w:spacing w:val="-2"/>
        </w:rPr>
        <w:t> </w:t>
      </w:r>
      <w:r>
        <w:rPr/>
        <w:t>INTRODUÇÃO</w:t>
      </w: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360" w:lineRule="auto" w:before="1"/>
        <w:ind w:left="1082" w:right="774" w:firstLine="67"/>
        <w:jc w:val="both"/>
      </w:pPr>
      <w:r>
        <w:rPr/>
        <w:t>A Programação Anual de Saúde (PAS) constitui importante peça de gestão que operacionaliza as intenções expressas no Plano</w:t>
      </w:r>
      <w:r>
        <w:rPr>
          <w:spacing w:val="1"/>
        </w:rPr>
        <w:t> </w:t>
      </w:r>
      <w:r>
        <w:rPr/>
        <w:t>Municipal de Saúde (PMS), tendo por objetivo anualizar as metas do Plano e prever a alocação dos recursos orçamentários a</w:t>
      </w:r>
      <w:r>
        <w:rPr>
          <w:spacing w:val="1"/>
        </w:rPr>
        <w:t> </w:t>
      </w:r>
      <w:r>
        <w:rPr/>
        <w:t>serem</w:t>
      </w:r>
      <w:r>
        <w:rPr>
          <w:spacing w:val="1"/>
        </w:rPr>
        <w:t> </w:t>
      </w:r>
      <w:r>
        <w:rPr/>
        <w:t>executados.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processo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planejamento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âmbito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é</w:t>
      </w:r>
      <w:r>
        <w:rPr>
          <w:spacing w:val="1"/>
        </w:rPr>
        <w:t> </w:t>
      </w:r>
      <w:r>
        <w:rPr/>
        <w:t>norteado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alguns</w:t>
      </w:r>
      <w:r>
        <w:rPr>
          <w:spacing w:val="1"/>
        </w:rPr>
        <w:t> </w:t>
      </w:r>
      <w:r>
        <w:rPr/>
        <w:t>pressupostos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envolvem</w:t>
      </w:r>
      <w:r>
        <w:rPr>
          <w:spacing w:val="1"/>
        </w:rPr>
        <w:t> </w:t>
      </w:r>
      <w:r>
        <w:rPr/>
        <w:t>o</w:t>
      </w:r>
      <w:r>
        <w:rPr>
          <w:spacing w:val="-64"/>
        </w:rPr>
        <w:t> </w:t>
      </w:r>
      <w:r>
        <w:rPr/>
        <w:t>planejamento</w:t>
      </w:r>
      <w:r>
        <w:rPr>
          <w:spacing w:val="1"/>
        </w:rPr>
        <w:t> </w:t>
      </w:r>
      <w:r>
        <w:rPr/>
        <w:t>do sistema como</w:t>
      </w:r>
      <w:r>
        <w:rPr>
          <w:spacing w:val="1"/>
        </w:rPr>
        <w:t> </w:t>
      </w:r>
      <w:r>
        <w:rPr/>
        <w:t>uma responsabilidade de cada um dos entes federados;</w:t>
      </w:r>
      <w:r>
        <w:rPr>
          <w:spacing w:val="1"/>
        </w:rPr>
        <w:t> </w:t>
      </w:r>
      <w:r>
        <w:rPr/>
        <w:t>a necessidade</w:t>
      </w:r>
      <w:r>
        <w:rPr>
          <w:spacing w:val="1"/>
        </w:rPr>
        <w:t> </w:t>
      </w:r>
      <w:r>
        <w:rPr/>
        <w:t>de monitoramento,</w:t>
      </w:r>
      <w:r>
        <w:rPr>
          <w:spacing w:val="1"/>
        </w:rPr>
        <w:t> </w:t>
      </w:r>
      <w:r>
        <w:rPr/>
        <w:t>avaliação e integração da gestão do SUS; o planejamento ascendente e integrado, do nível local até o federal, orientado por</w:t>
      </w:r>
      <w:r>
        <w:rPr>
          <w:spacing w:val="1"/>
        </w:rPr>
        <w:t> </w:t>
      </w:r>
      <w:r>
        <w:rPr/>
        <w:t>problemas</w:t>
      </w:r>
      <w:r>
        <w:rPr>
          <w:spacing w:val="18"/>
        </w:rPr>
        <w:t> </w:t>
      </w:r>
      <w:r>
        <w:rPr/>
        <w:t>e</w:t>
      </w:r>
      <w:r>
        <w:rPr>
          <w:spacing w:val="17"/>
        </w:rPr>
        <w:t> </w:t>
      </w:r>
      <w:r>
        <w:rPr/>
        <w:t>necessidades</w:t>
      </w:r>
      <w:r>
        <w:rPr>
          <w:spacing w:val="19"/>
        </w:rPr>
        <w:t> </w:t>
      </w:r>
      <w:r>
        <w:rPr/>
        <w:t>de</w:t>
      </w:r>
      <w:r>
        <w:rPr>
          <w:spacing w:val="16"/>
        </w:rPr>
        <w:t> </w:t>
      </w:r>
      <w:r>
        <w:rPr/>
        <w:t>saúde</w:t>
      </w:r>
      <w:r>
        <w:rPr>
          <w:spacing w:val="17"/>
        </w:rPr>
        <w:t> </w:t>
      </w:r>
      <w:r>
        <w:rPr/>
        <w:t>para</w:t>
      </w:r>
      <w:r>
        <w:rPr>
          <w:spacing w:val="20"/>
        </w:rPr>
        <w:t> </w:t>
      </w:r>
      <w:r>
        <w:rPr/>
        <w:t>a</w:t>
      </w:r>
      <w:r>
        <w:rPr>
          <w:spacing w:val="17"/>
        </w:rPr>
        <w:t> </w:t>
      </w:r>
      <w:r>
        <w:rPr/>
        <w:t>construção</w:t>
      </w:r>
      <w:r>
        <w:rPr>
          <w:spacing w:val="16"/>
        </w:rPr>
        <w:t> </w:t>
      </w:r>
      <w:r>
        <w:rPr/>
        <w:t>das</w:t>
      </w:r>
      <w:r>
        <w:rPr>
          <w:spacing w:val="16"/>
        </w:rPr>
        <w:t> </w:t>
      </w:r>
      <w:r>
        <w:rPr/>
        <w:t>diretrizes,</w:t>
      </w:r>
      <w:r>
        <w:rPr>
          <w:spacing w:val="19"/>
        </w:rPr>
        <w:t> </w:t>
      </w:r>
      <w:r>
        <w:rPr/>
        <w:t>objetivos</w:t>
      </w:r>
      <w:r>
        <w:rPr>
          <w:spacing w:val="18"/>
        </w:rPr>
        <w:t> </w:t>
      </w:r>
      <w:r>
        <w:rPr/>
        <w:t>e</w:t>
      </w:r>
      <w:r>
        <w:rPr>
          <w:spacing w:val="17"/>
        </w:rPr>
        <w:t> </w:t>
      </w:r>
      <w:r>
        <w:rPr/>
        <w:t>metas;</w:t>
      </w:r>
      <w:r>
        <w:rPr>
          <w:spacing w:val="17"/>
        </w:rPr>
        <w:t> </w:t>
      </w:r>
      <w:r>
        <w:rPr/>
        <w:t>compatibilização</w:t>
      </w:r>
      <w:r>
        <w:rPr>
          <w:spacing w:val="20"/>
        </w:rPr>
        <w:t> </w:t>
      </w:r>
      <w:r>
        <w:rPr/>
        <w:t>entre</w:t>
      </w:r>
      <w:r>
        <w:rPr>
          <w:spacing w:val="16"/>
        </w:rPr>
        <w:t> </w:t>
      </w:r>
      <w:r>
        <w:rPr/>
        <w:t>os</w:t>
      </w:r>
      <w:r>
        <w:rPr>
          <w:spacing w:val="19"/>
        </w:rPr>
        <w:t> </w:t>
      </w:r>
      <w:r>
        <w:rPr/>
        <w:t>instrumentos</w:t>
      </w:r>
      <w:r>
        <w:rPr>
          <w:spacing w:val="1"/>
        </w:rPr>
        <w:t> </w:t>
      </w:r>
      <w:r>
        <w:rPr/>
        <w:t>de planejamento da saúde (PMS e respectivas Programações Anuais, Relatório de Gestão) e os instrumentos de planejamento e</w:t>
      </w:r>
      <w:r>
        <w:rPr>
          <w:spacing w:val="1"/>
        </w:rPr>
        <w:t> </w:t>
      </w:r>
      <w:r>
        <w:rPr/>
        <w:t>orçamento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governo</w:t>
      </w:r>
      <w:r>
        <w:rPr>
          <w:spacing w:val="1"/>
        </w:rPr>
        <w:t> </w:t>
      </w:r>
      <w:r>
        <w:rPr/>
        <w:t>(PPA,</w:t>
      </w:r>
      <w:r>
        <w:rPr>
          <w:spacing w:val="1"/>
        </w:rPr>
        <w:t> </w:t>
      </w:r>
      <w:r>
        <w:rPr/>
        <w:t>LDO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LOA),</w:t>
      </w:r>
      <w:r>
        <w:rPr>
          <w:spacing w:val="1"/>
        </w:rPr>
        <w:t> </w:t>
      </w:r>
      <w:r>
        <w:rPr/>
        <w:t>em</w:t>
      </w:r>
      <w:r>
        <w:rPr>
          <w:spacing w:val="1"/>
        </w:rPr>
        <w:t> </w:t>
      </w:r>
      <w:r>
        <w:rPr/>
        <w:t>cada</w:t>
      </w:r>
      <w:r>
        <w:rPr>
          <w:spacing w:val="1"/>
        </w:rPr>
        <w:t> </w:t>
      </w:r>
      <w:r>
        <w:rPr/>
        <w:t>esfera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gestão;</w:t>
      </w:r>
      <w:r>
        <w:rPr>
          <w:spacing w:val="1"/>
        </w:rPr>
        <w:t> </w:t>
      </w:r>
      <w:r>
        <w:rPr/>
        <w:t>transparência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com</w:t>
      </w:r>
      <w:r>
        <w:rPr>
          <w:spacing w:val="1"/>
        </w:rPr>
        <w:t> </w:t>
      </w:r>
      <w:r>
        <w:rPr/>
        <w:t>incentivo</w:t>
      </w:r>
      <w:r>
        <w:rPr>
          <w:spacing w:val="1"/>
        </w:rPr>
        <w:t> </w:t>
      </w:r>
      <w:r>
        <w:rPr/>
        <w:t>à</w:t>
      </w:r>
      <w:r>
        <w:rPr>
          <w:spacing w:val="1"/>
        </w:rPr>
        <w:t> </w:t>
      </w:r>
      <w:r>
        <w:rPr/>
        <w:t>participação</w:t>
      </w:r>
      <w:r>
        <w:rPr>
          <w:spacing w:val="66"/>
        </w:rPr>
        <w:t> </w:t>
      </w:r>
      <w:r>
        <w:rPr/>
        <w:t>da</w:t>
      </w:r>
      <w:r>
        <w:rPr>
          <w:spacing w:val="1"/>
        </w:rPr>
        <w:t> </w:t>
      </w:r>
      <w:r>
        <w:rPr/>
        <w:t>comunidade; concepção do planejamento a partir das necessidades de saúde da população em cada região de saúde, para</w:t>
      </w:r>
      <w:r>
        <w:rPr>
          <w:spacing w:val="1"/>
        </w:rPr>
        <w:t> </w:t>
      </w:r>
      <w:r>
        <w:rPr/>
        <w:t>elaboração de forma integrada. Os instrumentos para o planejamento no âmbito do SUS, PNS, as respectivas Programações</w:t>
      </w:r>
      <w:r>
        <w:rPr>
          <w:spacing w:val="1"/>
        </w:rPr>
        <w:t> </w:t>
      </w:r>
      <w:r>
        <w:rPr/>
        <w:t>Anuais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Relatório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Gestão</w:t>
      </w:r>
      <w:r>
        <w:rPr>
          <w:spacing w:val="1"/>
        </w:rPr>
        <w:t> </w:t>
      </w:r>
      <w:r>
        <w:rPr/>
        <w:t>interligam-se</w:t>
      </w:r>
      <w:r>
        <w:rPr>
          <w:spacing w:val="1"/>
        </w:rPr>
        <w:t> </w:t>
      </w:r>
      <w:r>
        <w:rPr/>
        <w:t>sequencialmente,</w:t>
      </w:r>
      <w:r>
        <w:rPr>
          <w:spacing w:val="1"/>
        </w:rPr>
        <w:t> </w:t>
      </w:r>
      <w:r>
        <w:rPr/>
        <w:t>compondo</w:t>
      </w:r>
      <w:r>
        <w:rPr>
          <w:spacing w:val="1"/>
        </w:rPr>
        <w:t> </w:t>
      </w:r>
      <w:r>
        <w:rPr/>
        <w:t>um</w:t>
      </w:r>
      <w:r>
        <w:rPr>
          <w:spacing w:val="1"/>
        </w:rPr>
        <w:t> </w:t>
      </w:r>
      <w:r>
        <w:rPr/>
        <w:t>processo</w:t>
      </w:r>
      <w:r>
        <w:rPr>
          <w:spacing w:val="1"/>
        </w:rPr>
        <w:t> </w:t>
      </w:r>
      <w:r>
        <w:rPr/>
        <w:t>cíclico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planejamento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operacionalização integrada, solidária e sistêmica do SUS.</w:t>
      </w:r>
      <w:r>
        <w:rPr>
          <w:spacing w:val="1"/>
        </w:rPr>
        <w:t> </w:t>
      </w:r>
      <w:r>
        <w:rPr/>
        <w:t>A PAS aqui apresentada refere-se à anualização para 2024 das metas</w:t>
      </w:r>
      <w:r>
        <w:rPr>
          <w:spacing w:val="1"/>
        </w:rPr>
        <w:t> </w:t>
      </w:r>
      <w:r>
        <w:rPr/>
        <w:t>contidas</w:t>
      </w:r>
      <w:r>
        <w:rPr>
          <w:spacing w:val="14"/>
        </w:rPr>
        <w:t> </w:t>
      </w:r>
      <w:r>
        <w:rPr/>
        <w:t>no</w:t>
      </w:r>
      <w:r>
        <w:rPr>
          <w:spacing w:val="16"/>
        </w:rPr>
        <w:t> </w:t>
      </w:r>
      <w:r>
        <w:rPr/>
        <w:t>PMS.</w:t>
      </w:r>
      <w:r>
        <w:rPr>
          <w:spacing w:val="14"/>
        </w:rPr>
        <w:t> </w:t>
      </w:r>
      <w:r>
        <w:rPr/>
        <w:t>Assim,</w:t>
      </w:r>
      <w:r>
        <w:rPr>
          <w:spacing w:val="15"/>
        </w:rPr>
        <w:t> </w:t>
      </w:r>
      <w:r>
        <w:rPr/>
        <w:t>a</w:t>
      </w:r>
      <w:r>
        <w:rPr>
          <w:spacing w:val="15"/>
        </w:rPr>
        <w:t> </w:t>
      </w:r>
      <w:r>
        <w:rPr/>
        <w:t>PAS</w:t>
      </w:r>
      <w:r>
        <w:rPr>
          <w:spacing w:val="13"/>
        </w:rPr>
        <w:t> </w:t>
      </w:r>
      <w:r>
        <w:rPr/>
        <w:t>2024</w:t>
      </w:r>
      <w:r>
        <w:rPr>
          <w:spacing w:val="15"/>
        </w:rPr>
        <w:t> </w:t>
      </w:r>
      <w:r>
        <w:rPr/>
        <w:t>representa</w:t>
      </w:r>
      <w:r>
        <w:rPr>
          <w:spacing w:val="18"/>
        </w:rPr>
        <w:t> </w:t>
      </w:r>
      <w:r>
        <w:rPr/>
        <w:t>o</w:t>
      </w:r>
      <w:r>
        <w:rPr>
          <w:spacing w:val="15"/>
        </w:rPr>
        <w:t> </w:t>
      </w:r>
      <w:r>
        <w:rPr/>
        <w:t>terceiro</w:t>
      </w:r>
      <w:r>
        <w:rPr>
          <w:spacing w:val="18"/>
        </w:rPr>
        <w:t> </w:t>
      </w:r>
      <w:r>
        <w:rPr/>
        <w:t>ano</w:t>
      </w:r>
      <w:r>
        <w:rPr>
          <w:spacing w:val="15"/>
        </w:rPr>
        <w:t> </w:t>
      </w:r>
      <w:r>
        <w:rPr/>
        <w:t>de</w:t>
      </w:r>
      <w:r>
        <w:rPr>
          <w:spacing w:val="16"/>
        </w:rPr>
        <w:t> </w:t>
      </w:r>
      <w:r>
        <w:rPr/>
        <w:t>abrangência</w:t>
      </w:r>
      <w:r>
        <w:rPr>
          <w:spacing w:val="17"/>
        </w:rPr>
        <w:t> </w:t>
      </w:r>
      <w:r>
        <w:rPr/>
        <w:t>do</w:t>
      </w:r>
      <w:r>
        <w:rPr>
          <w:spacing w:val="13"/>
        </w:rPr>
        <w:t> </w:t>
      </w:r>
      <w:r>
        <w:rPr/>
        <w:t>PMS</w:t>
      </w:r>
      <w:r>
        <w:rPr>
          <w:spacing w:val="17"/>
        </w:rPr>
        <w:t> </w:t>
      </w:r>
      <w:r>
        <w:rPr/>
        <w:t>2022-2025,</w:t>
      </w:r>
      <w:r>
        <w:rPr>
          <w:spacing w:val="15"/>
        </w:rPr>
        <w:t> </w:t>
      </w:r>
      <w:r>
        <w:rPr/>
        <w:t>demonstra</w:t>
      </w:r>
      <w:r>
        <w:rPr>
          <w:spacing w:val="17"/>
        </w:rPr>
        <w:t> </w:t>
      </w:r>
      <w:r>
        <w:rPr/>
        <w:t>a</w:t>
      </w:r>
      <w:r>
        <w:rPr>
          <w:spacing w:val="18"/>
        </w:rPr>
        <w:t> </w:t>
      </w:r>
      <w:r>
        <w:rPr/>
        <w:t>atuação</w:t>
      </w:r>
      <w:r>
        <w:rPr>
          <w:spacing w:val="15"/>
        </w:rPr>
        <w:t> </w:t>
      </w:r>
      <w:r>
        <w:rPr/>
        <w:t>anual</w:t>
      </w:r>
      <w:r>
        <w:rPr>
          <w:spacing w:val="-64"/>
        </w:rPr>
        <w:t> </w:t>
      </w:r>
      <w:r>
        <w:rPr/>
        <w:t>em</w:t>
      </w:r>
      <w:r>
        <w:rPr>
          <w:spacing w:val="29"/>
        </w:rPr>
        <w:t> </w:t>
      </w:r>
      <w:r>
        <w:rPr/>
        <w:t>saúde</w:t>
      </w:r>
      <w:r>
        <w:rPr>
          <w:spacing w:val="30"/>
        </w:rPr>
        <w:t> </w:t>
      </w:r>
      <w:r>
        <w:rPr/>
        <w:t>do</w:t>
      </w:r>
      <w:r>
        <w:rPr>
          <w:spacing w:val="28"/>
        </w:rPr>
        <w:t> </w:t>
      </w:r>
      <w:r>
        <w:rPr/>
        <w:t>Município</w:t>
      </w:r>
      <w:r>
        <w:rPr>
          <w:spacing w:val="31"/>
        </w:rPr>
        <w:t> </w:t>
      </w:r>
      <w:r>
        <w:rPr/>
        <w:t>ao</w:t>
      </w:r>
      <w:r>
        <w:rPr>
          <w:spacing w:val="28"/>
        </w:rPr>
        <w:t> </w:t>
      </w:r>
      <w:r>
        <w:rPr/>
        <w:t>definir</w:t>
      </w:r>
      <w:r>
        <w:rPr>
          <w:spacing w:val="31"/>
        </w:rPr>
        <w:t> </w:t>
      </w:r>
      <w:r>
        <w:rPr/>
        <w:t>as</w:t>
      </w:r>
      <w:r>
        <w:rPr>
          <w:spacing w:val="29"/>
        </w:rPr>
        <w:t> </w:t>
      </w:r>
      <w:r>
        <w:rPr/>
        <w:t>ações</w:t>
      </w:r>
      <w:r>
        <w:rPr>
          <w:spacing w:val="30"/>
        </w:rPr>
        <w:t> </w:t>
      </w:r>
      <w:r>
        <w:rPr/>
        <w:t>que,</w:t>
      </w:r>
      <w:r>
        <w:rPr>
          <w:spacing w:val="31"/>
        </w:rPr>
        <w:t> </w:t>
      </w:r>
      <w:r>
        <w:rPr/>
        <w:t>no</w:t>
      </w:r>
      <w:r>
        <w:rPr>
          <w:spacing w:val="29"/>
        </w:rPr>
        <w:t> </w:t>
      </w:r>
      <w:r>
        <w:rPr/>
        <w:t>ano</w:t>
      </w:r>
      <w:r>
        <w:rPr>
          <w:spacing w:val="28"/>
        </w:rPr>
        <w:t> </w:t>
      </w:r>
      <w:r>
        <w:rPr/>
        <w:t>específico,</w:t>
      </w:r>
      <w:r>
        <w:rPr>
          <w:spacing w:val="30"/>
        </w:rPr>
        <w:t> </w:t>
      </w:r>
      <w:r>
        <w:rPr/>
        <w:t>garantirão</w:t>
      </w:r>
      <w:r>
        <w:rPr>
          <w:spacing w:val="31"/>
        </w:rPr>
        <w:t> </w:t>
      </w:r>
      <w:r>
        <w:rPr/>
        <w:t>o</w:t>
      </w:r>
      <w:r>
        <w:rPr>
          <w:spacing w:val="30"/>
        </w:rPr>
        <w:t> </w:t>
      </w:r>
      <w:r>
        <w:rPr/>
        <w:t>alcance</w:t>
      </w:r>
      <w:r>
        <w:rPr>
          <w:spacing w:val="30"/>
        </w:rPr>
        <w:t> </w:t>
      </w:r>
      <w:r>
        <w:rPr/>
        <w:t>dos</w:t>
      </w:r>
      <w:r>
        <w:rPr>
          <w:spacing w:val="28"/>
        </w:rPr>
        <w:t> </w:t>
      </w:r>
      <w:r>
        <w:rPr/>
        <w:t>6</w:t>
      </w:r>
      <w:r>
        <w:rPr>
          <w:spacing w:val="32"/>
        </w:rPr>
        <w:t> </w:t>
      </w:r>
      <w:r>
        <w:rPr/>
        <w:t>objetivos</w:t>
      </w:r>
      <w:r>
        <w:rPr>
          <w:spacing w:val="32"/>
        </w:rPr>
        <w:t> </w:t>
      </w:r>
      <w:r>
        <w:rPr/>
        <w:t>e</w:t>
      </w:r>
      <w:r>
        <w:rPr>
          <w:spacing w:val="31"/>
        </w:rPr>
        <w:t> </w:t>
      </w:r>
      <w:r>
        <w:rPr/>
        <w:t>o</w:t>
      </w:r>
      <w:r>
        <w:rPr>
          <w:spacing w:val="30"/>
        </w:rPr>
        <w:t> </w:t>
      </w:r>
      <w:r>
        <w:rPr/>
        <w:t>cumprimento</w:t>
      </w:r>
      <w:r>
        <w:rPr>
          <w:spacing w:val="30"/>
        </w:rPr>
        <w:t> </w:t>
      </w:r>
      <w:r>
        <w:rPr/>
        <w:t>das</w:t>
      </w:r>
      <w:r>
        <w:rPr>
          <w:spacing w:val="1"/>
        </w:rPr>
        <w:t> </w:t>
      </w:r>
      <w:r>
        <w:rPr/>
        <w:t>metas</w:t>
      </w:r>
      <w:r>
        <w:rPr>
          <w:spacing w:val="-3"/>
        </w:rPr>
        <w:t> </w:t>
      </w:r>
      <w:r>
        <w:rPr/>
        <w:t>do</w:t>
      </w:r>
      <w:r>
        <w:rPr>
          <w:spacing w:val="-1"/>
        </w:rPr>
        <w:t> </w:t>
      </w:r>
      <w:r>
        <w:rPr/>
        <w:t>PMS.</w:t>
      </w:r>
    </w:p>
    <w:p>
      <w:pPr>
        <w:pStyle w:val="BodyText"/>
        <w:spacing w:line="360" w:lineRule="auto" w:before="1"/>
        <w:ind w:left="1082" w:right="778"/>
        <w:jc w:val="both"/>
      </w:pPr>
      <w:r>
        <w:rPr/>
        <w:t>Para a obtenção dos resultados esperados da execução das metas da PAS deve-se levar em consideração a descentralização da</w:t>
      </w:r>
      <w:r>
        <w:rPr>
          <w:spacing w:val="1"/>
        </w:rPr>
        <w:t> </w:t>
      </w:r>
      <w:r>
        <w:rPr/>
        <w:t>responsabilidade pelas ações de saúde, de acordo com o determinado pela Constituição Federal de 1988, referente à ação</w:t>
      </w:r>
      <w:r>
        <w:rPr>
          <w:spacing w:val="1"/>
        </w:rPr>
        <w:t> </w:t>
      </w:r>
      <w:r>
        <w:rPr/>
        <w:t>conjunta</w:t>
      </w:r>
      <w:r>
        <w:rPr>
          <w:spacing w:val="-2"/>
        </w:rPr>
        <w:t> </w:t>
      </w:r>
      <w:r>
        <w:rPr/>
        <w:t>e</w:t>
      </w:r>
      <w:r>
        <w:rPr>
          <w:spacing w:val="1"/>
        </w:rPr>
        <w:t> </w:t>
      </w:r>
      <w:r>
        <w:rPr/>
        <w:t>articulada</w:t>
      </w:r>
      <w:r>
        <w:rPr>
          <w:spacing w:val="-2"/>
        </w:rPr>
        <w:t> </w:t>
      </w:r>
      <w:r>
        <w:rPr/>
        <w:t>entre</w:t>
      </w:r>
      <w:r>
        <w:rPr>
          <w:spacing w:val="1"/>
        </w:rPr>
        <w:t> </w:t>
      </w:r>
      <w:r>
        <w:rPr/>
        <w:t>as</w:t>
      </w:r>
      <w:r>
        <w:rPr>
          <w:spacing w:val="-2"/>
        </w:rPr>
        <w:t> </w:t>
      </w:r>
      <w:r>
        <w:rPr/>
        <w:t>três</w:t>
      </w:r>
      <w:r>
        <w:rPr>
          <w:spacing w:val="-1"/>
        </w:rPr>
        <w:t> </w:t>
      </w:r>
      <w:r>
        <w:rPr/>
        <w:t>esferas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gestão,</w:t>
      </w:r>
      <w:r>
        <w:rPr>
          <w:spacing w:val="-3"/>
        </w:rPr>
        <w:t> </w:t>
      </w:r>
      <w:r>
        <w:rPr/>
        <w:t>para</w:t>
      </w:r>
      <w:r>
        <w:rPr>
          <w:spacing w:val="-1"/>
        </w:rPr>
        <w:t> </w:t>
      </w:r>
      <w:r>
        <w:rPr/>
        <w:t>ao</w:t>
      </w:r>
      <w:r>
        <w:rPr>
          <w:spacing w:val="-1"/>
        </w:rPr>
        <w:t> </w:t>
      </w:r>
      <w:r>
        <w:rPr/>
        <w:t>alcance</w:t>
      </w:r>
      <w:r>
        <w:rPr>
          <w:spacing w:val="-2"/>
        </w:rPr>
        <w:t> </w:t>
      </w:r>
      <w:r>
        <w:rPr/>
        <w:t>dos</w:t>
      </w:r>
      <w:r>
        <w:rPr>
          <w:spacing w:val="-2"/>
        </w:rPr>
        <w:t> </w:t>
      </w:r>
      <w:r>
        <w:rPr/>
        <w:t>objetivos do</w:t>
      </w:r>
      <w:r>
        <w:rPr>
          <w:spacing w:val="-2"/>
        </w:rPr>
        <w:t> </w:t>
      </w:r>
      <w:r>
        <w:rPr/>
        <w:t>SUS.</w:t>
      </w:r>
    </w:p>
    <w:p>
      <w:pPr>
        <w:spacing w:after="0" w:line="360" w:lineRule="auto"/>
        <w:jc w:val="both"/>
        <w:sectPr>
          <w:pgSz w:w="16840" w:h="11900" w:orient="landscape"/>
          <w:pgMar w:top="1100" w:bottom="280" w:left="360" w:right="6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34"/>
        <w:ind w:left="7617" w:right="5113" w:hanging="2230"/>
        <w:jc w:val="left"/>
        <w:rPr>
          <w:sz w:val="40"/>
        </w:rPr>
      </w:pPr>
      <w:r>
        <w:rPr>
          <w:sz w:val="40"/>
        </w:rPr>
        <w:t>Programação Anual de Saúde</w:t>
      </w:r>
      <w:r>
        <w:rPr>
          <w:spacing w:val="-109"/>
          <w:sz w:val="40"/>
        </w:rPr>
        <w:t> </w:t>
      </w:r>
      <w:r>
        <w:rPr>
          <w:sz w:val="40"/>
        </w:rPr>
        <w:t>2024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</w:p>
    <w:tbl>
      <w:tblPr>
        <w:tblW w:w="0" w:type="auto"/>
        <w:jc w:val="left"/>
        <w:tblInd w:w="149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26"/>
        <w:gridCol w:w="8671"/>
        <w:gridCol w:w="2647"/>
      </w:tblGrid>
      <w:tr>
        <w:trPr>
          <w:trHeight w:val="515" w:hRule="atLeast"/>
        </w:trPr>
        <w:tc>
          <w:tcPr>
            <w:tcW w:w="13144" w:type="dxa"/>
            <w:gridSpan w:val="3"/>
          </w:tcPr>
          <w:p>
            <w:pPr>
              <w:pStyle w:val="TableParagraph"/>
              <w:ind w:left="119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Demonstrativo</w:t>
            </w:r>
            <w:r>
              <w:rPr>
                <w:rFonts w:ascii="Arial" w:hAnsi="Arial"/>
                <w:b/>
                <w:spacing w:val="-2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da</w:t>
            </w:r>
            <w:r>
              <w:rPr>
                <w:rFonts w:ascii="Arial" w:hAnsi="Arial"/>
                <w:b/>
                <w:spacing w:val="-4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vinculação</w:t>
            </w:r>
            <w:r>
              <w:rPr>
                <w:rFonts w:ascii="Arial" w:hAnsi="Arial"/>
                <w:b/>
                <w:spacing w:val="-3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das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metas</w:t>
            </w:r>
            <w:r>
              <w:rPr>
                <w:rFonts w:ascii="Arial" w:hAnsi="Arial"/>
                <w:b/>
                <w:spacing w:val="-4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anualizadas</w:t>
            </w:r>
            <w:r>
              <w:rPr>
                <w:rFonts w:ascii="Arial" w:hAnsi="Arial"/>
                <w:b/>
                <w:spacing w:val="-4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com</w:t>
            </w:r>
            <w:r>
              <w:rPr>
                <w:rFonts w:ascii="Arial" w:hAnsi="Arial"/>
                <w:b/>
                <w:spacing w:val="-3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a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Subfunção</w:t>
            </w:r>
          </w:p>
        </w:tc>
      </w:tr>
      <w:tr>
        <w:trPr>
          <w:trHeight w:val="1069" w:hRule="atLeast"/>
        </w:trPr>
        <w:tc>
          <w:tcPr>
            <w:tcW w:w="1826" w:type="dxa"/>
          </w:tcPr>
          <w:p>
            <w:pPr>
              <w:pStyle w:val="TableParagraph"/>
              <w:ind w:left="119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Subfunções</w:t>
            </w: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Descrição</w:t>
            </w:r>
            <w:r>
              <w:rPr>
                <w:rFonts w:ascii="Arial" w:hAnsi="Arial"/>
                <w:b/>
                <w:spacing w:val="-4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das</w:t>
            </w:r>
            <w:r>
              <w:rPr>
                <w:rFonts w:ascii="Arial" w:hAnsi="Arial"/>
                <w:b/>
                <w:spacing w:val="-4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Metas</w:t>
            </w:r>
            <w:r>
              <w:rPr>
                <w:rFonts w:ascii="Arial" w:hAnsi="Arial"/>
                <w:b/>
                <w:spacing w:val="-2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por</w:t>
            </w:r>
            <w:r>
              <w:rPr>
                <w:rFonts w:ascii="Arial" w:hAnsi="Arial"/>
                <w:b/>
                <w:spacing w:val="-4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Subfunção</w:t>
            </w:r>
          </w:p>
        </w:tc>
        <w:tc>
          <w:tcPr>
            <w:tcW w:w="2647" w:type="dxa"/>
          </w:tcPr>
          <w:p>
            <w:pPr>
              <w:pStyle w:val="TableParagraph"/>
              <w:ind w:left="326" w:right="302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Meta programada</w:t>
            </w:r>
            <w:r>
              <w:rPr>
                <w:rFonts w:ascii="Arial" w:hAnsi="Arial"/>
                <w:b/>
                <w:spacing w:val="-64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para o exercício</w:t>
            </w:r>
            <w:r>
              <w:rPr>
                <w:rFonts w:ascii="Arial" w:hAnsi="Arial"/>
                <w:b/>
                <w:spacing w:val="1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2024</w:t>
            </w:r>
          </w:p>
        </w:tc>
      </w:tr>
      <w:tr>
        <w:trPr>
          <w:trHeight w:val="387" w:hRule="atLeast"/>
        </w:trPr>
        <w:tc>
          <w:tcPr>
            <w:tcW w:w="1826" w:type="dxa"/>
            <w:tcBorders>
              <w:bottom w:val="nil"/>
            </w:tcBorders>
          </w:tcPr>
          <w:p>
            <w:pPr>
              <w:pStyle w:val="TableParagraph"/>
              <w:spacing w:line="252" w:lineRule="exact" w:before="115"/>
              <w:ind w:left="119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0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-</w:t>
            </w:r>
          </w:p>
        </w:tc>
        <w:tc>
          <w:tcPr>
            <w:tcW w:w="8671" w:type="dxa"/>
            <w:vMerge w:val="restart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Manter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percentual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cães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gatos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vacinados</w:t>
            </w:r>
          </w:p>
        </w:tc>
        <w:tc>
          <w:tcPr>
            <w:tcW w:w="2647" w:type="dxa"/>
            <w:vMerge w:val="restart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80,00</w:t>
            </w:r>
          </w:p>
        </w:tc>
      </w:tr>
      <w:tr>
        <w:trPr>
          <w:trHeight w:val="113" w:hRule="atLeast"/>
        </w:trPr>
        <w:tc>
          <w:tcPr>
            <w:tcW w:w="1826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spacing w:line="241" w:lineRule="exact" w:before="0"/>
              <w:ind w:left="119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Informações</w:t>
            </w:r>
          </w:p>
        </w:tc>
        <w:tc>
          <w:tcPr>
            <w:tcW w:w="867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2" w:hRule="atLeast"/>
        </w:trPr>
        <w:tc>
          <w:tcPr>
            <w:tcW w:w="1826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  <w:vMerge w:val="restart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Diagnóstico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leishmaniose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visceral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canina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/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Entomologia</w:t>
            </w:r>
          </w:p>
        </w:tc>
        <w:tc>
          <w:tcPr>
            <w:tcW w:w="2647" w:type="dxa"/>
            <w:vMerge w:val="restart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260" w:hRule="atLeast"/>
        </w:trPr>
        <w:tc>
          <w:tcPr>
            <w:tcW w:w="18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1" w:lineRule="exact" w:before="0"/>
              <w:ind w:left="119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Complementar</w:t>
            </w:r>
          </w:p>
        </w:tc>
        <w:tc>
          <w:tcPr>
            <w:tcW w:w="867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91" w:hRule="atLeast"/>
        </w:trPr>
        <w:tc>
          <w:tcPr>
            <w:tcW w:w="1826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spacing w:line="265" w:lineRule="exact" w:before="0"/>
              <w:ind w:left="119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es</w:t>
            </w:r>
          </w:p>
        </w:tc>
        <w:tc>
          <w:tcPr>
            <w:tcW w:w="867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5" w:hRule="atLeast"/>
        </w:trPr>
        <w:tc>
          <w:tcPr>
            <w:tcW w:w="1826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  <w:tcBorders>
              <w:bottom w:val="nil"/>
            </w:tcBorders>
          </w:tcPr>
          <w:p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Visitar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cada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imóvel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pelo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menos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4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ciclos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para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controle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da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dengue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nas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áreas</w:t>
            </w:r>
          </w:p>
        </w:tc>
        <w:tc>
          <w:tcPr>
            <w:tcW w:w="2647" w:type="dxa"/>
            <w:tcBorders>
              <w:bottom w:val="nil"/>
            </w:tcBorders>
          </w:tcPr>
          <w:p>
            <w:pPr>
              <w:pStyle w:val="TableParagraph"/>
              <w:spacing w:line="258" w:lineRule="exact"/>
              <w:ind w:left="12"/>
              <w:rPr>
                <w:sz w:val="24"/>
              </w:rPr>
            </w:pPr>
            <w:r>
              <w:rPr>
                <w:color w:val="323232"/>
                <w:w w:val="99"/>
                <w:sz w:val="24"/>
              </w:rPr>
              <w:t>4</w:t>
            </w:r>
          </w:p>
        </w:tc>
      </w:tr>
      <w:tr>
        <w:trPr>
          <w:trHeight w:val="395" w:hRule="atLeast"/>
        </w:trPr>
        <w:tc>
          <w:tcPr>
            <w:tcW w:w="182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671" w:type="dxa"/>
            <w:tcBorders>
              <w:top w:val="nil"/>
            </w:tcBorders>
          </w:tcPr>
          <w:p>
            <w:pPr>
              <w:pStyle w:val="TableParagraph"/>
              <w:spacing w:line="271" w:lineRule="exact" w:before="0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positivas</w:t>
            </w:r>
          </w:p>
        </w:tc>
        <w:tc>
          <w:tcPr>
            <w:tcW w:w="2647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517" w:hRule="atLeast"/>
        </w:trPr>
        <w:tc>
          <w:tcPr>
            <w:tcW w:w="182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Envio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amostras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água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para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análise no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LACEN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396</w:t>
            </w:r>
          </w:p>
        </w:tc>
      </w:tr>
      <w:tr>
        <w:trPr>
          <w:trHeight w:val="515" w:hRule="atLeast"/>
        </w:trPr>
        <w:tc>
          <w:tcPr>
            <w:tcW w:w="182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PCE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(Esquistossomose)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Busca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ativa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/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Coproscopia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/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Tratamento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2.400</w:t>
            </w:r>
          </w:p>
        </w:tc>
      </w:tr>
      <w:tr>
        <w:trPr>
          <w:trHeight w:val="515" w:hRule="atLeast"/>
        </w:trPr>
        <w:tc>
          <w:tcPr>
            <w:tcW w:w="182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Promover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exames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para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diagnóstico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Malária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515" w:hRule="atLeast"/>
        </w:trPr>
        <w:tc>
          <w:tcPr>
            <w:tcW w:w="182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Serviço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desratização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(Boca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lobo)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517" w:hRule="atLeast"/>
        </w:trPr>
        <w:tc>
          <w:tcPr>
            <w:tcW w:w="182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Numero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boca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lobo/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Numero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Boca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lobo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tratada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512" w:hRule="atLeast"/>
        </w:trPr>
        <w:tc>
          <w:tcPr>
            <w:tcW w:w="1826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Profilaxia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da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raiva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animal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(observação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cães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gatos).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</w:tbl>
    <w:p>
      <w:pPr>
        <w:spacing w:after="0"/>
        <w:rPr>
          <w:sz w:val="24"/>
        </w:rPr>
        <w:sectPr>
          <w:pgSz w:w="16840" w:h="11900" w:orient="landscape"/>
          <w:pgMar w:top="1100" w:bottom="280" w:left="360" w:right="6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tbl>
      <w:tblPr>
        <w:tblW w:w="0" w:type="auto"/>
        <w:jc w:val="left"/>
        <w:tblInd w:w="149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26"/>
        <w:gridCol w:w="8671"/>
        <w:gridCol w:w="2647"/>
      </w:tblGrid>
      <w:tr>
        <w:trPr>
          <w:trHeight w:val="1067" w:hRule="atLeast"/>
        </w:trPr>
        <w:tc>
          <w:tcPr>
            <w:tcW w:w="1826" w:type="dxa"/>
            <w:vMerge w:val="restart"/>
          </w:tcPr>
          <w:p>
            <w:pPr>
              <w:pStyle w:val="TableParagraph"/>
              <w:ind w:left="119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122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-</w:t>
            </w:r>
          </w:p>
          <w:p>
            <w:pPr>
              <w:pStyle w:val="TableParagraph"/>
              <w:spacing w:before="1"/>
              <w:ind w:left="119" w:right="151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Administração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Geral</w:t>
            </w:r>
          </w:p>
        </w:tc>
        <w:tc>
          <w:tcPr>
            <w:tcW w:w="8671" w:type="dxa"/>
          </w:tcPr>
          <w:p>
            <w:pPr>
              <w:pStyle w:val="TableParagraph"/>
              <w:ind w:right="234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Manter a contratação de 01 equipe Multidisciplinar (farmacêutico,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fisioterapeuta) para oferecer apoio clínico e matricial às equipes de Estratégia</w:t>
            </w:r>
            <w:r>
              <w:rPr>
                <w:color w:val="323232"/>
                <w:spacing w:val="-65"/>
                <w:sz w:val="24"/>
              </w:rPr>
              <w:t> </w:t>
            </w:r>
            <w:r>
              <w:rPr>
                <w:color w:val="323232"/>
                <w:sz w:val="24"/>
              </w:rPr>
              <w:t>Saúde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da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Família, com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atuação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nas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Unidades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Saúde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da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Família.</w:t>
            </w:r>
          </w:p>
        </w:tc>
        <w:tc>
          <w:tcPr>
            <w:tcW w:w="2647" w:type="dxa"/>
          </w:tcPr>
          <w:p>
            <w:pPr>
              <w:pStyle w:val="TableParagraph"/>
              <w:ind w:left="12"/>
              <w:rPr>
                <w:sz w:val="24"/>
              </w:rPr>
            </w:pPr>
            <w:r>
              <w:rPr>
                <w:color w:val="323232"/>
                <w:w w:val="99"/>
                <w:sz w:val="24"/>
              </w:rPr>
              <w:t>1</w:t>
            </w:r>
          </w:p>
        </w:tc>
      </w:tr>
      <w:tr>
        <w:trPr>
          <w:trHeight w:val="517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Favorecer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o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acesso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da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população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ao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exercício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do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controle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social</w:t>
            </w:r>
          </w:p>
        </w:tc>
        <w:tc>
          <w:tcPr>
            <w:tcW w:w="2647" w:type="dxa"/>
          </w:tcPr>
          <w:p>
            <w:pPr>
              <w:pStyle w:val="TableParagraph"/>
              <w:spacing w:before="107"/>
              <w:ind w:left="326" w:right="2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100,00</w:t>
            </w:r>
          </w:p>
        </w:tc>
      </w:tr>
      <w:tr>
        <w:trPr>
          <w:trHeight w:val="1619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ind w:right="173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Repassar recurso financeiro a Fundação Hospitalar Beneficente Concórdia de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acordo com a Portaria GM/MS nº 96, de 07 de Fevereiro de 2023, decorrentes</w:t>
            </w:r>
            <w:r>
              <w:rPr>
                <w:color w:val="323232"/>
                <w:spacing w:val="-65"/>
                <w:sz w:val="24"/>
              </w:rPr>
              <w:t> </w:t>
            </w:r>
            <w:r>
              <w:rPr>
                <w:color w:val="323232"/>
                <w:sz w:val="24"/>
              </w:rPr>
              <w:t>de transposição e transferência dos saldos financeiros remanescentes de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exercícios anteriores a 2018, nos termos da Lei Complementar nº 197, de 06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Dezembro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2022.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1343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ind w:right="120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Adequar a estrutura física de todas as Unidades de Saúde da Família, por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meio de reformas, construções, ampliações, adequações e aquisição de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materiais permanentes e de custeio, promovendo a melhoria da ambiência nas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16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Unidades de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Saúde.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10,00</w:t>
            </w:r>
          </w:p>
        </w:tc>
      </w:tr>
      <w:tr>
        <w:trPr>
          <w:trHeight w:val="1067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ind w:right="434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Manter a composição mínima de profissionais das equipes estratégicas da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Atenção Primária à Saúde: 15 Equipes de ESF, 15 Equipes de SB, 87 ACS,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com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qualificação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dos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serviços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prestados.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85,00</w:t>
            </w:r>
          </w:p>
        </w:tc>
      </w:tr>
      <w:tr>
        <w:trPr>
          <w:trHeight w:val="793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Implantar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em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todas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as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Unidades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Saúde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o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Prontuário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eletrônico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do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Cidadão</w:t>
            </w:r>
          </w:p>
          <w:p>
            <w:pPr>
              <w:pStyle w:val="TableParagraph"/>
              <w:spacing w:before="1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– Sistema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E-SUS AB.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Propiciar</w:t>
            </w:r>
            <w:r>
              <w:rPr>
                <w:color w:val="323232"/>
                <w:spacing w:val="-7"/>
                <w:sz w:val="24"/>
              </w:rPr>
              <w:t> </w:t>
            </w:r>
            <w:r>
              <w:rPr>
                <w:color w:val="323232"/>
                <w:sz w:val="24"/>
              </w:rPr>
              <w:t>capacitação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aos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Conselheiros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Municipais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Saúde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80,00</w:t>
            </w:r>
          </w:p>
        </w:tc>
      </w:tr>
      <w:tr>
        <w:trPr>
          <w:trHeight w:val="788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ind w:right="887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Adequar o espaço físico da Vigilância Epidemiológica com aquisição de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computadores,</w:t>
            </w:r>
            <w:r>
              <w:rPr>
                <w:color w:val="323232"/>
                <w:spacing w:val="2"/>
                <w:sz w:val="24"/>
              </w:rPr>
              <w:t> </w:t>
            </w:r>
            <w:r>
              <w:rPr>
                <w:color w:val="323232"/>
                <w:sz w:val="24"/>
              </w:rPr>
              <w:t>mesas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e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cadeiras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90,00</w:t>
            </w:r>
          </w:p>
        </w:tc>
      </w:tr>
    </w:tbl>
    <w:p>
      <w:pPr>
        <w:spacing w:after="0"/>
        <w:rPr>
          <w:sz w:val="24"/>
        </w:rPr>
        <w:sectPr>
          <w:pgSz w:w="16840" w:h="11900" w:orient="landscape"/>
          <w:pgMar w:top="1100" w:bottom="280" w:left="360" w:right="6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tbl>
      <w:tblPr>
        <w:tblW w:w="0" w:type="auto"/>
        <w:jc w:val="left"/>
        <w:tblInd w:w="149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26"/>
        <w:gridCol w:w="8671"/>
        <w:gridCol w:w="2647"/>
      </w:tblGrid>
      <w:tr>
        <w:trPr>
          <w:trHeight w:val="515" w:hRule="atLeast"/>
        </w:trPr>
        <w:tc>
          <w:tcPr>
            <w:tcW w:w="1826" w:type="dxa"/>
            <w:vMerge w:val="restart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Estimular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a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criação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Conselhos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Locais de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Saúde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80,00</w:t>
            </w:r>
          </w:p>
        </w:tc>
      </w:tr>
      <w:tr>
        <w:trPr>
          <w:trHeight w:val="517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Sala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própria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reuniões</w:t>
            </w:r>
          </w:p>
        </w:tc>
        <w:tc>
          <w:tcPr>
            <w:tcW w:w="2647" w:type="dxa"/>
          </w:tcPr>
          <w:p>
            <w:pPr>
              <w:pStyle w:val="TableParagraph"/>
              <w:ind w:left="12"/>
              <w:rPr>
                <w:sz w:val="24"/>
              </w:rPr>
            </w:pPr>
            <w:r>
              <w:rPr>
                <w:color w:val="323232"/>
                <w:w w:val="99"/>
                <w:sz w:val="24"/>
              </w:rPr>
              <w:t>1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Aumentar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a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oferta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consultas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exames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especializados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20,00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Contratualizar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Leitos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Saúde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Mental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791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line="237" w:lineRule="auto" w:before="120"/>
              <w:ind w:right="527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Contratação de profissionais Farmacêuticos no quantitativo adequado para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atender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a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todas as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unidades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517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Reestruturar 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espaço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físico do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SAE</w:t>
            </w:r>
          </w:p>
        </w:tc>
        <w:tc>
          <w:tcPr>
            <w:tcW w:w="2647" w:type="dxa"/>
          </w:tcPr>
          <w:p>
            <w:pPr>
              <w:pStyle w:val="TableParagraph"/>
              <w:ind w:left="12"/>
              <w:rPr>
                <w:sz w:val="24"/>
              </w:rPr>
            </w:pPr>
            <w:r>
              <w:rPr>
                <w:color w:val="323232"/>
                <w:w w:val="99"/>
                <w:sz w:val="24"/>
              </w:rPr>
              <w:t>1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Implantar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sistema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Ouvidoria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do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SUS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na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Secretaria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Saúde.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12"/>
              <w:rPr>
                <w:sz w:val="24"/>
              </w:rPr>
            </w:pPr>
            <w:r>
              <w:rPr>
                <w:color w:val="323232"/>
                <w:w w:val="99"/>
                <w:sz w:val="24"/>
              </w:rPr>
              <w:t>1</w:t>
            </w:r>
          </w:p>
        </w:tc>
      </w:tr>
      <w:tr>
        <w:trPr>
          <w:trHeight w:val="1067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ind w:right="43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Manter a pactuação com o Consórcio Intermunicipal Pedra Azul (CIM Pedra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Azul) e Convênio da Rede Cuidar para oferta de consultas e exames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especializados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791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line="237" w:lineRule="auto" w:before="120"/>
              <w:ind w:right="1248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PESMES - Educação Ambiental / Palestras Escolas, Comunidades /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Panfletagem</w:t>
            </w:r>
          </w:p>
        </w:tc>
        <w:tc>
          <w:tcPr>
            <w:tcW w:w="2647" w:type="dxa"/>
          </w:tcPr>
          <w:p>
            <w:pPr>
              <w:pStyle w:val="TableParagraph"/>
              <w:ind w:left="12"/>
              <w:rPr>
                <w:sz w:val="24"/>
              </w:rPr>
            </w:pPr>
            <w:r>
              <w:rPr>
                <w:color w:val="323232"/>
                <w:w w:val="99"/>
                <w:sz w:val="24"/>
              </w:rPr>
              <w:t>1</w:t>
            </w:r>
          </w:p>
        </w:tc>
      </w:tr>
      <w:tr>
        <w:trPr>
          <w:trHeight w:val="793" w:hRule="atLeast"/>
        </w:trPr>
        <w:tc>
          <w:tcPr>
            <w:tcW w:w="1826" w:type="dxa"/>
            <w:vMerge w:val="restart"/>
          </w:tcPr>
          <w:p>
            <w:pPr>
              <w:pStyle w:val="TableParagraph"/>
              <w:ind w:left="119" w:right="177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301 - Atenção</w:t>
            </w:r>
            <w:r>
              <w:rPr>
                <w:color w:val="323232"/>
                <w:spacing w:val="-65"/>
                <w:sz w:val="24"/>
              </w:rPr>
              <w:t> </w:t>
            </w:r>
            <w:r>
              <w:rPr>
                <w:color w:val="323232"/>
                <w:sz w:val="24"/>
              </w:rPr>
              <w:t>Básica</w:t>
            </w:r>
          </w:p>
        </w:tc>
        <w:tc>
          <w:tcPr>
            <w:tcW w:w="8671" w:type="dxa"/>
          </w:tcPr>
          <w:p>
            <w:pPr>
              <w:pStyle w:val="TableParagraph"/>
              <w:ind w:right="1088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Elaborar a carta de serviços da Estratégia Saúde da Família e manter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atualizada.</w:t>
            </w:r>
          </w:p>
        </w:tc>
        <w:tc>
          <w:tcPr>
            <w:tcW w:w="2647" w:type="dxa"/>
          </w:tcPr>
          <w:p>
            <w:pPr>
              <w:pStyle w:val="TableParagraph"/>
              <w:ind w:left="12"/>
              <w:rPr>
                <w:sz w:val="24"/>
              </w:rPr>
            </w:pPr>
            <w:r>
              <w:rPr>
                <w:color w:val="323232"/>
                <w:w w:val="99"/>
                <w:sz w:val="24"/>
              </w:rPr>
              <w:t>1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Realizar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exames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anti-HIV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nos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casos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novos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7"/>
                <w:sz w:val="24"/>
              </w:rPr>
              <w:t> </w:t>
            </w:r>
            <w:r>
              <w:rPr>
                <w:color w:val="323232"/>
                <w:sz w:val="24"/>
              </w:rPr>
              <w:t>tuberculose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788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ind w:right="194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Reduzir a taxa de mortalidade prematura em maiores de 70 anos por doenças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crônicas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12"/>
              <w:rPr>
                <w:sz w:val="24"/>
              </w:rPr>
            </w:pPr>
            <w:r>
              <w:rPr>
                <w:color w:val="323232"/>
                <w:w w:val="99"/>
                <w:sz w:val="24"/>
              </w:rPr>
              <w:t>1</w:t>
            </w:r>
          </w:p>
        </w:tc>
      </w:tr>
    </w:tbl>
    <w:p>
      <w:pPr>
        <w:spacing w:after="0"/>
        <w:rPr>
          <w:sz w:val="24"/>
        </w:rPr>
        <w:sectPr>
          <w:pgSz w:w="16840" w:h="11900" w:orient="landscape"/>
          <w:pgMar w:top="1100" w:bottom="280" w:left="360" w:right="6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tbl>
      <w:tblPr>
        <w:tblW w:w="0" w:type="auto"/>
        <w:jc w:val="left"/>
        <w:tblInd w:w="149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26"/>
        <w:gridCol w:w="8671"/>
        <w:gridCol w:w="2647"/>
      </w:tblGrid>
      <w:tr>
        <w:trPr>
          <w:trHeight w:val="515" w:hRule="atLeast"/>
        </w:trPr>
        <w:tc>
          <w:tcPr>
            <w:tcW w:w="1826" w:type="dxa"/>
            <w:vMerge w:val="restart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Cadastrar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Diabéticos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e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Hipertensos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1069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ind w:right="674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Aprimorar a política municipal de assistência à saúde bucal, garantindo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assistência odontológica de qualidade com eficiência e resolutividade nos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diferentes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ciclos da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vida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(saúde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bucal).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PSE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80,00</w:t>
            </w:r>
          </w:p>
        </w:tc>
      </w:tr>
      <w:tr>
        <w:trPr>
          <w:trHeight w:val="791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ind w:right="514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Implantar a caderneta da pessoa idosa para uso dos usuários do Município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mediante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recebimento das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cadernetas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pelo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Ministério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da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Saúde.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75,00</w:t>
            </w:r>
          </w:p>
        </w:tc>
      </w:tr>
      <w:tr>
        <w:trPr>
          <w:trHeight w:val="791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ind w:right="1301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Promover busca ativa das crianças menores de 01 anos faltosas na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puericultura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80,00</w:t>
            </w:r>
          </w:p>
        </w:tc>
      </w:tr>
      <w:tr>
        <w:trPr>
          <w:trHeight w:val="791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line="237" w:lineRule="auto" w:before="120"/>
              <w:ind w:right="341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Oferecer atendimento multiprofissional a esses pacientes, com realização de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projeto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terapêutico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singular,</w:t>
            </w:r>
            <w:r>
              <w:rPr>
                <w:color w:val="323232"/>
                <w:spacing w:val="2"/>
                <w:sz w:val="24"/>
              </w:rPr>
              <w:t> </w:t>
            </w:r>
            <w:r>
              <w:rPr>
                <w:color w:val="323232"/>
                <w:sz w:val="24"/>
              </w:rPr>
              <w:t>considerando o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plano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cuidados.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47,00</w:t>
            </w:r>
          </w:p>
        </w:tc>
      </w:tr>
      <w:tr>
        <w:trPr>
          <w:trHeight w:val="793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ind w:right="634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Realizar busca ativa dos hipertensos e diabéticos no território por meio de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visita domiciliar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80,00</w:t>
            </w:r>
          </w:p>
        </w:tc>
      </w:tr>
      <w:tr>
        <w:trPr>
          <w:trHeight w:val="791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ind w:right="941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Qualificar os profissionais de Saúde da Atenção Primária à Saúde para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realizar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os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atendimentos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Pré-natal.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4" w:right="302"/>
              <w:rPr>
                <w:sz w:val="24"/>
              </w:rPr>
            </w:pPr>
            <w:r>
              <w:rPr>
                <w:color w:val="323232"/>
                <w:sz w:val="24"/>
              </w:rPr>
              <w:t>90</w:t>
            </w:r>
          </w:p>
        </w:tc>
      </w:tr>
      <w:tr>
        <w:trPr>
          <w:trHeight w:val="791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Intensificar as campanhas de prevenção de gravidez na adolescência nas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Unidades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Saúde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nas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Escolas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por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meio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do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Programa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Saúde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na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Escola.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10,00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Reduzir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o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numero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casos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sifilis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congênita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em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menores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01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ano</w:t>
            </w:r>
          </w:p>
        </w:tc>
        <w:tc>
          <w:tcPr>
            <w:tcW w:w="2647" w:type="dxa"/>
          </w:tcPr>
          <w:p>
            <w:pPr>
              <w:pStyle w:val="TableParagraph"/>
              <w:ind w:left="12"/>
              <w:rPr>
                <w:sz w:val="24"/>
              </w:rPr>
            </w:pPr>
            <w:r>
              <w:rPr>
                <w:color w:val="323232"/>
                <w:w w:val="99"/>
                <w:sz w:val="24"/>
              </w:rPr>
              <w:t>2</w:t>
            </w:r>
          </w:p>
        </w:tc>
      </w:tr>
      <w:tr>
        <w:trPr>
          <w:trHeight w:val="791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ind w:right="634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Implantar protocolo de atendimento ao idoso conforme ações descritas na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caderneta do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idoso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80,00</w:t>
            </w:r>
          </w:p>
        </w:tc>
      </w:tr>
    </w:tbl>
    <w:p>
      <w:pPr>
        <w:spacing w:after="0"/>
        <w:rPr>
          <w:sz w:val="24"/>
        </w:rPr>
        <w:sectPr>
          <w:pgSz w:w="16840" w:h="11900" w:orient="landscape"/>
          <w:pgMar w:top="1100" w:bottom="280" w:left="360" w:right="6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tbl>
      <w:tblPr>
        <w:tblW w:w="0" w:type="auto"/>
        <w:jc w:val="left"/>
        <w:tblInd w:w="149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26"/>
        <w:gridCol w:w="8671"/>
        <w:gridCol w:w="2647"/>
      </w:tblGrid>
      <w:tr>
        <w:trPr>
          <w:trHeight w:val="515" w:hRule="atLeast"/>
        </w:trPr>
        <w:tc>
          <w:tcPr>
            <w:tcW w:w="1826" w:type="dxa"/>
            <w:vMerge w:val="restart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Identificar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precocemente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os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casos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tuberculose/hanseníase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no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município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793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Implementar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as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ações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para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o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diagnóstico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precoce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das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ISTs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(abordagem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sindrômica).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Cadastrar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a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população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no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Programa</w:t>
            </w:r>
            <w:r>
              <w:rPr>
                <w:color w:val="323232"/>
                <w:spacing w:val="-7"/>
                <w:sz w:val="24"/>
              </w:rPr>
              <w:t> </w:t>
            </w:r>
            <w:r>
              <w:rPr>
                <w:color w:val="323232"/>
                <w:sz w:val="24"/>
              </w:rPr>
              <w:t>Previne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Brasil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vincular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a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equipe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791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ind w:right="768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Manter a realização dos testes rápidos de IST’s em todas as gestantes e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realizar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tratamento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adequado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conforme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diretrizes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protocolos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clínicos.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90,00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Aderir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ao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Programa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Nacional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Suplementação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Vitamina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A</w:t>
            </w:r>
          </w:p>
        </w:tc>
        <w:tc>
          <w:tcPr>
            <w:tcW w:w="2647" w:type="dxa"/>
          </w:tcPr>
          <w:p>
            <w:pPr>
              <w:pStyle w:val="TableParagraph"/>
              <w:ind w:left="12"/>
              <w:rPr>
                <w:sz w:val="24"/>
              </w:rPr>
            </w:pPr>
            <w:r>
              <w:rPr>
                <w:color w:val="323232"/>
                <w:w w:val="99"/>
                <w:sz w:val="24"/>
              </w:rPr>
              <w:t>1</w:t>
            </w:r>
          </w:p>
        </w:tc>
      </w:tr>
      <w:tr>
        <w:trPr>
          <w:trHeight w:val="793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ind w:right="180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Manter em funcionamento adequado os Consultórios odontológicos existentes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com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pessoal,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materiais,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mobiliários.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80,00</w:t>
            </w:r>
          </w:p>
        </w:tc>
      </w:tr>
      <w:tr>
        <w:trPr>
          <w:trHeight w:val="791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ind w:right="700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Manter o numero de óbitos de mortalidade infantil no Município abaixo 07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óbitos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por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ano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12"/>
              <w:rPr>
                <w:sz w:val="24"/>
              </w:rPr>
            </w:pPr>
            <w:r>
              <w:rPr>
                <w:color w:val="323232"/>
                <w:w w:val="99"/>
                <w:sz w:val="24"/>
              </w:rPr>
              <w:t>6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Reduzir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as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prevalências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consumo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nocivo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álcool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4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</w:t>
            </w:r>
          </w:p>
        </w:tc>
      </w:tr>
      <w:tr>
        <w:trPr>
          <w:trHeight w:val="791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line="237" w:lineRule="auto" w:before="120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Realizar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registros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no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SISAB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da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aferição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Pressão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Arterial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dos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hipertensos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cadastrados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517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Realizar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busca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ativa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faltosos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abandono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tratamento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791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ind w:right="913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Realizar acompanhamento odontológico das gestantes atendidas pelas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unidades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saúde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da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família.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50,00</w:t>
            </w:r>
          </w:p>
        </w:tc>
      </w:tr>
    </w:tbl>
    <w:p>
      <w:pPr>
        <w:spacing w:after="0"/>
        <w:rPr>
          <w:sz w:val="24"/>
        </w:rPr>
        <w:sectPr>
          <w:pgSz w:w="16840" w:h="11900" w:orient="landscape"/>
          <w:pgMar w:top="1100" w:bottom="280" w:left="360" w:right="6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tbl>
      <w:tblPr>
        <w:tblW w:w="0" w:type="auto"/>
        <w:jc w:val="left"/>
        <w:tblInd w:w="149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26"/>
        <w:gridCol w:w="8671"/>
        <w:gridCol w:w="2647"/>
      </w:tblGrid>
      <w:tr>
        <w:trPr>
          <w:trHeight w:val="791" w:hRule="atLeast"/>
        </w:trPr>
        <w:tc>
          <w:tcPr>
            <w:tcW w:w="1826" w:type="dxa"/>
            <w:vMerge w:val="restart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Capacitar os profissionais que atuam nos pontos de atenção ao idoso na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identificação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das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situações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risco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vulnerabilidade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e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acolhimento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do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idoso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80,00</w:t>
            </w:r>
          </w:p>
        </w:tc>
      </w:tr>
      <w:tr>
        <w:trPr>
          <w:trHeight w:val="517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Aderir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ao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programa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Crescer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Saudável</w:t>
            </w:r>
          </w:p>
        </w:tc>
        <w:tc>
          <w:tcPr>
            <w:tcW w:w="2647" w:type="dxa"/>
          </w:tcPr>
          <w:p>
            <w:pPr>
              <w:pStyle w:val="TableParagraph"/>
              <w:ind w:left="12"/>
              <w:rPr>
                <w:sz w:val="24"/>
              </w:rPr>
            </w:pPr>
            <w:r>
              <w:rPr>
                <w:color w:val="323232"/>
                <w:w w:val="99"/>
                <w:sz w:val="24"/>
              </w:rPr>
              <w:t>1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Garantir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acesso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ao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Pré-Natal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as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usuárias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do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SUS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90,00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Manter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a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cobertura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saúde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bucal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na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Atenção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Básica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55,00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Tratar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os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casos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novos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notificados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793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ind w:right="1128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Registrar no SISAB a solicitação de hemoglobina Glicada conforme o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PREVINE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791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ind w:right="100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Capacitar os Agentes Comunitários Saúde para identificação e abordagem das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necessidades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saúde.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80,00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Aumentar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a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prevalência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atividade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física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no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lazer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12"/>
              <w:rPr>
                <w:sz w:val="24"/>
              </w:rPr>
            </w:pPr>
            <w:r>
              <w:rPr>
                <w:color w:val="323232"/>
                <w:w w:val="99"/>
                <w:sz w:val="24"/>
              </w:rPr>
              <w:t>1</w:t>
            </w:r>
          </w:p>
        </w:tc>
      </w:tr>
      <w:tr>
        <w:trPr>
          <w:trHeight w:val="791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line="237" w:lineRule="auto" w:before="120"/>
              <w:ind w:right="173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Realizar grupo de gestantes nas Unidades de saúde da Família com enfoque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na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assistência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ao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pré-natal,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parto, puerpério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e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cuidados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com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o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recém-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nascido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50,00</w:t>
            </w:r>
          </w:p>
        </w:tc>
      </w:tr>
      <w:tr>
        <w:trPr>
          <w:trHeight w:val="793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ind w:right="488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Implementar o atendimento à puérpera e o recém-nascido nos primeiros 15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dias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vida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do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Recém-nascido.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90,00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Aumentar 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consumo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frutas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e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hortaliças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20,00</w:t>
            </w:r>
          </w:p>
        </w:tc>
      </w:tr>
      <w:tr>
        <w:trPr>
          <w:trHeight w:val="788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ind w:right="421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Buscar parcerias com a Secretaria de Ação Social para desenvolvimento de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ações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lúdicas e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atividades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físicas com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os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idosos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80,00</w:t>
            </w:r>
          </w:p>
        </w:tc>
      </w:tr>
    </w:tbl>
    <w:p>
      <w:pPr>
        <w:spacing w:after="0"/>
        <w:rPr>
          <w:sz w:val="24"/>
        </w:rPr>
        <w:sectPr>
          <w:pgSz w:w="16840" w:h="11900" w:orient="landscape"/>
          <w:pgMar w:top="1100" w:bottom="280" w:left="360" w:right="6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tbl>
      <w:tblPr>
        <w:tblW w:w="0" w:type="auto"/>
        <w:jc w:val="left"/>
        <w:tblInd w:w="149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26"/>
        <w:gridCol w:w="8671"/>
        <w:gridCol w:w="2647"/>
      </w:tblGrid>
      <w:tr>
        <w:trPr>
          <w:trHeight w:val="515" w:hRule="atLeast"/>
        </w:trPr>
        <w:tc>
          <w:tcPr>
            <w:tcW w:w="1826" w:type="dxa"/>
            <w:vMerge w:val="restart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Matriciamento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todas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as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Equipes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Saúde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da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Família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517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Realizar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reuniões/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capacitações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com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as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equipes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das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UBS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791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ind w:right="101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Desenvolver Programa de Atendimento Domiciliar com equipe multiprofissional</w:t>
            </w:r>
            <w:r>
              <w:rPr>
                <w:color w:val="323232"/>
                <w:spacing w:val="-65"/>
                <w:sz w:val="24"/>
              </w:rPr>
              <w:t> </w:t>
            </w:r>
            <w:r>
              <w:rPr>
                <w:color w:val="323232"/>
                <w:sz w:val="24"/>
              </w:rPr>
              <w:t>para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idosos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com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risco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de vulnerabilidade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80,00</w:t>
            </w:r>
          </w:p>
        </w:tc>
      </w:tr>
      <w:tr>
        <w:trPr>
          <w:trHeight w:val="791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ind w:right="941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Disponibilizar os testes rápidos de gravidez nas Unidades de Saúde da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Família.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90,00</w:t>
            </w:r>
          </w:p>
        </w:tc>
      </w:tr>
      <w:tr>
        <w:trPr>
          <w:trHeight w:val="1067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ind w:right="173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Capacitar anualmente os agentes Comunitários de Saúde - ACS para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captação precoce das gestantes, busca ativa das gestantes faltosas, bem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como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da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importância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do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acompanhamento da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gestação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por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meio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do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pré-natal.</w:t>
            </w:r>
          </w:p>
        </w:tc>
        <w:tc>
          <w:tcPr>
            <w:tcW w:w="2647" w:type="dxa"/>
          </w:tcPr>
          <w:p>
            <w:pPr>
              <w:pStyle w:val="TableParagraph"/>
              <w:ind w:left="12"/>
              <w:rPr>
                <w:sz w:val="24"/>
              </w:rPr>
            </w:pPr>
            <w:r>
              <w:rPr>
                <w:color w:val="323232"/>
                <w:w w:val="99"/>
                <w:sz w:val="24"/>
              </w:rPr>
              <w:t>1</w:t>
            </w:r>
          </w:p>
        </w:tc>
      </w:tr>
      <w:tr>
        <w:trPr>
          <w:trHeight w:val="517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Reduzir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a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prevalência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tabagismo</w:t>
            </w:r>
          </w:p>
        </w:tc>
        <w:tc>
          <w:tcPr>
            <w:tcW w:w="2647" w:type="dxa"/>
          </w:tcPr>
          <w:p>
            <w:pPr>
              <w:pStyle w:val="TableParagraph"/>
              <w:ind w:left="12"/>
              <w:rPr>
                <w:sz w:val="24"/>
              </w:rPr>
            </w:pPr>
            <w:r>
              <w:rPr>
                <w:color w:val="323232"/>
                <w:w w:val="99"/>
                <w:sz w:val="24"/>
              </w:rPr>
              <w:t>1</w:t>
            </w:r>
          </w:p>
        </w:tc>
      </w:tr>
      <w:tr>
        <w:trPr>
          <w:trHeight w:val="1067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ind w:right="328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Oferecer o tratamento de sífilis, com a administração de Penicilina Benzatina</w:t>
            </w:r>
            <w:r>
              <w:rPr>
                <w:color w:val="323232"/>
                <w:spacing w:val="-65"/>
                <w:sz w:val="24"/>
              </w:rPr>
              <w:t> </w:t>
            </w:r>
            <w:r>
              <w:rPr>
                <w:color w:val="323232"/>
                <w:sz w:val="24"/>
              </w:rPr>
              <w:t>em todas as 15 Unidades de Saúde do Município, principalmente para o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tratamento da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sífilis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adquirida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sífilis na gestação.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90,00</w:t>
            </w:r>
          </w:p>
        </w:tc>
      </w:tr>
      <w:tr>
        <w:trPr>
          <w:trHeight w:val="791" w:hRule="atLeast"/>
        </w:trPr>
        <w:tc>
          <w:tcPr>
            <w:tcW w:w="1826" w:type="dxa"/>
            <w:vMerge w:val="restart"/>
          </w:tcPr>
          <w:p>
            <w:pPr>
              <w:pStyle w:val="TableParagraph"/>
              <w:spacing w:before="115"/>
              <w:ind w:left="119"/>
              <w:jc w:val="both"/>
              <w:rPr>
                <w:sz w:val="24"/>
              </w:rPr>
            </w:pPr>
            <w:r>
              <w:rPr>
                <w:color w:val="323232"/>
                <w:sz w:val="24"/>
              </w:rPr>
              <w:t>302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-</w:t>
            </w:r>
          </w:p>
          <w:p>
            <w:pPr>
              <w:pStyle w:val="TableParagraph"/>
              <w:spacing w:before="0"/>
              <w:ind w:left="119" w:right="356"/>
              <w:jc w:val="both"/>
              <w:rPr>
                <w:sz w:val="24"/>
              </w:rPr>
            </w:pPr>
            <w:r>
              <w:rPr>
                <w:color w:val="323232"/>
                <w:sz w:val="24"/>
              </w:rPr>
              <w:t>Assistência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Hospitalar e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pacing w:val="-1"/>
                <w:sz w:val="24"/>
              </w:rPr>
              <w:t>Ambulatorial</w:t>
            </w:r>
          </w:p>
        </w:tc>
        <w:tc>
          <w:tcPr>
            <w:tcW w:w="8671" w:type="dxa"/>
          </w:tcPr>
          <w:p>
            <w:pPr>
              <w:pStyle w:val="TableParagraph"/>
              <w:spacing w:before="115"/>
              <w:ind w:right="621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Realizar estudos de necessidades e de suficiência de consultas e exames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especializados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791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line="237" w:lineRule="auto" w:before="120"/>
              <w:ind w:right="234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Atender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as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pessoas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com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sofrimento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ou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transtorno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mental,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incluindo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aquelas</w:t>
            </w:r>
            <w:r>
              <w:rPr>
                <w:color w:val="323232"/>
                <w:spacing w:val="-63"/>
                <w:sz w:val="24"/>
              </w:rPr>
              <w:t> </w:t>
            </w:r>
            <w:r>
              <w:rPr>
                <w:color w:val="323232"/>
                <w:sz w:val="24"/>
              </w:rPr>
              <w:t>com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necessidades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decorrentes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do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uso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álcool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e outras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drogas.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791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ind w:right="141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Elaborar instrutivos da rede de serviços especializados, seus fluxos e perfis de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atendimento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</w:tbl>
    <w:p>
      <w:pPr>
        <w:spacing w:after="0"/>
        <w:rPr>
          <w:sz w:val="24"/>
        </w:rPr>
        <w:sectPr>
          <w:pgSz w:w="16840" w:h="11900" w:orient="landscape"/>
          <w:pgMar w:top="1100" w:bottom="280" w:left="360" w:right="6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tbl>
      <w:tblPr>
        <w:tblW w:w="0" w:type="auto"/>
        <w:jc w:val="left"/>
        <w:tblInd w:w="149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26"/>
        <w:gridCol w:w="8671"/>
        <w:gridCol w:w="2647"/>
      </w:tblGrid>
      <w:tr>
        <w:trPr>
          <w:trHeight w:val="1067" w:hRule="atLeast"/>
        </w:trPr>
        <w:tc>
          <w:tcPr>
            <w:tcW w:w="1826" w:type="dxa"/>
            <w:vMerge w:val="restart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ind w:right="607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Capacitar equipes de Atenção básica para abordagem e fortalecimento da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triagem de problemas vinculados á violência, abuso de álcool, drogas e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transtornos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mentais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1069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ind w:right="607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Capacitar equipes de Atenção básica para abordagem e fortalecimento da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triagem de problemas vinculados á violência, abuso de álcool, drogas e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transtornos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mentais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80,00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Atualizar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manter a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carta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serviços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da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Secretaria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Municipal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Saúde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Ações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conscientização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sobre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saúde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mental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na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comunidade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Aderir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ao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protocolo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clínico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para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exames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e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consultas especializadas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da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SESA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517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Contratualizar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Leitos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Saúde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Mental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1067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ind w:right="1007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Aderir ao sistema de agendamento MV em todas unidades de atenção</w:t>
            </w:r>
            <w:r>
              <w:rPr>
                <w:color w:val="323232"/>
                <w:spacing w:val="-65"/>
                <w:sz w:val="24"/>
              </w:rPr>
              <w:t> </w:t>
            </w:r>
            <w:r>
              <w:rPr>
                <w:color w:val="323232"/>
                <w:sz w:val="24"/>
              </w:rPr>
              <w:t>primária e especializada, para agendamento de consultas e exames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especializados ofertados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pela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Secretaria Estadual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Saúde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1067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ind w:right="541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Capacitar novos profissionais de saúde quanto à utilização do sistema MV,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utilizado para solicitação e agendamento de consultas e exames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especializados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Realizar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Visita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Hospitalar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</w:tbl>
    <w:p>
      <w:pPr>
        <w:spacing w:after="0"/>
        <w:rPr>
          <w:sz w:val="24"/>
        </w:rPr>
        <w:sectPr>
          <w:pgSz w:w="16840" w:h="11900" w:orient="landscape"/>
          <w:pgMar w:top="1100" w:bottom="280" w:left="360" w:right="6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tbl>
      <w:tblPr>
        <w:tblW w:w="0" w:type="auto"/>
        <w:jc w:val="left"/>
        <w:tblInd w:w="149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26"/>
        <w:gridCol w:w="8671"/>
        <w:gridCol w:w="2647"/>
      </w:tblGrid>
      <w:tr>
        <w:trPr>
          <w:trHeight w:val="1343" w:hRule="atLeast"/>
        </w:trPr>
        <w:tc>
          <w:tcPr>
            <w:tcW w:w="1826" w:type="dxa"/>
            <w:vMerge w:val="restart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ind w:right="314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Atualizar constantemente os profissionais solicitantes quanto às atualizações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no sistema de agendamento, e oferta e fluxo de consultas e exames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especializados que são ofertadas pela rede estadual, municipal ou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contratualizada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517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Revisão,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treinamento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RAAS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(Registro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das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Ações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Ambulatoriais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em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Saúde)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90,00</w:t>
            </w:r>
          </w:p>
        </w:tc>
      </w:tr>
      <w:tr>
        <w:trPr>
          <w:trHeight w:val="791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ind w:right="447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Orientar os profissionais solicitantes quanto às demandas e protocolos para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acesso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aos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serviços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média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e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alta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complexidade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Ativar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COMAD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(Conselho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Municipal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Antidrogas)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1067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ind w:right="197"/>
              <w:jc w:val="both"/>
              <w:rPr>
                <w:sz w:val="24"/>
              </w:rPr>
            </w:pPr>
            <w:r>
              <w:rPr>
                <w:color w:val="323232"/>
                <w:sz w:val="24"/>
              </w:rPr>
              <w:t>Buscar projetos do Ministério da Saúde e Secretaria de Estado da Saúde para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aquisição de equipamentos / insumos / construção / reformas de Unidades de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Saúde,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bem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como através de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emendas parlamentares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70,00</w:t>
            </w:r>
          </w:p>
        </w:tc>
      </w:tr>
      <w:tr>
        <w:trPr>
          <w:trHeight w:val="1069" w:hRule="atLeast"/>
        </w:trPr>
        <w:tc>
          <w:tcPr>
            <w:tcW w:w="1826" w:type="dxa"/>
            <w:vMerge w:val="restart"/>
          </w:tcPr>
          <w:p>
            <w:pPr>
              <w:pStyle w:val="TableParagraph"/>
              <w:ind w:left="119" w:right="217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303 - Suporte</w:t>
            </w:r>
            <w:r>
              <w:rPr>
                <w:color w:val="323232"/>
                <w:spacing w:val="-65"/>
                <w:sz w:val="24"/>
              </w:rPr>
              <w:t> </w:t>
            </w:r>
            <w:r>
              <w:rPr>
                <w:color w:val="323232"/>
                <w:sz w:val="24"/>
              </w:rPr>
              <w:t>Profilático e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Terapêutico</w:t>
            </w:r>
          </w:p>
        </w:tc>
        <w:tc>
          <w:tcPr>
            <w:tcW w:w="8671" w:type="dxa"/>
          </w:tcPr>
          <w:p>
            <w:pPr>
              <w:pStyle w:val="TableParagraph"/>
              <w:ind w:right="1261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Atualizar e ampliar o elenco da REMUME (Relação Municipal de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Medicamentos Essenciais) periodicamente de acordo com os dados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epidemiológicos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do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município.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791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ind w:right="274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Instalar um sistema de informação em todas as Unidades de Dispensação de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Medicamentos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e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interligá-los em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rede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791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ind w:right="101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Adequar o mobiliário e a infraestrutura das farmácias das Unidades Básicas de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Saúde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para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garantia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das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Boas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Práticas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Armazenamento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medicamentos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1064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ind w:right="127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Disponibilizar um farmacêutico para responsabilidade técnica das Unidades de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Dispensação de Medicamentos do município que não tem a presença deste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profissional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</w:tbl>
    <w:p>
      <w:pPr>
        <w:spacing w:after="0"/>
        <w:rPr>
          <w:sz w:val="24"/>
        </w:rPr>
        <w:sectPr>
          <w:pgSz w:w="16840" w:h="11900" w:orient="landscape"/>
          <w:pgMar w:top="1100" w:bottom="280" w:left="360" w:right="6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tbl>
      <w:tblPr>
        <w:tblW w:w="0" w:type="auto"/>
        <w:jc w:val="left"/>
        <w:tblInd w:w="149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26"/>
        <w:gridCol w:w="8671"/>
        <w:gridCol w:w="2647"/>
      </w:tblGrid>
      <w:tr>
        <w:trPr>
          <w:trHeight w:val="791" w:hRule="atLeast"/>
        </w:trPr>
        <w:tc>
          <w:tcPr>
            <w:tcW w:w="1826" w:type="dxa"/>
            <w:vMerge w:val="restart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ind w:right="100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Estabelecer um plano de padronização de dispensação de medicamentos para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as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Unidades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Dispensação de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Medicamentos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793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ind w:right="767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Manter o elenco de medicamentos do componente básico da assistência</w:t>
            </w:r>
            <w:r>
              <w:rPr>
                <w:color w:val="323232"/>
                <w:spacing w:val="-65"/>
                <w:sz w:val="24"/>
              </w:rPr>
              <w:t> </w:t>
            </w:r>
            <w:r>
              <w:rPr>
                <w:color w:val="323232"/>
                <w:sz w:val="24"/>
              </w:rPr>
              <w:t>farmacêutica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com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índice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cobertura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mínima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80%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791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ind w:right="607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Promover a adesão dos prescritores da rede pública municipal de saúde à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Relação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Municipal de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Medicamentos (REMUME)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791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ind w:right="701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Promover e ampliar ações voltadas à orientação da população sobre Uso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Racional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Medicamentos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o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descarte correto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dos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mesmos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1067" w:hRule="atLeast"/>
        </w:trPr>
        <w:tc>
          <w:tcPr>
            <w:tcW w:w="1826" w:type="dxa"/>
            <w:vMerge w:val="restart"/>
          </w:tcPr>
          <w:p>
            <w:pPr>
              <w:pStyle w:val="TableParagraph"/>
              <w:spacing w:line="275" w:lineRule="exact"/>
              <w:ind w:left="119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304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-</w:t>
            </w:r>
          </w:p>
          <w:p>
            <w:pPr>
              <w:pStyle w:val="TableParagraph"/>
              <w:spacing w:before="0"/>
              <w:ind w:left="119" w:right="654"/>
              <w:jc w:val="left"/>
              <w:rPr>
                <w:sz w:val="24"/>
              </w:rPr>
            </w:pPr>
            <w:r>
              <w:rPr>
                <w:color w:val="323232"/>
                <w:spacing w:val="-1"/>
                <w:sz w:val="24"/>
              </w:rPr>
              <w:t>Vigilância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Sanitária</w:t>
            </w:r>
          </w:p>
        </w:tc>
        <w:tc>
          <w:tcPr>
            <w:tcW w:w="8671" w:type="dxa"/>
          </w:tcPr>
          <w:p>
            <w:pPr>
              <w:pStyle w:val="TableParagraph"/>
              <w:ind w:right="518"/>
              <w:jc w:val="both"/>
              <w:rPr>
                <w:sz w:val="24"/>
              </w:rPr>
            </w:pPr>
            <w:r>
              <w:rPr>
                <w:color w:val="323232"/>
                <w:sz w:val="24"/>
              </w:rPr>
              <w:t>Controlar o risco sanitário nos serviços de interesse à saúde: nos locais de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trabalho; nos eventos toxicológicos e no meio ambiente. Sempre de acordo</w:t>
            </w:r>
            <w:r>
              <w:rPr>
                <w:color w:val="323232"/>
                <w:spacing w:val="-65"/>
                <w:sz w:val="24"/>
              </w:rPr>
              <w:t> </w:t>
            </w:r>
            <w:r>
              <w:rPr>
                <w:color w:val="323232"/>
                <w:sz w:val="24"/>
              </w:rPr>
              <w:t>com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a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pactuação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do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Plano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Ação da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Vigilância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Sanitária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793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ind w:right="714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Estabelecer um plano de padronização de Cadastro e Licenciamento dos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estabelecimentods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interesse</w:t>
            </w:r>
            <w:r>
              <w:rPr>
                <w:color w:val="323232"/>
                <w:spacing w:val="2"/>
                <w:sz w:val="24"/>
              </w:rPr>
              <w:t> </w:t>
            </w:r>
            <w:r>
              <w:rPr>
                <w:color w:val="323232"/>
                <w:sz w:val="24"/>
              </w:rPr>
              <w:t>à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Vigilância Sanitária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791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ind w:right="514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Regulamentação de Classificação de Grau de Risco em conformidade com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Legislação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Estadual.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Aumentar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o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numero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individuos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com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estado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nutricional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registrado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20,00</w:t>
            </w:r>
          </w:p>
        </w:tc>
      </w:tr>
      <w:tr>
        <w:trPr>
          <w:trHeight w:val="791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line="237" w:lineRule="auto" w:before="120"/>
              <w:ind w:right="207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Agilizar ações de cadastramento e tramitação de processo do Setor Regulado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na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Vigilância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Sanitária.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90,00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Aumentar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o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registro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ações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realizadas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pela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Vigilância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Sanitária.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</w:tbl>
    <w:p>
      <w:pPr>
        <w:spacing w:after="0"/>
        <w:rPr>
          <w:sz w:val="24"/>
        </w:rPr>
        <w:sectPr>
          <w:pgSz w:w="16840" w:h="11900" w:orient="landscape"/>
          <w:pgMar w:top="1100" w:bottom="280" w:left="360" w:right="6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tbl>
      <w:tblPr>
        <w:tblW w:w="0" w:type="auto"/>
        <w:jc w:val="left"/>
        <w:tblInd w:w="149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26"/>
        <w:gridCol w:w="8671"/>
        <w:gridCol w:w="2647"/>
      </w:tblGrid>
      <w:tr>
        <w:trPr>
          <w:trHeight w:val="515" w:hRule="atLeast"/>
        </w:trPr>
        <w:tc>
          <w:tcPr>
            <w:tcW w:w="1826" w:type="dxa"/>
            <w:vMerge w:val="restart"/>
          </w:tcPr>
          <w:p>
            <w:pPr>
              <w:pStyle w:val="TableParagraph"/>
              <w:ind w:left="119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305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-</w:t>
            </w:r>
          </w:p>
          <w:p>
            <w:pPr>
              <w:pStyle w:val="TableParagraph"/>
              <w:spacing w:before="1"/>
              <w:ind w:left="119" w:right="190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Vigilância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pacing w:val="-1"/>
                <w:sz w:val="24"/>
              </w:rPr>
              <w:t>Epidemiológic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a</w:t>
            </w: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Ampliar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o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número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unidades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notificadoras.</w:t>
            </w:r>
          </w:p>
        </w:tc>
        <w:tc>
          <w:tcPr>
            <w:tcW w:w="2647" w:type="dxa"/>
          </w:tcPr>
          <w:p>
            <w:pPr>
              <w:pStyle w:val="TableParagraph"/>
              <w:ind w:left="314" w:right="302"/>
              <w:rPr>
                <w:sz w:val="24"/>
              </w:rPr>
            </w:pPr>
            <w:r>
              <w:rPr>
                <w:color w:val="323232"/>
                <w:sz w:val="24"/>
              </w:rPr>
              <w:t>58</w:t>
            </w:r>
          </w:p>
        </w:tc>
      </w:tr>
      <w:tr>
        <w:trPr>
          <w:trHeight w:val="517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Realizar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exames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anti-HIV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nos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casos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novos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7"/>
                <w:sz w:val="24"/>
              </w:rPr>
              <w:t> </w:t>
            </w:r>
            <w:r>
              <w:rPr>
                <w:color w:val="323232"/>
                <w:sz w:val="24"/>
              </w:rPr>
              <w:t>tuberculose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Ampliar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as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ações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assistência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desenvolvidas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pelo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serviço.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150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Reestruturar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a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rede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frios.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Monitorar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a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cobertura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vacinal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das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crianças,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gestantes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puérperas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90,00</w:t>
            </w:r>
          </w:p>
        </w:tc>
      </w:tr>
      <w:tr>
        <w:trPr>
          <w:trHeight w:val="517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Monitorar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os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pacientes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notificados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para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Covid-19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90,00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Identificar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precocemente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os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casos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tuberculose/hanseníase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no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município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791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Capacitar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os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profissionais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das</w:t>
            </w:r>
            <w:r>
              <w:rPr>
                <w:color w:val="323232"/>
                <w:spacing w:val="-7"/>
                <w:sz w:val="24"/>
              </w:rPr>
              <w:t> </w:t>
            </w:r>
            <w:r>
              <w:rPr>
                <w:color w:val="323232"/>
                <w:sz w:val="24"/>
              </w:rPr>
              <w:t>unidades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notificadoras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quanto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ao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atendimento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eficaz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a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pacientes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portadores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dos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agravos de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notificação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compulsória.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85,00</w:t>
            </w:r>
          </w:p>
        </w:tc>
      </w:tr>
      <w:tr>
        <w:trPr>
          <w:trHeight w:val="791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line="237" w:lineRule="auto" w:before="120"/>
              <w:ind w:right="580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Manutenção do Sistema Vacina e Confia em 100% das salas de vacina do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município.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517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Realizar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busca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ativa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faltosos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abandono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tratamento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Capacitar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os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profissionais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saúde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que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atuam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em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sala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vacina.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95,00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Busca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ativa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dos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casos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não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notificados.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791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line="237" w:lineRule="auto" w:before="120"/>
              <w:ind w:right="328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Reestabelecer e ampliar os fluxos de encaminhamentos, referência e contra-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referência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na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rede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saúde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municipal.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90,00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Alcançar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a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cobertura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vacinal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contra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o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HPV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para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meninas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09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a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14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anos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90,00</w:t>
            </w:r>
          </w:p>
        </w:tc>
      </w:tr>
    </w:tbl>
    <w:p>
      <w:pPr>
        <w:spacing w:after="0"/>
        <w:rPr>
          <w:sz w:val="24"/>
        </w:rPr>
        <w:sectPr>
          <w:pgSz w:w="16840" w:h="11900" w:orient="landscape"/>
          <w:pgMar w:top="1100" w:bottom="280" w:left="360" w:right="6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tbl>
      <w:tblPr>
        <w:tblW w:w="0" w:type="auto"/>
        <w:jc w:val="left"/>
        <w:tblInd w:w="149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26"/>
        <w:gridCol w:w="8671"/>
        <w:gridCol w:w="2647"/>
      </w:tblGrid>
      <w:tr>
        <w:trPr>
          <w:trHeight w:val="791" w:hRule="atLeast"/>
        </w:trPr>
        <w:tc>
          <w:tcPr>
            <w:tcW w:w="1826" w:type="dxa"/>
            <w:vMerge w:val="restart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ind w:right="1394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Adquirir Teste Rápido antígeno para atender todos os sintomáticos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respiratórios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notificados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793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ind w:right="1167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Realização de ações de prevenção na comunidade através de ações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educativas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e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campanhas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testagem</w:t>
            </w:r>
          </w:p>
        </w:tc>
        <w:tc>
          <w:tcPr>
            <w:tcW w:w="2647" w:type="dxa"/>
          </w:tcPr>
          <w:p>
            <w:pPr>
              <w:pStyle w:val="TableParagraph"/>
              <w:ind w:left="12"/>
              <w:rPr>
                <w:sz w:val="24"/>
              </w:rPr>
            </w:pPr>
            <w:r>
              <w:rPr>
                <w:color w:val="323232"/>
                <w:w w:val="99"/>
                <w:sz w:val="24"/>
              </w:rPr>
              <w:t>2</w:t>
            </w:r>
          </w:p>
        </w:tc>
      </w:tr>
      <w:tr>
        <w:trPr>
          <w:trHeight w:val="791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ind w:right="568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Realização de Monitoramento rápido de cobertura vacinal com parâmetros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municipais.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12"/>
              <w:rPr>
                <w:sz w:val="24"/>
              </w:rPr>
            </w:pPr>
            <w:r>
              <w:rPr>
                <w:color w:val="323232"/>
                <w:w w:val="99"/>
                <w:sz w:val="24"/>
              </w:rPr>
              <w:t>3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Tratar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os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casos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novos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notificados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1067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ind w:right="55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Encerrar 80% ou mais das doenças compulsórias imediatas registradas no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SINAN/ e-SUS, em até 60 dias a partir da data de notificação, conforme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encerramento do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gravo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95,00</w:t>
            </w:r>
          </w:p>
        </w:tc>
      </w:tr>
      <w:tr>
        <w:trPr>
          <w:trHeight w:val="517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Investigação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dos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óbitos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infantis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e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maternos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98,00</w:t>
            </w:r>
          </w:p>
        </w:tc>
      </w:tr>
      <w:tr>
        <w:trPr>
          <w:trHeight w:val="791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ind w:right="407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Reestabelecer e ampliar os fluxos de encaminhamentos, referência e contra</w:t>
            </w:r>
            <w:r>
              <w:rPr>
                <w:color w:val="323232"/>
                <w:spacing w:val="-65"/>
                <w:sz w:val="24"/>
              </w:rPr>
              <w:t> </w:t>
            </w:r>
            <w:r>
              <w:rPr>
                <w:color w:val="323232"/>
                <w:sz w:val="24"/>
              </w:rPr>
              <w:t>referência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na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rede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saúde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municipal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90,00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Busca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ativa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/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Diagnóstico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esporotricose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em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gatos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Descentralizar a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realização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teste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e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antígeno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para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as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ESF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517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Realizar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campanhas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vacinação.</w:t>
            </w:r>
          </w:p>
        </w:tc>
        <w:tc>
          <w:tcPr>
            <w:tcW w:w="2647" w:type="dxa"/>
          </w:tcPr>
          <w:p>
            <w:pPr>
              <w:pStyle w:val="TableParagraph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Busca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ativa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dos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não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vacinados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ou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com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esquema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incompleto.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95,00</w:t>
            </w:r>
          </w:p>
        </w:tc>
      </w:tr>
      <w:tr>
        <w:trPr>
          <w:trHeight w:val="512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Realizar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reuniões/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capacitações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com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as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equipes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das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UBS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316" w:right="302"/>
              <w:rPr>
                <w:sz w:val="24"/>
              </w:rPr>
            </w:pPr>
            <w:r>
              <w:rPr>
                <w:color w:val="323232"/>
                <w:sz w:val="24"/>
              </w:rPr>
              <w:t>100,00</w:t>
            </w:r>
          </w:p>
        </w:tc>
      </w:tr>
    </w:tbl>
    <w:p>
      <w:pPr>
        <w:spacing w:after="0"/>
        <w:rPr>
          <w:sz w:val="24"/>
        </w:rPr>
        <w:sectPr>
          <w:pgSz w:w="16840" w:h="11900" w:orient="landscape"/>
          <w:pgMar w:top="1100" w:bottom="280" w:left="360" w:right="6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tbl>
      <w:tblPr>
        <w:tblW w:w="0" w:type="auto"/>
        <w:jc w:val="left"/>
        <w:tblInd w:w="149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26"/>
        <w:gridCol w:w="8671"/>
        <w:gridCol w:w="2647"/>
      </w:tblGrid>
      <w:tr>
        <w:trPr>
          <w:trHeight w:val="1343" w:hRule="atLeast"/>
        </w:trPr>
        <w:tc>
          <w:tcPr>
            <w:tcW w:w="1826" w:type="dxa"/>
            <w:vMerge w:val="restart"/>
          </w:tcPr>
          <w:p>
            <w:pPr>
              <w:pStyle w:val="TableParagraph"/>
              <w:ind w:left="119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306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-</w:t>
            </w:r>
          </w:p>
          <w:p>
            <w:pPr>
              <w:pStyle w:val="TableParagraph"/>
              <w:spacing w:before="1"/>
              <w:ind w:left="119" w:right="151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Alimentação e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Nutrição</w:t>
            </w:r>
          </w:p>
        </w:tc>
        <w:tc>
          <w:tcPr>
            <w:tcW w:w="8671" w:type="dxa"/>
          </w:tcPr>
          <w:p>
            <w:pPr>
              <w:pStyle w:val="TableParagraph"/>
              <w:ind w:right="170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Garantir o acompanhamento do crescimento e desenvolvimento das crianças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de 0 a 7 anos (peso, altura, vacinação) e da saúde das mulheres de 14 anos a</w:t>
            </w:r>
            <w:r>
              <w:rPr>
                <w:color w:val="323232"/>
                <w:spacing w:val="-64"/>
                <w:sz w:val="24"/>
              </w:rPr>
              <w:t> </w:t>
            </w:r>
            <w:r>
              <w:rPr>
                <w:color w:val="323232"/>
                <w:sz w:val="24"/>
              </w:rPr>
              <w:t>44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anos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(peso,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altura,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pré natal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e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aleitamento</w:t>
            </w:r>
            <w:r>
              <w:rPr>
                <w:color w:val="323232"/>
                <w:spacing w:val="2"/>
                <w:sz w:val="24"/>
              </w:rPr>
              <w:t> </w:t>
            </w:r>
            <w:r>
              <w:rPr>
                <w:color w:val="323232"/>
                <w:sz w:val="24"/>
              </w:rPr>
              <w:t>materno) avaliando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condições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higiene,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tipo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alimentação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e intercorrências</w:t>
            </w:r>
          </w:p>
        </w:tc>
        <w:tc>
          <w:tcPr>
            <w:tcW w:w="2647" w:type="dxa"/>
          </w:tcPr>
          <w:p>
            <w:pPr>
              <w:pStyle w:val="TableParagraph"/>
              <w:ind w:left="0" w:right="1005"/>
              <w:jc w:val="right"/>
              <w:rPr>
                <w:sz w:val="24"/>
              </w:rPr>
            </w:pPr>
            <w:r>
              <w:rPr>
                <w:color w:val="323232"/>
                <w:sz w:val="24"/>
              </w:rPr>
              <w:t>80,00</w:t>
            </w:r>
          </w:p>
        </w:tc>
      </w:tr>
      <w:tr>
        <w:trPr>
          <w:trHeight w:val="517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Reduzir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a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prevalência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obesidade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em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crianças,</w:t>
            </w:r>
            <w:r>
              <w:rPr>
                <w:color w:val="323232"/>
                <w:spacing w:val="-5"/>
                <w:sz w:val="24"/>
              </w:rPr>
              <w:t> </w:t>
            </w:r>
            <w:r>
              <w:rPr>
                <w:color w:val="323232"/>
                <w:sz w:val="24"/>
              </w:rPr>
              <w:t>adolescentes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adultos</w:t>
            </w:r>
          </w:p>
        </w:tc>
        <w:tc>
          <w:tcPr>
            <w:tcW w:w="2647" w:type="dxa"/>
          </w:tcPr>
          <w:p>
            <w:pPr>
              <w:pStyle w:val="TableParagraph"/>
              <w:ind w:left="0" w:right="1005"/>
              <w:jc w:val="right"/>
              <w:rPr>
                <w:sz w:val="24"/>
              </w:rPr>
            </w:pPr>
            <w:r>
              <w:rPr>
                <w:color w:val="323232"/>
                <w:sz w:val="24"/>
              </w:rPr>
              <w:t>20,00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Aumentar o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consumo</w:t>
            </w:r>
            <w:r>
              <w:rPr>
                <w:color w:val="323232"/>
                <w:spacing w:val="-6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frutas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e</w:t>
            </w:r>
            <w:r>
              <w:rPr>
                <w:color w:val="323232"/>
                <w:spacing w:val="-1"/>
                <w:sz w:val="24"/>
              </w:rPr>
              <w:t> </w:t>
            </w:r>
            <w:r>
              <w:rPr>
                <w:color w:val="323232"/>
                <w:sz w:val="24"/>
              </w:rPr>
              <w:t>hortaliças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0" w:right="1005"/>
              <w:jc w:val="right"/>
              <w:rPr>
                <w:sz w:val="24"/>
              </w:rPr>
            </w:pPr>
            <w:r>
              <w:rPr>
                <w:color w:val="323232"/>
                <w:sz w:val="24"/>
              </w:rPr>
              <w:t>20,00</w:t>
            </w:r>
          </w:p>
        </w:tc>
      </w:tr>
      <w:tr>
        <w:trPr>
          <w:trHeight w:val="515" w:hRule="atLeast"/>
        </w:trPr>
        <w:tc>
          <w:tcPr>
            <w:tcW w:w="18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1" w:type="dxa"/>
          </w:tcPr>
          <w:p>
            <w:pPr>
              <w:pStyle w:val="TableParagraph"/>
              <w:spacing w:before="115"/>
              <w:jc w:val="left"/>
              <w:rPr>
                <w:sz w:val="24"/>
              </w:rPr>
            </w:pPr>
            <w:r>
              <w:rPr>
                <w:color w:val="323232"/>
                <w:sz w:val="24"/>
              </w:rPr>
              <w:t>Reduzir</w:t>
            </w:r>
            <w:r>
              <w:rPr>
                <w:color w:val="323232"/>
                <w:spacing w:val="-4"/>
                <w:sz w:val="24"/>
              </w:rPr>
              <w:t> </w:t>
            </w:r>
            <w:r>
              <w:rPr>
                <w:color w:val="323232"/>
                <w:sz w:val="24"/>
              </w:rPr>
              <w:t>o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consumo</w:t>
            </w:r>
            <w:r>
              <w:rPr>
                <w:color w:val="323232"/>
                <w:spacing w:val="1"/>
                <w:sz w:val="24"/>
              </w:rPr>
              <w:t> </w:t>
            </w:r>
            <w:r>
              <w:rPr>
                <w:color w:val="323232"/>
                <w:sz w:val="24"/>
              </w:rPr>
              <w:t>médio</w:t>
            </w:r>
            <w:r>
              <w:rPr>
                <w:color w:val="323232"/>
                <w:spacing w:val="-2"/>
                <w:sz w:val="24"/>
              </w:rPr>
              <w:t> </w:t>
            </w:r>
            <w:r>
              <w:rPr>
                <w:color w:val="323232"/>
                <w:sz w:val="24"/>
              </w:rPr>
              <w:t>de</w:t>
            </w:r>
            <w:r>
              <w:rPr>
                <w:color w:val="323232"/>
                <w:spacing w:val="-3"/>
                <w:sz w:val="24"/>
              </w:rPr>
              <w:t> </w:t>
            </w:r>
            <w:r>
              <w:rPr>
                <w:color w:val="323232"/>
                <w:sz w:val="24"/>
              </w:rPr>
              <w:t>sal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5"/>
              <w:ind w:left="0" w:right="1005"/>
              <w:jc w:val="right"/>
              <w:rPr>
                <w:sz w:val="24"/>
              </w:rPr>
            </w:pPr>
            <w:r>
              <w:rPr>
                <w:color w:val="323232"/>
                <w:sz w:val="24"/>
              </w:rPr>
              <w:t>80,00</w:t>
            </w:r>
          </w:p>
        </w:tc>
      </w:tr>
    </w:tbl>
    <w:p>
      <w:pPr>
        <w:spacing w:after="0"/>
        <w:jc w:val="right"/>
        <w:rPr>
          <w:sz w:val="24"/>
        </w:rPr>
        <w:sectPr>
          <w:pgSz w:w="16840" w:h="11900" w:orient="landscape"/>
          <w:pgMar w:top="1100" w:bottom="280" w:left="360" w:right="600"/>
        </w:sectPr>
      </w:pPr>
    </w:p>
    <w:tbl>
      <w:tblPr>
        <w:tblW w:w="0" w:type="auto"/>
        <w:jc w:val="left"/>
        <w:tblInd w:w="36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83"/>
        <w:gridCol w:w="1212"/>
        <w:gridCol w:w="1150"/>
        <w:gridCol w:w="1436"/>
        <w:gridCol w:w="1606"/>
        <w:gridCol w:w="1608"/>
        <w:gridCol w:w="1562"/>
        <w:gridCol w:w="1209"/>
        <w:gridCol w:w="1226"/>
        <w:gridCol w:w="1224"/>
        <w:gridCol w:w="1690"/>
      </w:tblGrid>
      <w:tr>
        <w:trPr>
          <w:trHeight w:val="1753" w:hRule="atLeast"/>
        </w:trPr>
        <w:tc>
          <w:tcPr>
            <w:tcW w:w="13716" w:type="dxa"/>
            <w:gridSpan w:val="10"/>
          </w:tcPr>
          <w:p>
            <w:pPr>
              <w:pStyle w:val="TableParagraph"/>
              <w:spacing w:before="0"/>
              <w:ind w:left="0"/>
              <w:jc w:val="left"/>
              <w:rPr>
                <w:sz w:val="36"/>
              </w:rPr>
            </w:pPr>
          </w:p>
          <w:p>
            <w:pPr>
              <w:pStyle w:val="TableParagraph"/>
              <w:spacing w:before="322"/>
              <w:ind w:left="4394" w:hanging="3852"/>
              <w:jc w:val="left"/>
              <w:rPr>
                <w:rFonts w:ascii="Arial" w:hAnsi="Arial"/>
                <w:b/>
                <w:sz w:val="32"/>
              </w:rPr>
            </w:pPr>
            <w:r>
              <w:rPr>
                <w:rFonts w:ascii="Arial" w:hAnsi="Arial"/>
                <w:b/>
                <w:sz w:val="32"/>
              </w:rPr>
              <w:t>Demonstrativo</w:t>
            </w:r>
            <w:r>
              <w:rPr>
                <w:rFonts w:ascii="Arial" w:hAnsi="Arial"/>
                <w:b/>
                <w:spacing w:val="-4"/>
                <w:sz w:val="32"/>
              </w:rPr>
              <w:t> </w:t>
            </w:r>
            <w:r>
              <w:rPr>
                <w:rFonts w:ascii="Arial" w:hAnsi="Arial"/>
                <w:b/>
                <w:sz w:val="32"/>
              </w:rPr>
              <w:t>da</w:t>
            </w:r>
            <w:r>
              <w:rPr>
                <w:rFonts w:ascii="Arial" w:hAnsi="Arial"/>
                <w:b/>
                <w:spacing w:val="-4"/>
                <w:sz w:val="32"/>
              </w:rPr>
              <w:t> </w:t>
            </w:r>
            <w:r>
              <w:rPr>
                <w:rFonts w:ascii="Arial" w:hAnsi="Arial"/>
                <w:b/>
                <w:sz w:val="32"/>
              </w:rPr>
              <w:t>Programação</w:t>
            </w:r>
            <w:r>
              <w:rPr>
                <w:rFonts w:ascii="Arial" w:hAnsi="Arial"/>
                <w:b/>
                <w:spacing w:val="-5"/>
                <w:sz w:val="32"/>
              </w:rPr>
              <w:t> </w:t>
            </w:r>
            <w:r>
              <w:rPr>
                <w:rFonts w:ascii="Arial" w:hAnsi="Arial"/>
                <w:b/>
                <w:sz w:val="32"/>
              </w:rPr>
              <w:t>de</w:t>
            </w:r>
            <w:r>
              <w:rPr>
                <w:rFonts w:ascii="Arial" w:hAnsi="Arial"/>
                <w:b/>
                <w:spacing w:val="-2"/>
                <w:sz w:val="32"/>
              </w:rPr>
              <w:t> </w:t>
            </w:r>
            <w:r>
              <w:rPr>
                <w:rFonts w:ascii="Arial" w:hAnsi="Arial"/>
                <w:b/>
                <w:sz w:val="32"/>
              </w:rPr>
              <w:t>Despesas</w:t>
            </w:r>
            <w:r>
              <w:rPr>
                <w:rFonts w:ascii="Arial" w:hAnsi="Arial"/>
                <w:b/>
                <w:spacing w:val="-5"/>
                <w:sz w:val="32"/>
              </w:rPr>
              <w:t> </w:t>
            </w:r>
            <w:r>
              <w:rPr>
                <w:rFonts w:ascii="Arial" w:hAnsi="Arial"/>
                <w:b/>
                <w:sz w:val="32"/>
              </w:rPr>
              <w:t>com</w:t>
            </w:r>
            <w:r>
              <w:rPr>
                <w:rFonts w:ascii="Arial" w:hAnsi="Arial"/>
                <w:b/>
                <w:spacing w:val="-3"/>
                <w:sz w:val="32"/>
              </w:rPr>
              <w:t> </w:t>
            </w:r>
            <w:r>
              <w:rPr>
                <w:rFonts w:ascii="Arial" w:hAnsi="Arial"/>
                <w:b/>
                <w:sz w:val="32"/>
              </w:rPr>
              <w:t>Saúde</w:t>
            </w:r>
            <w:r>
              <w:rPr>
                <w:rFonts w:ascii="Arial" w:hAnsi="Arial"/>
                <w:b/>
                <w:spacing w:val="-4"/>
                <w:sz w:val="32"/>
              </w:rPr>
              <w:t> </w:t>
            </w:r>
            <w:r>
              <w:rPr>
                <w:rFonts w:ascii="Arial" w:hAnsi="Arial"/>
                <w:b/>
                <w:sz w:val="32"/>
              </w:rPr>
              <w:t>por</w:t>
            </w:r>
            <w:r>
              <w:rPr>
                <w:rFonts w:ascii="Arial" w:hAnsi="Arial"/>
                <w:b/>
                <w:spacing w:val="-2"/>
                <w:sz w:val="32"/>
              </w:rPr>
              <w:t> </w:t>
            </w:r>
            <w:r>
              <w:rPr>
                <w:rFonts w:ascii="Arial" w:hAnsi="Arial"/>
                <w:b/>
                <w:sz w:val="32"/>
              </w:rPr>
              <w:t>Subfunção,</w:t>
            </w:r>
            <w:r>
              <w:rPr>
                <w:rFonts w:ascii="Arial" w:hAnsi="Arial"/>
                <w:b/>
                <w:spacing w:val="-2"/>
                <w:sz w:val="32"/>
              </w:rPr>
              <w:t> </w:t>
            </w:r>
            <w:r>
              <w:rPr>
                <w:rFonts w:ascii="Arial" w:hAnsi="Arial"/>
                <w:b/>
                <w:sz w:val="32"/>
              </w:rPr>
              <w:t>Categoria</w:t>
            </w:r>
            <w:r>
              <w:rPr>
                <w:rFonts w:ascii="Arial" w:hAnsi="Arial"/>
                <w:b/>
                <w:spacing w:val="-86"/>
                <w:sz w:val="32"/>
              </w:rPr>
              <w:t> </w:t>
            </w:r>
            <w:r>
              <w:rPr>
                <w:rFonts w:ascii="Arial" w:hAnsi="Arial"/>
                <w:b/>
                <w:sz w:val="32"/>
              </w:rPr>
              <w:t>Econômica</w:t>
            </w:r>
            <w:r>
              <w:rPr>
                <w:rFonts w:ascii="Arial" w:hAnsi="Arial"/>
                <w:b/>
                <w:spacing w:val="3"/>
                <w:sz w:val="32"/>
              </w:rPr>
              <w:t> </w:t>
            </w:r>
            <w:r>
              <w:rPr>
                <w:rFonts w:ascii="Arial" w:hAnsi="Arial"/>
                <w:b/>
                <w:sz w:val="32"/>
              </w:rPr>
              <w:t>e Fonte</w:t>
            </w:r>
            <w:r>
              <w:rPr>
                <w:rFonts w:ascii="Arial" w:hAnsi="Arial"/>
                <w:b/>
                <w:spacing w:val="1"/>
                <w:sz w:val="32"/>
              </w:rPr>
              <w:t> </w:t>
            </w:r>
            <w:r>
              <w:rPr>
                <w:rFonts w:ascii="Arial" w:hAnsi="Arial"/>
                <w:b/>
                <w:sz w:val="32"/>
              </w:rPr>
              <w:t>de Recursos</w:t>
            </w:r>
          </w:p>
        </w:tc>
        <w:tc>
          <w:tcPr>
            <w:tcW w:w="1690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130" w:hRule="atLeast"/>
        </w:trPr>
        <w:tc>
          <w:tcPr>
            <w:tcW w:w="1483" w:type="dxa"/>
          </w:tcPr>
          <w:p>
            <w:pPr>
              <w:pStyle w:val="TableParagraph"/>
              <w:spacing w:before="114"/>
              <w:ind w:left="227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Subfunções</w:t>
            </w:r>
          </w:p>
        </w:tc>
        <w:tc>
          <w:tcPr>
            <w:tcW w:w="1212" w:type="dxa"/>
          </w:tcPr>
          <w:p>
            <w:pPr>
              <w:pStyle w:val="TableParagraph"/>
              <w:spacing w:before="114"/>
              <w:ind w:left="124" w:right="92" w:firstLine="67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Categoria</w:t>
            </w:r>
            <w:r>
              <w:rPr>
                <w:rFonts w:ascii="Arial" w:hAnsi="Arial"/>
                <w:b/>
                <w:spacing w:val="1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Econômica</w:t>
            </w:r>
          </w:p>
        </w:tc>
        <w:tc>
          <w:tcPr>
            <w:tcW w:w="1150" w:type="dxa"/>
          </w:tcPr>
          <w:p>
            <w:pPr>
              <w:pStyle w:val="TableParagraph"/>
              <w:spacing w:before="114"/>
              <w:ind w:left="134" w:right="118" w:firstLine="2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Recursos</w:t>
            </w:r>
            <w:r>
              <w:rPr>
                <w:rFonts w:ascii="Arial" w:hAnsi="Arial"/>
                <w:b/>
                <w:spacing w:val="1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ordinários</w:t>
            </w:r>
          </w:p>
          <w:p>
            <w:pPr>
              <w:pStyle w:val="TableParagraph"/>
              <w:spacing w:before="1"/>
              <w:ind w:left="160" w:right="141" w:hanging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- Fonte</w:t>
            </w:r>
            <w:r>
              <w:rPr>
                <w:rFonts w:ascii="Arial"/>
                <w:b/>
                <w:spacing w:val="1"/>
                <w:sz w:val="18"/>
              </w:rPr>
              <w:t> </w:t>
            </w:r>
            <w:r>
              <w:rPr>
                <w:rFonts w:ascii="Arial"/>
                <w:b/>
                <w:spacing w:val="-1"/>
                <w:sz w:val="18"/>
              </w:rPr>
              <w:t>Livre</w:t>
            </w:r>
            <w:r>
              <w:rPr>
                <w:rFonts w:ascii="Arial"/>
                <w:b/>
                <w:spacing w:val="-12"/>
                <w:sz w:val="18"/>
              </w:rPr>
              <w:t> </w:t>
            </w:r>
            <w:r>
              <w:rPr>
                <w:rFonts w:ascii="Arial"/>
                <w:b/>
                <w:sz w:val="18"/>
              </w:rPr>
              <w:t>(R$)</w:t>
            </w:r>
          </w:p>
        </w:tc>
        <w:tc>
          <w:tcPr>
            <w:tcW w:w="1436" w:type="dxa"/>
          </w:tcPr>
          <w:p>
            <w:pPr>
              <w:pStyle w:val="TableParagraph"/>
              <w:spacing w:before="114"/>
              <w:ind w:left="153" w:right="133" w:hanging="5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Receita de</w:t>
            </w:r>
            <w:r>
              <w:rPr>
                <w:rFonts w:ascii="Arial" w:hAnsi="Arial"/>
                <w:b/>
                <w:spacing w:val="1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impostos</w:t>
            </w:r>
            <w:r>
              <w:rPr>
                <w:rFonts w:ascii="Arial" w:hAnsi="Arial"/>
                <w:b/>
                <w:spacing w:val="2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e</w:t>
            </w:r>
            <w:r>
              <w:rPr>
                <w:rFonts w:ascii="Arial" w:hAnsi="Arial"/>
                <w:b/>
                <w:spacing w:val="1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de</w:t>
            </w:r>
            <w:r>
              <w:rPr>
                <w:rFonts w:ascii="Arial" w:hAnsi="Arial"/>
                <w:b/>
                <w:spacing w:val="1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transferência</w:t>
            </w:r>
            <w:r>
              <w:rPr>
                <w:rFonts w:ascii="Arial" w:hAnsi="Arial"/>
                <w:b/>
                <w:spacing w:val="-47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de impostos</w:t>
            </w:r>
            <w:r>
              <w:rPr>
                <w:rFonts w:ascii="Arial" w:hAnsi="Arial"/>
                <w:b/>
                <w:spacing w:val="1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(receita</w:t>
            </w:r>
            <w:r>
              <w:rPr>
                <w:rFonts w:ascii="Arial" w:hAnsi="Arial"/>
                <w:b/>
                <w:spacing w:val="1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própria</w:t>
            </w:r>
            <w:r>
              <w:rPr>
                <w:rFonts w:ascii="Arial" w:hAnsi="Arial"/>
                <w:b/>
                <w:spacing w:val="-1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-</w:t>
            </w:r>
            <w:r>
              <w:rPr>
                <w:rFonts w:ascii="Arial" w:hAnsi="Arial"/>
                <w:b/>
                <w:spacing w:val="-1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R$)</w:t>
            </w:r>
          </w:p>
        </w:tc>
        <w:tc>
          <w:tcPr>
            <w:tcW w:w="1606" w:type="dxa"/>
          </w:tcPr>
          <w:p>
            <w:pPr>
              <w:pStyle w:val="TableParagraph"/>
              <w:spacing w:before="114"/>
              <w:ind w:left="161" w:right="146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Transferências</w:t>
            </w:r>
            <w:r>
              <w:rPr>
                <w:rFonts w:ascii="Arial" w:hAnsi="Arial"/>
                <w:b/>
                <w:spacing w:val="-47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de fundos à</w:t>
            </w:r>
            <w:r>
              <w:rPr>
                <w:rFonts w:ascii="Arial" w:hAnsi="Arial"/>
                <w:b/>
                <w:spacing w:val="1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Fundo de</w:t>
            </w:r>
            <w:r>
              <w:rPr>
                <w:rFonts w:ascii="Arial" w:hAnsi="Arial"/>
                <w:b/>
                <w:spacing w:val="1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Recursos do</w:t>
            </w:r>
            <w:r>
              <w:rPr>
                <w:rFonts w:ascii="Arial" w:hAnsi="Arial"/>
                <w:b/>
                <w:spacing w:val="1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SUS,</w:t>
            </w:r>
          </w:p>
          <w:p>
            <w:pPr>
              <w:pStyle w:val="TableParagraph"/>
              <w:spacing w:before="0"/>
              <w:ind w:left="160" w:right="14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provenientes</w:t>
            </w:r>
            <w:r>
              <w:rPr>
                <w:rFonts w:ascii="Arial"/>
                <w:b/>
                <w:spacing w:val="-48"/>
                <w:sz w:val="18"/>
              </w:rPr>
              <w:t> </w:t>
            </w:r>
            <w:r>
              <w:rPr>
                <w:rFonts w:ascii="Arial"/>
                <w:b/>
                <w:sz w:val="18"/>
              </w:rPr>
              <w:t>do Governo</w:t>
            </w:r>
            <w:r>
              <w:rPr>
                <w:rFonts w:ascii="Arial"/>
                <w:b/>
                <w:spacing w:val="1"/>
                <w:sz w:val="18"/>
              </w:rPr>
              <w:t> </w:t>
            </w:r>
            <w:r>
              <w:rPr>
                <w:rFonts w:ascii="Arial"/>
                <w:b/>
                <w:sz w:val="18"/>
              </w:rPr>
              <w:t>Federal</w:t>
            </w:r>
            <w:r>
              <w:rPr>
                <w:rFonts w:ascii="Arial"/>
                <w:b/>
                <w:spacing w:val="-2"/>
                <w:sz w:val="18"/>
              </w:rPr>
              <w:t> </w:t>
            </w:r>
            <w:r>
              <w:rPr>
                <w:rFonts w:ascii="Arial"/>
                <w:b/>
                <w:sz w:val="18"/>
              </w:rPr>
              <w:t>(R$)</w:t>
            </w:r>
          </w:p>
        </w:tc>
        <w:tc>
          <w:tcPr>
            <w:tcW w:w="1608" w:type="dxa"/>
          </w:tcPr>
          <w:p>
            <w:pPr>
              <w:pStyle w:val="TableParagraph"/>
              <w:spacing w:before="114"/>
              <w:ind w:left="163" w:right="146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Transferências</w:t>
            </w:r>
            <w:r>
              <w:rPr>
                <w:rFonts w:ascii="Arial" w:hAnsi="Arial"/>
                <w:b/>
                <w:spacing w:val="-47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de fundos ao</w:t>
            </w:r>
            <w:r>
              <w:rPr>
                <w:rFonts w:ascii="Arial" w:hAnsi="Arial"/>
                <w:b/>
                <w:spacing w:val="1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Fundo de</w:t>
            </w:r>
            <w:r>
              <w:rPr>
                <w:rFonts w:ascii="Arial" w:hAnsi="Arial"/>
                <w:b/>
                <w:spacing w:val="1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Recursos do</w:t>
            </w:r>
            <w:r>
              <w:rPr>
                <w:rFonts w:ascii="Arial" w:hAnsi="Arial"/>
                <w:b/>
                <w:spacing w:val="1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SUS,</w:t>
            </w:r>
          </w:p>
          <w:p>
            <w:pPr>
              <w:pStyle w:val="TableParagraph"/>
              <w:spacing w:before="0"/>
              <w:ind w:left="228" w:right="212" w:hanging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provenientes</w:t>
            </w:r>
            <w:r>
              <w:rPr>
                <w:rFonts w:ascii="Arial"/>
                <w:b/>
                <w:spacing w:val="-47"/>
                <w:sz w:val="18"/>
              </w:rPr>
              <w:t> </w:t>
            </w:r>
            <w:r>
              <w:rPr>
                <w:rFonts w:ascii="Arial"/>
                <w:b/>
                <w:sz w:val="18"/>
              </w:rPr>
              <w:t>do Governo</w:t>
            </w:r>
            <w:r>
              <w:rPr>
                <w:rFonts w:ascii="Arial"/>
                <w:b/>
                <w:spacing w:val="1"/>
                <w:sz w:val="18"/>
              </w:rPr>
              <w:t> </w:t>
            </w:r>
            <w:r>
              <w:rPr>
                <w:rFonts w:ascii="Arial"/>
                <w:b/>
                <w:spacing w:val="-1"/>
                <w:sz w:val="18"/>
              </w:rPr>
              <w:t>Estadual</w:t>
            </w:r>
            <w:r>
              <w:rPr>
                <w:rFonts w:ascii="Arial"/>
                <w:b/>
                <w:spacing w:val="-8"/>
                <w:sz w:val="18"/>
              </w:rPr>
              <w:t> </w:t>
            </w:r>
            <w:r>
              <w:rPr>
                <w:rFonts w:ascii="Arial"/>
                <w:b/>
                <w:sz w:val="18"/>
              </w:rPr>
              <w:t>(R$)</w:t>
            </w:r>
          </w:p>
        </w:tc>
        <w:tc>
          <w:tcPr>
            <w:tcW w:w="1562" w:type="dxa"/>
          </w:tcPr>
          <w:p>
            <w:pPr>
              <w:pStyle w:val="TableParagraph"/>
              <w:spacing w:before="114"/>
              <w:ind w:left="139" w:right="124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Transferências</w:t>
            </w:r>
            <w:r>
              <w:rPr>
                <w:rFonts w:ascii="Arial" w:hAnsi="Arial"/>
                <w:b/>
                <w:spacing w:val="-47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de convênios</w:t>
            </w:r>
            <w:r>
              <w:rPr>
                <w:rFonts w:ascii="Arial" w:hAnsi="Arial"/>
                <w:b/>
                <w:spacing w:val="1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destinados à</w:t>
            </w:r>
            <w:r>
              <w:rPr>
                <w:rFonts w:ascii="Arial" w:hAnsi="Arial"/>
                <w:b/>
                <w:spacing w:val="1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Saúde (R$)</w:t>
            </w:r>
          </w:p>
        </w:tc>
        <w:tc>
          <w:tcPr>
            <w:tcW w:w="1209" w:type="dxa"/>
          </w:tcPr>
          <w:p>
            <w:pPr>
              <w:pStyle w:val="TableParagraph"/>
              <w:spacing w:before="114"/>
              <w:ind w:left="137" w:right="123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Operações</w:t>
            </w:r>
            <w:r>
              <w:rPr>
                <w:rFonts w:ascii="Arial" w:hAnsi="Arial"/>
                <w:b/>
                <w:spacing w:val="-47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de Crédito</w:t>
            </w:r>
            <w:r>
              <w:rPr>
                <w:rFonts w:ascii="Arial" w:hAnsi="Arial"/>
                <w:b/>
                <w:spacing w:val="-47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vinculadas</w:t>
            </w:r>
            <w:r>
              <w:rPr>
                <w:rFonts w:ascii="Arial" w:hAnsi="Arial"/>
                <w:b/>
                <w:spacing w:val="-47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à Saúde</w:t>
            </w:r>
            <w:r>
              <w:rPr>
                <w:rFonts w:ascii="Arial" w:hAnsi="Arial"/>
                <w:b/>
                <w:spacing w:val="1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(R$)</w:t>
            </w:r>
          </w:p>
        </w:tc>
        <w:tc>
          <w:tcPr>
            <w:tcW w:w="1226" w:type="dxa"/>
          </w:tcPr>
          <w:p>
            <w:pPr>
              <w:pStyle w:val="TableParagraph"/>
              <w:spacing w:before="114"/>
              <w:ind w:left="124" w:right="103" w:hanging="3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Royalties</w:t>
            </w:r>
            <w:r>
              <w:rPr>
                <w:rFonts w:ascii="Arial" w:hAnsi="Arial"/>
                <w:b/>
                <w:spacing w:val="1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do petróleo</w:t>
            </w:r>
            <w:r>
              <w:rPr>
                <w:rFonts w:ascii="Arial" w:hAnsi="Arial"/>
                <w:b/>
                <w:spacing w:val="-47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destinados</w:t>
            </w:r>
            <w:r>
              <w:rPr>
                <w:rFonts w:ascii="Arial" w:hAnsi="Arial"/>
                <w:b/>
                <w:spacing w:val="-47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à Saúde</w:t>
            </w:r>
            <w:r>
              <w:rPr>
                <w:rFonts w:ascii="Arial" w:hAnsi="Arial"/>
                <w:b/>
                <w:spacing w:val="1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(R$)</w:t>
            </w:r>
          </w:p>
        </w:tc>
        <w:tc>
          <w:tcPr>
            <w:tcW w:w="1224" w:type="dxa"/>
          </w:tcPr>
          <w:p>
            <w:pPr>
              <w:pStyle w:val="TableParagraph"/>
              <w:spacing w:before="114"/>
              <w:ind w:left="138" w:right="120" w:hanging="3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Outros</w:t>
            </w:r>
            <w:r>
              <w:rPr>
                <w:rFonts w:ascii="Arial" w:hAnsi="Arial"/>
                <w:b/>
                <w:spacing w:val="1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recursos</w:t>
            </w:r>
            <w:r>
              <w:rPr>
                <w:rFonts w:ascii="Arial" w:hAnsi="Arial"/>
                <w:b/>
                <w:spacing w:val="1"/>
                <w:sz w:val="18"/>
              </w:rPr>
              <w:t> </w:t>
            </w:r>
            <w:r>
              <w:rPr>
                <w:rFonts w:ascii="Arial" w:hAnsi="Arial"/>
                <w:b/>
                <w:spacing w:val="-1"/>
                <w:sz w:val="18"/>
              </w:rPr>
              <w:t>destinados</w:t>
            </w:r>
            <w:r>
              <w:rPr>
                <w:rFonts w:ascii="Arial" w:hAnsi="Arial"/>
                <w:b/>
                <w:spacing w:val="-47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à Saúde</w:t>
            </w:r>
            <w:r>
              <w:rPr>
                <w:rFonts w:ascii="Arial" w:hAnsi="Arial"/>
                <w:b/>
                <w:spacing w:val="1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(R$)</w:t>
            </w:r>
          </w:p>
        </w:tc>
        <w:tc>
          <w:tcPr>
            <w:tcW w:w="1690" w:type="dxa"/>
          </w:tcPr>
          <w:p>
            <w:pPr>
              <w:pStyle w:val="TableParagraph"/>
              <w:spacing w:before="114"/>
              <w:ind w:left="308" w:right="29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Total(R$)</w:t>
            </w:r>
          </w:p>
        </w:tc>
      </w:tr>
      <w:tr>
        <w:trPr>
          <w:trHeight w:val="673" w:hRule="atLeast"/>
        </w:trPr>
        <w:tc>
          <w:tcPr>
            <w:tcW w:w="1483" w:type="dxa"/>
            <w:vMerge w:val="restart"/>
          </w:tcPr>
          <w:p>
            <w:pPr>
              <w:pStyle w:val="TableParagraph"/>
              <w:spacing w:before="116"/>
              <w:ind w:left="134" w:right="95" w:firstLine="52"/>
              <w:jc w:val="left"/>
              <w:rPr>
                <w:sz w:val="16"/>
              </w:rPr>
            </w:pPr>
            <w:r>
              <w:rPr>
                <w:color w:val="323232"/>
                <w:sz w:val="16"/>
              </w:rPr>
              <w:t>0 - Informações</w:t>
            </w:r>
            <w:r>
              <w:rPr>
                <w:color w:val="323232"/>
                <w:spacing w:val="1"/>
                <w:sz w:val="16"/>
              </w:rPr>
              <w:t> </w:t>
            </w:r>
            <w:r>
              <w:rPr>
                <w:color w:val="323232"/>
                <w:sz w:val="16"/>
              </w:rPr>
              <w:t>Complementares</w:t>
            </w:r>
          </w:p>
        </w:tc>
        <w:tc>
          <w:tcPr>
            <w:tcW w:w="1212" w:type="dxa"/>
          </w:tcPr>
          <w:p>
            <w:pPr>
              <w:pStyle w:val="TableParagraph"/>
              <w:spacing w:before="116"/>
              <w:ind w:left="275" w:right="258"/>
              <w:rPr>
                <w:sz w:val="16"/>
              </w:rPr>
            </w:pPr>
            <w:r>
              <w:rPr>
                <w:color w:val="323232"/>
                <w:sz w:val="16"/>
              </w:rPr>
              <w:t>Corrente</w:t>
            </w:r>
          </w:p>
        </w:tc>
        <w:tc>
          <w:tcPr>
            <w:tcW w:w="1150" w:type="dxa"/>
          </w:tcPr>
          <w:p>
            <w:pPr>
              <w:pStyle w:val="TableParagraph"/>
              <w:spacing w:before="116"/>
              <w:ind w:left="422" w:right="40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436" w:type="dxa"/>
          </w:tcPr>
          <w:p>
            <w:pPr>
              <w:pStyle w:val="TableParagraph"/>
              <w:spacing w:before="116"/>
              <w:ind w:left="187" w:right="166"/>
              <w:rPr>
                <w:sz w:val="16"/>
              </w:rPr>
            </w:pPr>
            <w:r>
              <w:rPr>
                <w:color w:val="323232"/>
                <w:sz w:val="16"/>
              </w:rPr>
              <w:t>200,00</w:t>
            </w:r>
          </w:p>
        </w:tc>
        <w:tc>
          <w:tcPr>
            <w:tcW w:w="1606" w:type="dxa"/>
          </w:tcPr>
          <w:p>
            <w:pPr>
              <w:pStyle w:val="TableParagraph"/>
              <w:spacing w:before="116"/>
              <w:ind w:left="154" w:right="14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608" w:type="dxa"/>
          </w:tcPr>
          <w:p>
            <w:pPr>
              <w:pStyle w:val="TableParagraph"/>
              <w:spacing w:before="116"/>
              <w:ind w:left="156" w:right="14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562" w:type="dxa"/>
          </w:tcPr>
          <w:p>
            <w:pPr>
              <w:pStyle w:val="TableParagraph"/>
              <w:spacing w:before="116"/>
              <w:ind w:left="132" w:right="124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09" w:type="dxa"/>
          </w:tcPr>
          <w:p>
            <w:pPr>
              <w:pStyle w:val="TableParagraph"/>
              <w:spacing w:before="116"/>
              <w:ind w:left="135" w:right="123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26" w:type="dxa"/>
          </w:tcPr>
          <w:p>
            <w:pPr>
              <w:pStyle w:val="TableParagraph"/>
              <w:spacing w:before="116"/>
              <w:ind w:left="457" w:right="447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24" w:type="dxa"/>
          </w:tcPr>
          <w:p>
            <w:pPr>
              <w:pStyle w:val="TableParagraph"/>
              <w:spacing w:before="116"/>
              <w:ind w:left="457" w:right="444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690" w:type="dxa"/>
          </w:tcPr>
          <w:p>
            <w:pPr>
              <w:pStyle w:val="TableParagraph"/>
              <w:spacing w:before="116"/>
              <w:ind w:left="313" w:right="292"/>
              <w:rPr>
                <w:sz w:val="16"/>
              </w:rPr>
            </w:pPr>
            <w:r>
              <w:rPr>
                <w:color w:val="323232"/>
                <w:sz w:val="16"/>
              </w:rPr>
              <w:t>200,00</w:t>
            </w:r>
          </w:p>
        </w:tc>
      </w:tr>
      <w:tr>
        <w:trPr>
          <w:trHeight w:val="673" w:hRule="atLeast"/>
        </w:trPr>
        <w:tc>
          <w:tcPr>
            <w:tcW w:w="14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2" w:type="dxa"/>
          </w:tcPr>
          <w:p>
            <w:pPr>
              <w:pStyle w:val="TableParagraph"/>
              <w:spacing w:before="116"/>
              <w:ind w:left="274" w:right="258"/>
              <w:rPr>
                <w:sz w:val="16"/>
              </w:rPr>
            </w:pPr>
            <w:r>
              <w:rPr>
                <w:color w:val="323232"/>
                <w:sz w:val="16"/>
              </w:rPr>
              <w:t>Capital</w:t>
            </w:r>
          </w:p>
        </w:tc>
        <w:tc>
          <w:tcPr>
            <w:tcW w:w="1150" w:type="dxa"/>
          </w:tcPr>
          <w:p>
            <w:pPr>
              <w:pStyle w:val="TableParagraph"/>
              <w:spacing w:before="116"/>
              <w:ind w:left="422" w:right="40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436" w:type="dxa"/>
          </w:tcPr>
          <w:p>
            <w:pPr>
              <w:pStyle w:val="TableParagraph"/>
              <w:spacing w:before="116"/>
              <w:ind w:left="187" w:right="166"/>
              <w:rPr>
                <w:sz w:val="16"/>
              </w:rPr>
            </w:pPr>
            <w:r>
              <w:rPr>
                <w:color w:val="323232"/>
                <w:sz w:val="16"/>
              </w:rPr>
              <w:t>100,00</w:t>
            </w:r>
          </w:p>
        </w:tc>
        <w:tc>
          <w:tcPr>
            <w:tcW w:w="1606" w:type="dxa"/>
          </w:tcPr>
          <w:p>
            <w:pPr>
              <w:pStyle w:val="TableParagraph"/>
              <w:spacing w:before="116"/>
              <w:ind w:left="154" w:right="14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608" w:type="dxa"/>
          </w:tcPr>
          <w:p>
            <w:pPr>
              <w:pStyle w:val="TableParagraph"/>
              <w:spacing w:before="116"/>
              <w:ind w:left="156" w:right="14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562" w:type="dxa"/>
          </w:tcPr>
          <w:p>
            <w:pPr>
              <w:pStyle w:val="TableParagraph"/>
              <w:spacing w:before="116"/>
              <w:ind w:left="132" w:right="124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09" w:type="dxa"/>
          </w:tcPr>
          <w:p>
            <w:pPr>
              <w:pStyle w:val="TableParagraph"/>
              <w:spacing w:before="116"/>
              <w:ind w:left="135" w:right="123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26" w:type="dxa"/>
          </w:tcPr>
          <w:p>
            <w:pPr>
              <w:pStyle w:val="TableParagraph"/>
              <w:spacing w:before="116"/>
              <w:ind w:left="457" w:right="447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24" w:type="dxa"/>
          </w:tcPr>
          <w:p>
            <w:pPr>
              <w:pStyle w:val="TableParagraph"/>
              <w:spacing w:before="116"/>
              <w:ind w:left="457" w:right="444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690" w:type="dxa"/>
          </w:tcPr>
          <w:p>
            <w:pPr>
              <w:pStyle w:val="TableParagraph"/>
              <w:spacing w:before="116"/>
              <w:ind w:left="313" w:right="292"/>
              <w:rPr>
                <w:sz w:val="16"/>
              </w:rPr>
            </w:pPr>
            <w:r>
              <w:rPr>
                <w:color w:val="323232"/>
                <w:sz w:val="16"/>
              </w:rPr>
              <w:t>100,00</w:t>
            </w:r>
          </w:p>
        </w:tc>
      </w:tr>
      <w:tr>
        <w:trPr>
          <w:trHeight w:val="856" w:hRule="atLeast"/>
        </w:trPr>
        <w:tc>
          <w:tcPr>
            <w:tcW w:w="1483" w:type="dxa"/>
            <w:vMerge w:val="restart"/>
          </w:tcPr>
          <w:p>
            <w:pPr>
              <w:pStyle w:val="TableParagraph"/>
              <w:spacing w:line="183" w:lineRule="exact" w:before="116"/>
              <w:ind w:left="230" w:right="215"/>
              <w:rPr>
                <w:sz w:val="16"/>
              </w:rPr>
            </w:pPr>
            <w:r>
              <w:rPr>
                <w:color w:val="323232"/>
                <w:sz w:val="16"/>
              </w:rPr>
              <w:t>122</w:t>
            </w:r>
            <w:r>
              <w:rPr>
                <w:color w:val="323232"/>
                <w:spacing w:val="-1"/>
                <w:sz w:val="16"/>
              </w:rPr>
              <w:t> </w:t>
            </w:r>
            <w:r>
              <w:rPr>
                <w:color w:val="323232"/>
                <w:sz w:val="16"/>
              </w:rPr>
              <w:t>-</w:t>
            </w:r>
          </w:p>
          <w:p>
            <w:pPr>
              <w:pStyle w:val="TableParagraph"/>
              <w:spacing w:before="0"/>
              <w:ind w:left="237" w:right="215"/>
              <w:rPr>
                <w:sz w:val="16"/>
              </w:rPr>
            </w:pPr>
            <w:r>
              <w:rPr>
                <w:color w:val="323232"/>
                <w:spacing w:val="-1"/>
                <w:sz w:val="16"/>
              </w:rPr>
              <w:t>Administração</w:t>
            </w:r>
            <w:r>
              <w:rPr>
                <w:color w:val="323232"/>
                <w:spacing w:val="-42"/>
                <w:sz w:val="16"/>
              </w:rPr>
              <w:t> </w:t>
            </w:r>
            <w:r>
              <w:rPr>
                <w:color w:val="323232"/>
                <w:sz w:val="16"/>
              </w:rPr>
              <w:t>Geral</w:t>
            </w:r>
          </w:p>
        </w:tc>
        <w:tc>
          <w:tcPr>
            <w:tcW w:w="1212" w:type="dxa"/>
          </w:tcPr>
          <w:p>
            <w:pPr>
              <w:pStyle w:val="TableParagraph"/>
              <w:spacing w:before="116"/>
              <w:ind w:left="275" w:right="258"/>
              <w:rPr>
                <w:sz w:val="16"/>
              </w:rPr>
            </w:pPr>
            <w:r>
              <w:rPr>
                <w:color w:val="323232"/>
                <w:sz w:val="16"/>
              </w:rPr>
              <w:t>Corrente</w:t>
            </w:r>
          </w:p>
        </w:tc>
        <w:tc>
          <w:tcPr>
            <w:tcW w:w="1150" w:type="dxa"/>
          </w:tcPr>
          <w:p>
            <w:pPr>
              <w:pStyle w:val="TableParagraph"/>
              <w:spacing w:before="116"/>
              <w:ind w:left="422" w:right="40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436" w:type="dxa"/>
          </w:tcPr>
          <w:p>
            <w:pPr>
              <w:pStyle w:val="TableParagraph"/>
              <w:spacing w:before="116"/>
              <w:ind w:left="191" w:right="166"/>
              <w:rPr>
                <w:sz w:val="16"/>
              </w:rPr>
            </w:pPr>
            <w:r>
              <w:rPr>
                <w:color w:val="323232"/>
                <w:sz w:val="16"/>
              </w:rPr>
              <w:t>10.759.288,92</w:t>
            </w:r>
          </w:p>
        </w:tc>
        <w:tc>
          <w:tcPr>
            <w:tcW w:w="1606" w:type="dxa"/>
          </w:tcPr>
          <w:p>
            <w:pPr>
              <w:pStyle w:val="TableParagraph"/>
              <w:spacing w:before="116"/>
              <w:ind w:left="154" w:right="14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608" w:type="dxa"/>
          </w:tcPr>
          <w:p>
            <w:pPr>
              <w:pStyle w:val="TableParagraph"/>
              <w:spacing w:before="116"/>
              <w:ind w:left="156" w:right="14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562" w:type="dxa"/>
          </w:tcPr>
          <w:p>
            <w:pPr>
              <w:pStyle w:val="TableParagraph"/>
              <w:spacing w:before="116"/>
              <w:ind w:left="132" w:right="124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09" w:type="dxa"/>
          </w:tcPr>
          <w:p>
            <w:pPr>
              <w:pStyle w:val="TableParagraph"/>
              <w:spacing w:before="116"/>
              <w:ind w:left="135" w:right="123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26" w:type="dxa"/>
          </w:tcPr>
          <w:p>
            <w:pPr>
              <w:pStyle w:val="TableParagraph"/>
              <w:spacing w:before="116"/>
              <w:ind w:left="457" w:right="447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24" w:type="dxa"/>
          </w:tcPr>
          <w:p>
            <w:pPr>
              <w:pStyle w:val="TableParagraph"/>
              <w:spacing w:before="116"/>
              <w:ind w:left="457" w:right="444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690" w:type="dxa"/>
          </w:tcPr>
          <w:p>
            <w:pPr>
              <w:pStyle w:val="TableParagraph"/>
              <w:spacing w:before="116"/>
              <w:ind w:left="318" w:right="292"/>
              <w:rPr>
                <w:sz w:val="16"/>
              </w:rPr>
            </w:pPr>
            <w:r>
              <w:rPr>
                <w:color w:val="323232"/>
                <w:sz w:val="16"/>
              </w:rPr>
              <w:t>10.759.288,92</w:t>
            </w:r>
          </w:p>
        </w:tc>
      </w:tr>
      <w:tr>
        <w:trPr>
          <w:trHeight w:val="673" w:hRule="atLeast"/>
        </w:trPr>
        <w:tc>
          <w:tcPr>
            <w:tcW w:w="14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2" w:type="dxa"/>
          </w:tcPr>
          <w:p>
            <w:pPr>
              <w:pStyle w:val="TableParagraph"/>
              <w:spacing w:before="116"/>
              <w:ind w:left="274" w:right="258"/>
              <w:rPr>
                <w:sz w:val="16"/>
              </w:rPr>
            </w:pPr>
            <w:r>
              <w:rPr>
                <w:color w:val="323232"/>
                <w:sz w:val="16"/>
              </w:rPr>
              <w:t>Capital</w:t>
            </w:r>
          </w:p>
        </w:tc>
        <w:tc>
          <w:tcPr>
            <w:tcW w:w="1150" w:type="dxa"/>
          </w:tcPr>
          <w:p>
            <w:pPr>
              <w:pStyle w:val="TableParagraph"/>
              <w:spacing w:before="116"/>
              <w:ind w:left="422" w:right="40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436" w:type="dxa"/>
          </w:tcPr>
          <w:p>
            <w:pPr>
              <w:pStyle w:val="TableParagraph"/>
              <w:spacing w:before="116"/>
              <w:ind w:left="189" w:right="166"/>
              <w:rPr>
                <w:sz w:val="16"/>
              </w:rPr>
            </w:pPr>
            <w:r>
              <w:rPr>
                <w:color w:val="323232"/>
                <w:sz w:val="16"/>
              </w:rPr>
              <w:t>45.100,00</w:t>
            </w:r>
          </w:p>
        </w:tc>
        <w:tc>
          <w:tcPr>
            <w:tcW w:w="1606" w:type="dxa"/>
          </w:tcPr>
          <w:p>
            <w:pPr>
              <w:pStyle w:val="TableParagraph"/>
              <w:spacing w:before="116"/>
              <w:ind w:left="154" w:right="14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608" w:type="dxa"/>
          </w:tcPr>
          <w:p>
            <w:pPr>
              <w:pStyle w:val="TableParagraph"/>
              <w:spacing w:before="116"/>
              <w:ind w:left="156" w:right="14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562" w:type="dxa"/>
          </w:tcPr>
          <w:p>
            <w:pPr>
              <w:pStyle w:val="TableParagraph"/>
              <w:spacing w:before="116"/>
              <w:ind w:left="132" w:right="124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09" w:type="dxa"/>
          </w:tcPr>
          <w:p>
            <w:pPr>
              <w:pStyle w:val="TableParagraph"/>
              <w:spacing w:before="116"/>
              <w:ind w:left="135" w:right="123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26" w:type="dxa"/>
          </w:tcPr>
          <w:p>
            <w:pPr>
              <w:pStyle w:val="TableParagraph"/>
              <w:spacing w:before="116"/>
              <w:ind w:left="457" w:right="447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24" w:type="dxa"/>
          </w:tcPr>
          <w:p>
            <w:pPr>
              <w:pStyle w:val="TableParagraph"/>
              <w:spacing w:before="116"/>
              <w:ind w:left="457" w:right="444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690" w:type="dxa"/>
          </w:tcPr>
          <w:p>
            <w:pPr>
              <w:pStyle w:val="TableParagraph"/>
              <w:spacing w:before="116"/>
              <w:ind w:left="316" w:right="292"/>
              <w:rPr>
                <w:sz w:val="16"/>
              </w:rPr>
            </w:pPr>
            <w:r>
              <w:rPr>
                <w:color w:val="323232"/>
                <w:sz w:val="16"/>
              </w:rPr>
              <w:t>45.100,00</w:t>
            </w:r>
          </w:p>
        </w:tc>
      </w:tr>
      <w:tr>
        <w:trPr>
          <w:trHeight w:val="856" w:hRule="atLeast"/>
        </w:trPr>
        <w:tc>
          <w:tcPr>
            <w:tcW w:w="1483" w:type="dxa"/>
            <w:vMerge w:val="restart"/>
          </w:tcPr>
          <w:p>
            <w:pPr>
              <w:pStyle w:val="TableParagraph"/>
              <w:spacing w:before="116"/>
              <w:ind w:left="501" w:right="205" w:hanging="255"/>
              <w:jc w:val="left"/>
              <w:rPr>
                <w:sz w:val="16"/>
              </w:rPr>
            </w:pPr>
            <w:r>
              <w:rPr>
                <w:color w:val="323232"/>
                <w:sz w:val="16"/>
              </w:rPr>
              <w:t>301 - Atenção</w:t>
            </w:r>
            <w:r>
              <w:rPr>
                <w:color w:val="323232"/>
                <w:spacing w:val="-42"/>
                <w:sz w:val="16"/>
              </w:rPr>
              <w:t> </w:t>
            </w:r>
            <w:r>
              <w:rPr>
                <w:color w:val="323232"/>
                <w:sz w:val="16"/>
              </w:rPr>
              <w:t>Básica</w:t>
            </w:r>
          </w:p>
        </w:tc>
        <w:tc>
          <w:tcPr>
            <w:tcW w:w="1212" w:type="dxa"/>
          </w:tcPr>
          <w:p>
            <w:pPr>
              <w:pStyle w:val="TableParagraph"/>
              <w:spacing w:before="116"/>
              <w:ind w:left="275" w:right="258"/>
              <w:rPr>
                <w:sz w:val="16"/>
              </w:rPr>
            </w:pPr>
            <w:r>
              <w:rPr>
                <w:color w:val="323232"/>
                <w:sz w:val="16"/>
              </w:rPr>
              <w:t>Corrente</w:t>
            </w:r>
          </w:p>
        </w:tc>
        <w:tc>
          <w:tcPr>
            <w:tcW w:w="1150" w:type="dxa"/>
          </w:tcPr>
          <w:p>
            <w:pPr>
              <w:pStyle w:val="TableParagraph"/>
              <w:spacing w:before="116"/>
              <w:ind w:left="422" w:right="40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436" w:type="dxa"/>
          </w:tcPr>
          <w:p>
            <w:pPr>
              <w:pStyle w:val="TableParagraph"/>
              <w:spacing w:before="116"/>
              <w:ind w:left="191" w:right="166"/>
              <w:rPr>
                <w:sz w:val="16"/>
              </w:rPr>
            </w:pPr>
            <w:r>
              <w:rPr>
                <w:color w:val="323232"/>
                <w:sz w:val="16"/>
              </w:rPr>
              <w:t>13.967.255,65</w:t>
            </w:r>
          </w:p>
        </w:tc>
        <w:tc>
          <w:tcPr>
            <w:tcW w:w="1606" w:type="dxa"/>
          </w:tcPr>
          <w:p>
            <w:pPr>
              <w:pStyle w:val="TableParagraph"/>
              <w:spacing w:before="116"/>
              <w:ind w:left="161" w:right="139"/>
              <w:rPr>
                <w:sz w:val="16"/>
              </w:rPr>
            </w:pPr>
            <w:r>
              <w:rPr>
                <w:color w:val="323232"/>
                <w:sz w:val="16"/>
              </w:rPr>
              <w:t>9.045.492,12</w:t>
            </w:r>
          </w:p>
        </w:tc>
        <w:tc>
          <w:tcPr>
            <w:tcW w:w="1608" w:type="dxa"/>
          </w:tcPr>
          <w:p>
            <w:pPr>
              <w:pStyle w:val="TableParagraph"/>
              <w:spacing w:before="116"/>
              <w:ind w:left="156" w:right="14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562" w:type="dxa"/>
          </w:tcPr>
          <w:p>
            <w:pPr>
              <w:pStyle w:val="TableParagraph"/>
              <w:spacing w:before="116"/>
              <w:ind w:left="132" w:right="124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09" w:type="dxa"/>
          </w:tcPr>
          <w:p>
            <w:pPr>
              <w:pStyle w:val="TableParagraph"/>
              <w:spacing w:before="116"/>
              <w:ind w:left="135" w:right="123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26" w:type="dxa"/>
          </w:tcPr>
          <w:p>
            <w:pPr>
              <w:pStyle w:val="TableParagraph"/>
              <w:spacing w:before="116"/>
              <w:ind w:left="457" w:right="447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24" w:type="dxa"/>
          </w:tcPr>
          <w:p>
            <w:pPr>
              <w:pStyle w:val="TableParagraph"/>
              <w:spacing w:before="116"/>
              <w:ind w:left="457" w:right="444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690" w:type="dxa"/>
          </w:tcPr>
          <w:p>
            <w:pPr>
              <w:pStyle w:val="TableParagraph"/>
              <w:spacing w:before="116"/>
              <w:ind w:left="318" w:right="292"/>
              <w:rPr>
                <w:sz w:val="16"/>
              </w:rPr>
            </w:pPr>
            <w:r>
              <w:rPr>
                <w:color w:val="323232"/>
                <w:sz w:val="16"/>
              </w:rPr>
              <w:t>23.012.747,77</w:t>
            </w:r>
          </w:p>
        </w:tc>
      </w:tr>
      <w:tr>
        <w:trPr>
          <w:trHeight w:val="673" w:hRule="atLeast"/>
        </w:trPr>
        <w:tc>
          <w:tcPr>
            <w:tcW w:w="14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2" w:type="dxa"/>
          </w:tcPr>
          <w:p>
            <w:pPr>
              <w:pStyle w:val="TableParagraph"/>
              <w:spacing w:before="116"/>
              <w:ind w:left="274" w:right="258"/>
              <w:rPr>
                <w:sz w:val="16"/>
              </w:rPr>
            </w:pPr>
            <w:r>
              <w:rPr>
                <w:color w:val="323232"/>
                <w:sz w:val="16"/>
              </w:rPr>
              <w:t>Capital</w:t>
            </w:r>
          </w:p>
        </w:tc>
        <w:tc>
          <w:tcPr>
            <w:tcW w:w="1150" w:type="dxa"/>
          </w:tcPr>
          <w:p>
            <w:pPr>
              <w:pStyle w:val="TableParagraph"/>
              <w:spacing w:before="116"/>
              <w:ind w:left="422" w:right="40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436" w:type="dxa"/>
          </w:tcPr>
          <w:p>
            <w:pPr>
              <w:pStyle w:val="TableParagraph"/>
              <w:spacing w:before="116"/>
              <w:ind w:left="191" w:right="166"/>
              <w:rPr>
                <w:sz w:val="16"/>
              </w:rPr>
            </w:pPr>
            <w:r>
              <w:rPr>
                <w:color w:val="323232"/>
                <w:sz w:val="16"/>
              </w:rPr>
              <w:t>236.900,00</w:t>
            </w:r>
          </w:p>
        </w:tc>
        <w:tc>
          <w:tcPr>
            <w:tcW w:w="1606" w:type="dxa"/>
          </w:tcPr>
          <w:p>
            <w:pPr>
              <w:pStyle w:val="TableParagraph"/>
              <w:spacing w:before="116"/>
              <w:ind w:left="154" w:right="14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608" w:type="dxa"/>
          </w:tcPr>
          <w:p>
            <w:pPr>
              <w:pStyle w:val="TableParagraph"/>
              <w:spacing w:before="116"/>
              <w:ind w:left="163" w:right="139"/>
              <w:rPr>
                <w:sz w:val="16"/>
              </w:rPr>
            </w:pPr>
            <w:r>
              <w:rPr>
                <w:color w:val="323232"/>
                <w:sz w:val="16"/>
              </w:rPr>
              <w:t>1.000.000,00</w:t>
            </w:r>
          </w:p>
        </w:tc>
        <w:tc>
          <w:tcPr>
            <w:tcW w:w="1562" w:type="dxa"/>
          </w:tcPr>
          <w:p>
            <w:pPr>
              <w:pStyle w:val="TableParagraph"/>
              <w:spacing w:before="116"/>
              <w:ind w:left="132" w:right="124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09" w:type="dxa"/>
          </w:tcPr>
          <w:p>
            <w:pPr>
              <w:pStyle w:val="TableParagraph"/>
              <w:spacing w:before="116"/>
              <w:ind w:left="135" w:right="123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26" w:type="dxa"/>
          </w:tcPr>
          <w:p>
            <w:pPr>
              <w:pStyle w:val="TableParagraph"/>
              <w:spacing w:before="116"/>
              <w:ind w:left="457" w:right="447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24" w:type="dxa"/>
          </w:tcPr>
          <w:p>
            <w:pPr>
              <w:pStyle w:val="TableParagraph"/>
              <w:spacing w:before="116"/>
              <w:ind w:left="457" w:right="444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690" w:type="dxa"/>
          </w:tcPr>
          <w:p>
            <w:pPr>
              <w:pStyle w:val="TableParagraph"/>
              <w:spacing w:before="116"/>
              <w:ind w:left="318" w:right="292"/>
              <w:rPr>
                <w:sz w:val="16"/>
              </w:rPr>
            </w:pPr>
            <w:r>
              <w:rPr>
                <w:color w:val="323232"/>
                <w:sz w:val="16"/>
              </w:rPr>
              <w:t>1.236.900,00</w:t>
            </w:r>
          </w:p>
        </w:tc>
      </w:tr>
      <w:tr>
        <w:trPr>
          <w:trHeight w:val="856" w:hRule="atLeast"/>
        </w:trPr>
        <w:tc>
          <w:tcPr>
            <w:tcW w:w="1483" w:type="dxa"/>
            <w:vMerge w:val="restart"/>
          </w:tcPr>
          <w:p>
            <w:pPr>
              <w:pStyle w:val="TableParagraph"/>
              <w:spacing w:before="116"/>
              <w:ind w:left="299" w:right="96" w:hanging="166"/>
              <w:jc w:val="left"/>
              <w:rPr>
                <w:sz w:val="16"/>
              </w:rPr>
            </w:pPr>
            <w:r>
              <w:rPr>
                <w:color w:val="323232"/>
                <w:sz w:val="16"/>
              </w:rPr>
              <w:t>302 - Assistência</w:t>
            </w:r>
            <w:r>
              <w:rPr>
                <w:color w:val="323232"/>
                <w:spacing w:val="-42"/>
                <w:sz w:val="16"/>
              </w:rPr>
              <w:t> </w:t>
            </w:r>
            <w:r>
              <w:rPr>
                <w:color w:val="323232"/>
                <w:sz w:val="16"/>
              </w:rPr>
              <w:t>Hospitalar e</w:t>
            </w:r>
            <w:r>
              <w:rPr>
                <w:color w:val="323232"/>
                <w:spacing w:val="1"/>
                <w:sz w:val="16"/>
              </w:rPr>
              <w:t> </w:t>
            </w:r>
            <w:r>
              <w:rPr>
                <w:color w:val="323232"/>
                <w:sz w:val="16"/>
              </w:rPr>
              <w:t>Ambulatorial</w:t>
            </w:r>
          </w:p>
        </w:tc>
        <w:tc>
          <w:tcPr>
            <w:tcW w:w="1212" w:type="dxa"/>
          </w:tcPr>
          <w:p>
            <w:pPr>
              <w:pStyle w:val="TableParagraph"/>
              <w:spacing w:before="116"/>
              <w:ind w:left="275" w:right="258"/>
              <w:rPr>
                <w:sz w:val="16"/>
              </w:rPr>
            </w:pPr>
            <w:r>
              <w:rPr>
                <w:color w:val="323232"/>
                <w:sz w:val="16"/>
              </w:rPr>
              <w:t>Corrente</w:t>
            </w:r>
          </w:p>
        </w:tc>
        <w:tc>
          <w:tcPr>
            <w:tcW w:w="1150" w:type="dxa"/>
          </w:tcPr>
          <w:p>
            <w:pPr>
              <w:pStyle w:val="TableParagraph"/>
              <w:spacing w:before="116"/>
              <w:ind w:left="422" w:right="40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436" w:type="dxa"/>
          </w:tcPr>
          <w:p>
            <w:pPr>
              <w:pStyle w:val="TableParagraph"/>
              <w:spacing w:before="116"/>
              <w:ind w:left="191" w:right="166"/>
              <w:rPr>
                <w:sz w:val="16"/>
              </w:rPr>
            </w:pPr>
            <w:r>
              <w:rPr>
                <w:color w:val="323232"/>
                <w:sz w:val="16"/>
              </w:rPr>
              <w:t>14.052.631,74</w:t>
            </w:r>
          </w:p>
        </w:tc>
        <w:tc>
          <w:tcPr>
            <w:tcW w:w="1606" w:type="dxa"/>
          </w:tcPr>
          <w:p>
            <w:pPr>
              <w:pStyle w:val="TableParagraph"/>
              <w:spacing w:before="116"/>
              <w:ind w:left="161" w:right="139"/>
              <w:rPr>
                <w:sz w:val="16"/>
              </w:rPr>
            </w:pPr>
            <w:r>
              <w:rPr>
                <w:color w:val="323232"/>
                <w:sz w:val="16"/>
              </w:rPr>
              <w:t>4.876.956,00</w:t>
            </w:r>
          </w:p>
        </w:tc>
        <w:tc>
          <w:tcPr>
            <w:tcW w:w="1608" w:type="dxa"/>
          </w:tcPr>
          <w:p>
            <w:pPr>
              <w:pStyle w:val="TableParagraph"/>
              <w:spacing w:before="116"/>
              <w:ind w:left="156" w:right="14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562" w:type="dxa"/>
          </w:tcPr>
          <w:p>
            <w:pPr>
              <w:pStyle w:val="TableParagraph"/>
              <w:spacing w:before="116"/>
              <w:ind w:left="132" w:right="124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09" w:type="dxa"/>
          </w:tcPr>
          <w:p>
            <w:pPr>
              <w:pStyle w:val="TableParagraph"/>
              <w:spacing w:before="116"/>
              <w:ind w:left="135" w:right="123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26" w:type="dxa"/>
          </w:tcPr>
          <w:p>
            <w:pPr>
              <w:pStyle w:val="TableParagraph"/>
              <w:spacing w:before="116"/>
              <w:ind w:left="457" w:right="447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24" w:type="dxa"/>
          </w:tcPr>
          <w:p>
            <w:pPr>
              <w:pStyle w:val="TableParagraph"/>
              <w:spacing w:before="116"/>
              <w:ind w:left="457" w:right="444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690" w:type="dxa"/>
          </w:tcPr>
          <w:p>
            <w:pPr>
              <w:pStyle w:val="TableParagraph"/>
              <w:spacing w:before="116"/>
              <w:ind w:left="318" w:right="292"/>
              <w:rPr>
                <w:sz w:val="16"/>
              </w:rPr>
            </w:pPr>
            <w:r>
              <w:rPr>
                <w:color w:val="323232"/>
                <w:sz w:val="16"/>
              </w:rPr>
              <w:t>18.929.587,74</w:t>
            </w:r>
          </w:p>
        </w:tc>
      </w:tr>
      <w:tr>
        <w:trPr>
          <w:trHeight w:val="671" w:hRule="atLeast"/>
        </w:trPr>
        <w:tc>
          <w:tcPr>
            <w:tcW w:w="14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2" w:type="dxa"/>
          </w:tcPr>
          <w:p>
            <w:pPr>
              <w:pStyle w:val="TableParagraph"/>
              <w:spacing w:before="116"/>
              <w:ind w:left="274" w:right="258"/>
              <w:rPr>
                <w:sz w:val="16"/>
              </w:rPr>
            </w:pPr>
            <w:r>
              <w:rPr>
                <w:color w:val="323232"/>
                <w:sz w:val="16"/>
              </w:rPr>
              <w:t>Capital</w:t>
            </w:r>
          </w:p>
        </w:tc>
        <w:tc>
          <w:tcPr>
            <w:tcW w:w="1150" w:type="dxa"/>
          </w:tcPr>
          <w:p>
            <w:pPr>
              <w:pStyle w:val="TableParagraph"/>
              <w:spacing w:before="116"/>
              <w:ind w:left="422" w:right="40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436" w:type="dxa"/>
          </w:tcPr>
          <w:p>
            <w:pPr>
              <w:pStyle w:val="TableParagraph"/>
              <w:spacing w:before="116"/>
              <w:ind w:left="189" w:right="166"/>
              <w:rPr>
                <w:sz w:val="16"/>
              </w:rPr>
            </w:pPr>
            <w:r>
              <w:rPr>
                <w:color w:val="323232"/>
                <w:sz w:val="16"/>
              </w:rPr>
              <w:t>14.600,00</w:t>
            </w:r>
          </w:p>
        </w:tc>
        <w:tc>
          <w:tcPr>
            <w:tcW w:w="1606" w:type="dxa"/>
          </w:tcPr>
          <w:p>
            <w:pPr>
              <w:pStyle w:val="TableParagraph"/>
              <w:spacing w:before="116"/>
              <w:ind w:left="154" w:right="14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608" w:type="dxa"/>
          </w:tcPr>
          <w:p>
            <w:pPr>
              <w:pStyle w:val="TableParagraph"/>
              <w:spacing w:before="116"/>
              <w:ind w:left="156" w:right="14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562" w:type="dxa"/>
          </w:tcPr>
          <w:p>
            <w:pPr>
              <w:pStyle w:val="TableParagraph"/>
              <w:spacing w:before="116"/>
              <w:ind w:left="132" w:right="124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09" w:type="dxa"/>
          </w:tcPr>
          <w:p>
            <w:pPr>
              <w:pStyle w:val="TableParagraph"/>
              <w:spacing w:before="116"/>
              <w:ind w:left="135" w:right="123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26" w:type="dxa"/>
          </w:tcPr>
          <w:p>
            <w:pPr>
              <w:pStyle w:val="TableParagraph"/>
              <w:spacing w:before="116"/>
              <w:ind w:left="457" w:right="447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24" w:type="dxa"/>
          </w:tcPr>
          <w:p>
            <w:pPr>
              <w:pStyle w:val="TableParagraph"/>
              <w:spacing w:before="116"/>
              <w:ind w:left="457" w:right="444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690" w:type="dxa"/>
          </w:tcPr>
          <w:p>
            <w:pPr>
              <w:pStyle w:val="TableParagraph"/>
              <w:spacing w:before="116"/>
              <w:ind w:left="316" w:right="292"/>
              <w:rPr>
                <w:sz w:val="16"/>
              </w:rPr>
            </w:pPr>
            <w:r>
              <w:rPr>
                <w:color w:val="323232"/>
                <w:sz w:val="16"/>
              </w:rPr>
              <w:t>14.600,00</w:t>
            </w:r>
          </w:p>
        </w:tc>
      </w:tr>
    </w:tbl>
    <w:p>
      <w:pPr>
        <w:spacing w:after="0"/>
        <w:rPr>
          <w:sz w:val="16"/>
        </w:rPr>
        <w:sectPr>
          <w:pgSz w:w="16840" w:h="11900" w:orient="landscape"/>
          <w:pgMar w:top="0" w:bottom="280" w:left="360" w:right="6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tbl>
      <w:tblPr>
        <w:tblW w:w="0" w:type="auto"/>
        <w:jc w:val="left"/>
        <w:tblInd w:w="36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83"/>
        <w:gridCol w:w="1212"/>
        <w:gridCol w:w="1150"/>
        <w:gridCol w:w="1436"/>
        <w:gridCol w:w="1606"/>
        <w:gridCol w:w="1608"/>
        <w:gridCol w:w="1562"/>
        <w:gridCol w:w="1209"/>
        <w:gridCol w:w="1226"/>
        <w:gridCol w:w="1224"/>
        <w:gridCol w:w="1690"/>
      </w:tblGrid>
      <w:tr>
        <w:trPr>
          <w:trHeight w:val="673" w:hRule="atLeast"/>
        </w:trPr>
        <w:tc>
          <w:tcPr>
            <w:tcW w:w="1483" w:type="dxa"/>
            <w:vMerge w:val="restart"/>
          </w:tcPr>
          <w:p>
            <w:pPr>
              <w:pStyle w:val="TableParagraph"/>
              <w:spacing w:before="118"/>
              <w:ind w:left="321" w:right="220" w:hanging="63"/>
              <w:jc w:val="left"/>
              <w:rPr>
                <w:sz w:val="16"/>
              </w:rPr>
            </w:pPr>
            <w:r>
              <w:rPr>
                <w:color w:val="323232"/>
                <w:sz w:val="16"/>
              </w:rPr>
              <w:t>303 - Suporte</w:t>
            </w:r>
            <w:r>
              <w:rPr>
                <w:color w:val="323232"/>
                <w:spacing w:val="-42"/>
                <w:sz w:val="16"/>
              </w:rPr>
              <w:t> </w:t>
            </w:r>
            <w:r>
              <w:rPr>
                <w:color w:val="323232"/>
                <w:sz w:val="16"/>
              </w:rPr>
              <w:t>Profilático e</w:t>
            </w:r>
            <w:r>
              <w:rPr>
                <w:color w:val="323232"/>
                <w:spacing w:val="1"/>
                <w:sz w:val="16"/>
              </w:rPr>
              <w:t> </w:t>
            </w:r>
            <w:r>
              <w:rPr>
                <w:color w:val="323232"/>
                <w:sz w:val="16"/>
              </w:rPr>
              <w:t>Terapêutico</w:t>
            </w:r>
          </w:p>
        </w:tc>
        <w:tc>
          <w:tcPr>
            <w:tcW w:w="1212" w:type="dxa"/>
          </w:tcPr>
          <w:p>
            <w:pPr>
              <w:pStyle w:val="TableParagraph"/>
              <w:spacing w:before="118"/>
              <w:ind w:left="275" w:right="258"/>
              <w:rPr>
                <w:sz w:val="16"/>
              </w:rPr>
            </w:pPr>
            <w:r>
              <w:rPr>
                <w:color w:val="323232"/>
                <w:sz w:val="16"/>
              </w:rPr>
              <w:t>Corrente</w:t>
            </w:r>
          </w:p>
        </w:tc>
        <w:tc>
          <w:tcPr>
            <w:tcW w:w="1150" w:type="dxa"/>
          </w:tcPr>
          <w:p>
            <w:pPr>
              <w:pStyle w:val="TableParagraph"/>
              <w:spacing w:before="118"/>
              <w:ind w:left="422" w:right="40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436" w:type="dxa"/>
          </w:tcPr>
          <w:p>
            <w:pPr>
              <w:pStyle w:val="TableParagraph"/>
              <w:spacing w:before="118"/>
              <w:ind w:left="0" w:right="225"/>
              <w:jc w:val="right"/>
              <w:rPr>
                <w:sz w:val="16"/>
              </w:rPr>
            </w:pPr>
            <w:r>
              <w:rPr>
                <w:color w:val="323232"/>
                <w:sz w:val="16"/>
              </w:rPr>
              <w:t>1.138.642,52</w:t>
            </w:r>
          </w:p>
        </w:tc>
        <w:tc>
          <w:tcPr>
            <w:tcW w:w="1606" w:type="dxa"/>
          </w:tcPr>
          <w:p>
            <w:pPr>
              <w:pStyle w:val="TableParagraph"/>
              <w:spacing w:before="118"/>
              <w:ind w:left="161" w:right="139"/>
              <w:rPr>
                <w:sz w:val="16"/>
              </w:rPr>
            </w:pPr>
            <w:r>
              <w:rPr>
                <w:color w:val="323232"/>
                <w:sz w:val="16"/>
              </w:rPr>
              <w:t>240.564,48</w:t>
            </w:r>
          </w:p>
        </w:tc>
        <w:tc>
          <w:tcPr>
            <w:tcW w:w="1608" w:type="dxa"/>
          </w:tcPr>
          <w:p>
            <w:pPr>
              <w:pStyle w:val="TableParagraph"/>
              <w:spacing w:before="118"/>
              <w:ind w:left="163" w:right="144"/>
              <w:rPr>
                <w:sz w:val="16"/>
              </w:rPr>
            </w:pPr>
            <w:r>
              <w:rPr>
                <w:color w:val="323232"/>
                <w:sz w:val="16"/>
              </w:rPr>
              <w:t>121.293,00</w:t>
            </w:r>
          </w:p>
        </w:tc>
        <w:tc>
          <w:tcPr>
            <w:tcW w:w="1562" w:type="dxa"/>
          </w:tcPr>
          <w:p>
            <w:pPr>
              <w:pStyle w:val="TableParagraph"/>
              <w:spacing w:before="118"/>
              <w:ind w:left="132" w:right="124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09" w:type="dxa"/>
          </w:tcPr>
          <w:p>
            <w:pPr>
              <w:pStyle w:val="TableParagraph"/>
              <w:spacing w:before="118"/>
              <w:ind w:left="135" w:right="123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26" w:type="dxa"/>
          </w:tcPr>
          <w:p>
            <w:pPr>
              <w:pStyle w:val="TableParagraph"/>
              <w:spacing w:before="118"/>
              <w:ind w:left="457" w:right="447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24" w:type="dxa"/>
          </w:tcPr>
          <w:p>
            <w:pPr>
              <w:pStyle w:val="TableParagraph"/>
              <w:spacing w:before="118"/>
              <w:ind w:left="457" w:right="444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690" w:type="dxa"/>
          </w:tcPr>
          <w:p>
            <w:pPr>
              <w:pStyle w:val="TableParagraph"/>
              <w:spacing w:before="118"/>
              <w:ind w:left="0" w:right="352"/>
              <w:jc w:val="right"/>
              <w:rPr>
                <w:sz w:val="16"/>
              </w:rPr>
            </w:pPr>
            <w:r>
              <w:rPr>
                <w:color w:val="323232"/>
                <w:sz w:val="16"/>
              </w:rPr>
              <w:t>1.500.500,00</w:t>
            </w:r>
          </w:p>
        </w:tc>
      </w:tr>
      <w:tr>
        <w:trPr>
          <w:trHeight w:val="673" w:hRule="atLeast"/>
        </w:trPr>
        <w:tc>
          <w:tcPr>
            <w:tcW w:w="14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2" w:type="dxa"/>
          </w:tcPr>
          <w:p>
            <w:pPr>
              <w:pStyle w:val="TableParagraph"/>
              <w:spacing w:before="118"/>
              <w:ind w:left="274" w:right="258"/>
              <w:rPr>
                <w:sz w:val="16"/>
              </w:rPr>
            </w:pPr>
            <w:r>
              <w:rPr>
                <w:color w:val="323232"/>
                <w:sz w:val="16"/>
              </w:rPr>
              <w:t>Capital</w:t>
            </w:r>
          </w:p>
        </w:tc>
        <w:tc>
          <w:tcPr>
            <w:tcW w:w="1150" w:type="dxa"/>
          </w:tcPr>
          <w:p>
            <w:pPr>
              <w:pStyle w:val="TableParagraph"/>
              <w:spacing w:before="118"/>
              <w:ind w:left="422" w:right="40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436" w:type="dxa"/>
          </w:tcPr>
          <w:p>
            <w:pPr>
              <w:pStyle w:val="TableParagraph"/>
              <w:spacing w:before="118"/>
              <w:ind w:left="407"/>
              <w:jc w:val="left"/>
              <w:rPr>
                <w:sz w:val="16"/>
              </w:rPr>
            </w:pPr>
            <w:r>
              <w:rPr>
                <w:color w:val="323232"/>
                <w:sz w:val="16"/>
              </w:rPr>
              <w:t>5.000,00</w:t>
            </w:r>
          </w:p>
        </w:tc>
        <w:tc>
          <w:tcPr>
            <w:tcW w:w="1606" w:type="dxa"/>
          </w:tcPr>
          <w:p>
            <w:pPr>
              <w:pStyle w:val="TableParagraph"/>
              <w:spacing w:before="118"/>
              <w:ind w:left="154" w:right="14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608" w:type="dxa"/>
          </w:tcPr>
          <w:p>
            <w:pPr>
              <w:pStyle w:val="TableParagraph"/>
              <w:spacing w:before="118"/>
              <w:ind w:left="156" w:right="14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562" w:type="dxa"/>
          </w:tcPr>
          <w:p>
            <w:pPr>
              <w:pStyle w:val="TableParagraph"/>
              <w:spacing w:before="118"/>
              <w:ind w:left="132" w:right="124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09" w:type="dxa"/>
          </w:tcPr>
          <w:p>
            <w:pPr>
              <w:pStyle w:val="TableParagraph"/>
              <w:spacing w:before="118"/>
              <w:ind w:left="135" w:right="123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26" w:type="dxa"/>
          </w:tcPr>
          <w:p>
            <w:pPr>
              <w:pStyle w:val="TableParagraph"/>
              <w:spacing w:before="118"/>
              <w:ind w:left="457" w:right="447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24" w:type="dxa"/>
          </w:tcPr>
          <w:p>
            <w:pPr>
              <w:pStyle w:val="TableParagraph"/>
              <w:spacing w:before="118"/>
              <w:ind w:left="457" w:right="444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690" w:type="dxa"/>
          </w:tcPr>
          <w:p>
            <w:pPr>
              <w:pStyle w:val="TableParagraph"/>
              <w:spacing w:before="118"/>
              <w:ind w:left="534"/>
              <w:jc w:val="left"/>
              <w:rPr>
                <w:sz w:val="16"/>
              </w:rPr>
            </w:pPr>
            <w:r>
              <w:rPr>
                <w:color w:val="323232"/>
                <w:sz w:val="16"/>
              </w:rPr>
              <w:t>5.000,00</w:t>
            </w:r>
          </w:p>
        </w:tc>
      </w:tr>
      <w:tr>
        <w:trPr>
          <w:trHeight w:val="673" w:hRule="atLeast"/>
        </w:trPr>
        <w:tc>
          <w:tcPr>
            <w:tcW w:w="1483" w:type="dxa"/>
            <w:vMerge w:val="restart"/>
          </w:tcPr>
          <w:p>
            <w:pPr>
              <w:pStyle w:val="TableParagraph"/>
              <w:spacing w:before="118"/>
              <w:ind w:left="426" w:right="156" w:hanging="228"/>
              <w:jc w:val="left"/>
              <w:rPr>
                <w:sz w:val="16"/>
              </w:rPr>
            </w:pPr>
            <w:r>
              <w:rPr>
                <w:color w:val="323232"/>
                <w:sz w:val="16"/>
              </w:rPr>
              <w:t>304 - Vigilância</w:t>
            </w:r>
            <w:r>
              <w:rPr>
                <w:color w:val="323232"/>
                <w:spacing w:val="-42"/>
                <w:sz w:val="16"/>
              </w:rPr>
              <w:t> </w:t>
            </w:r>
            <w:r>
              <w:rPr>
                <w:color w:val="323232"/>
                <w:sz w:val="16"/>
              </w:rPr>
              <w:t>Sanitária</w:t>
            </w:r>
          </w:p>
        </w:tc>
        <w:tc>
          <w:tcPr>
            <w:tcW w:w="1212" w:type="dxa"/>
          </w:tcPr>
          <w:p>
            <w:pPr>
              <w:pStyle w:val="TableParagraph"/>
              <w:spacing w:before="118"/>
              <w:ind w:left="275" w:right="258"/>
              <w:rPr>
                <w:sz w:val="16"/>
              </w:rPr>
            </w:pPr>
            <w:r>
              <w:rPr>
                <w:color w:val="323232"/>
                <w:sz w:val="16"/>
              </w:rPr>
              <w:t>Corrente</w:t>
            </w:r>
          </w:p>
        </w:tc>
        <w:tc>
          <w:tcPr>
            <w:tcW w:w="1150" w:type="dxa"/>
          </w:tcPr>
          <w:p>
            <w:pPr>
              <w:pStyle w:val="TableParagraph"/>
              <w:spacing w:before="118"/>
              <w:ind w:left="422" w:right="40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436" w:type="dxa"/>
          </w:tcPr>
          <w:p>
            <w:pPr>
              <w:pStyle w:val="TableParagraph"/>
              <w:spacing w:before="118"/>
              <w:ind w:left="0" w:right="293"/>
              <w:jc w:val="right"/>
              <w:rPr>
                <w:sz w:val="16"/>
              </w:rPr>
            </w:pPr>
            <w:r>
              <w:rPr>
                <w:color w:val="323232"/>
                <w:sz w:val="16"/>
              </w:rPr>
              <w:t>761.900,00</w:t>
            </w:r>
          </w:p>
        </w:tc>
        <w:tc>
          <w:tcPr>
            <w:tcW w:w="1606" w:type="dxa"/>
          </w:tcPr>
          <w:p>
            <w:pPr>
              <w:pStyle w:val="TableParagraph"/>
              <w:spacing w:before="118"/>
              <w:ind w:left="161" w:right="142"/>
              <w:rPr>
                <w:sz w:val="16"/>
              </w:rPr>
            </w:pPr>
            <w:r>
              <w:rPr>
                <w:color w:val="323232"/>
                <w:sz w:val="16"/>
              </w:rPr>
              <w:t>40.000,00</w:t>
            </w:r>
          </w:p>
        </w:tc>
        <w:tc>
          <w:tcPr>
            <w:tcW w:w="1608" w:type="dxa"/>
          </w:tcPr>
          <w:p>
            <w:pPr>
              <w:pStyle w:val="TableParagraph"/>
              <w:spacing w:before="118"/>
              <w:ind w:left="156" w:right="14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562" w:type="dxa"/>
          </w:tcPr>
          <w:p>
            <w:pPr>
              <w:pStyle w:val="TableParagraph"/>
              <w:spacing w:before="118"/>
              <w:ind w:left="132" w:right="124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09" w:type="dxa"/>
          </w:tcPr>
          <w:p>
            <w:pPr>
              <w:pStyle w:val="TableParagraph"/>
              <w:spacing w:before="118"/>
              <w:ind w:left="135" w:right="123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26" w:type="dxa"/>
          </w:tcPr>
          <w:p>
            <w:pPr>
              <w:pStyle w:val="TableParagraph"/>
              <w:spacing w:before="118"/>
              <w:ind w:left="457" w:right="447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24" w:type="dxa"/>
          </w:tcPr>
          <w:p>
            <w:pPr>
              <w:pStyle w:val="TableParagraph"/>
              <w:spacing w:before="118"/>
              <w:ind w:left="457" w:right="444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690" w:type="dxa"/>
          </w:tcPr>
          <w:p>
            <w:pPr>
              <w:pStyle w:val="TableParagraph"/>
              <w:spacing w:before="118"/>
              <w:ind w:left="0" w:right="422"/>
              <w:jc w:val="right"/>
              <w:rPr>
                <w:sz w:val="16"/>
              </w:rPr>
            </w:pPr>
            <w:r>
              <w:rPr>
                <w:color w:val="323232"/>
                <w:sz w:val="16"/>
              </w:rPr>
              <w:t>801.900,00</w:t>
            </w:r>
          </w:p>
        </w:tc>
      </w:tr>
      <w:tr>
        <w:trPr>
          <w:trHeight w:val="673" w:hRule="atLeast"/>
        </w:trPr>
        <w:tc>
          <w:tcPr>
            <w:tcW w:w="14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2" w:type="dxa"/>
          </w:tcPr>
          <w:p>
            <w:pPr>
              <w:pStyle w:val="TableParagraph"/>
              <w:spacing w:before="118"/>
              <w:ind w:left="274" w:right="258"/>
              <w:rPr>
                <w:sz w:val="16"/>
              </w:rPr>
            </w:pPr>
            <w:r>
              <w:rPr>
                <w:color w:val="323232"/>
                <w:sz w:val="16"/>
              </w:rPr>
              <w:t>Capital</w:t>
            </w:r>
          </w:p>
        </w:tc>
        <w:tc>
          <w:tcPr>
            <w:tcW w:w="1150" w:type="dxa"/>
          </w:tcPr>
          <w:p>
            <w:pPr>
              <w:pStyle w:val="TableParagraph"/>
              <w:spacing w:before="118"/>
              <w:ind w:left="422" w:right="40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436" w:type="dxa"/>
          </w:tcPr>
          <w:p>
            <w:pPr>
              <w:pStyle w:val="TableParagraph"/>
              <w:spacing w:before="118"/>
              <w:ind w:left="407"/>
              <w:jc w:val="left"/>
              <w:rPr>
                <w:sz w:val="16"/>
              </w:rPr>
            </w:pPr>
            <w:r>
              <w:rPr>
                <w:color w:val="323232"/>
                <w:sz w:val="16"/>
              </w:rPr>
              <w:t>5.000,00</w:t>
            </w:r>
          </w:p>
        </w:tc>
        <w:tc>
          <w:tcPr>
            <w:tcW w:w="1606" w:type="dxa"/>
          </w:tcPr>
          <w:p>
            <w:pPr>
              <w:pStyle w:val="TableParagraph"/>
              <w:spacing w:before="118"/>
              <w:ind w:left="154" w:right="14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608" w:type="dxa"/>
          </w:tcPr>
          <w:p>
            <w:pPr>
              <w:pStyle w:val="TableParagraph"/>
              <w:spacing w:before="118"/>
              <w:ind w:left="156" w:right="14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562" w:type="dxa"/>
          </w:tcPr>
          <w:p>
            <w:pPr>
              <w:pStyle w:val="TableParagraph"/>
              <w:spacing w:before="118"/>
              <w:ind w:left="132" w:right="124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09" w:type="dxa"/>
          </w:tcPr>
          <w:p>
            <w:pPr>
              <w:pStyle w:val="TableParagraph"/>
              <w:spacing w:before="118"/>
              <w:ind w:left="135" w:right="123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26" w:type="dxa"/>
          </w:tcPr>
          <w:p>
            <w:pPr>
              <w:pStyle w:val="TableParagraph"/>
              <w:spacing w:before="118"/>
              <w:ind w:left="457" w:right="447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24" w:type="dxa"/>
          </w:tcPr>
          <w:p>
            <w:pPr>
              <w:pStyle w:val="TableParagraph"/>
              <w:spacing w:before="118"/>
              <w:ind w:left="457" w:right="444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690" w:type="dxa"/>
          </w:tcPr>
          <w:p>
            <w:pPr>
              <w:pStyle w:val="TableParagraph"/>
              <w:spacing w:before="118"/>
              <w:ind w:left="534"/>
              <w:jc w:val="left"/>
              <w:rPr>
                <w:sz w:val="16"/>
              </w:rPr>
            </w:pPr>
            <w:r>
              <w:rPr>
                <w:color w:val="323232"/>
                <w:sz w:val="16"/>
              </w:rPr>
              <w:t>5.000,00</w:t>
            </w:r>
          </w:p>
        </w:tc>
      </w:tr>
      <w:tr>
        <w:trPr>
          <w:trHeight w:val="673" w:hRule="atLeast"/>
        </w:trPr>
        <w:tc>
          <w:tcPr>
            <w:tcW w:w="1483" w:type="dxa"/>
            <w:vMerge w:val="restart"/>
          </w:tcPr>
          <w:p>
            <w:pPr>
              <w:pStyle w:val="TableParagraph"/>
              <w:spacing w:before="118"/>
              <w:ind w:left="201" w:right="156" w:hanging="3"/>
              <w:jc w:val="left"/>
              <w:rPr>
                <w:sz w:val="16"/>
              </w:rPr>
            </w:pPr>
            <w:r>
              <w:rPr>
                <w:color w:val="323232"/>
                <w:sz w:val="16"/>
              </w:rPr>
              <w:t>305 - Vigilância</w:t>
            </w:r>
            <w:r>
              <w:rPr>
                <w:color w:val="323232"/>
                <w:spacing w:val="-42"/>
                <w:sz w:val="16"/>
              </w:rPr>
              <w:t> </w:t>
            </w:r>
            <w:r>
              <w:rPr>
                <w:color w:val="323232"/>
                <w:sz w:val="16"/>
              </w:rPr>
              <w:t>Epidemiológica</w:t>
            </w:r>
          </w:p>
        </w:tc>
        <w:tc>
          <w:tcPr>
            <w:tcW w:w="1212" w:type="dxa"/>
          </w:tcPr>
          <w:p>
            <w:pPr>
              <w:pStyle w:val="TableParagraph"/>
              <w:spacing w:before="118"/>
              <w:ind w:left="275" w:right="258"/>
              <w:rPr>
                <w:sz w:val="16"/>
              </w:rPr>
            </w:pPr>
            <w:r>
              <w:rPr>
                <w:color w:val="323232"/>
                <w:sz w:val="16"/>
              </w:rPr>
              <w:t>Corrente</w:t>
            </w:r>
          </w:p>
        </w:tc>
        <w:tc>
          <w:tcPr>
            <w:tcW w:w="1150" w:type="dxa"/>
          </w:tcPr>
          <w:p>
            <w:pPr>
              <w:pStyle w:val="TableParagraph"/>
              <w:spacing w:before="118"/>
              <w:ind w:left="422" w:right="40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436" w:type="dxa"/>
          </w:tcPr>
          <w:p>
            <w:pPr>
              <w:pStyle w:val="TableParagraph"/>
              <w:spacing w:before="118"/>
              <w:ind w:left="0" w:right="293"/>
              <w:jc w:val="right"/>
              <w:rPr>
                <w:sz w:val="16"/>
              </w:rPr>
            </w:pPr>
            <w:r>
              <w:rPr>
                <w:color w:val="323232"/>
                <w:sz w:val="16"/>
              </w:rPr>
              <w:t>884.691,95</w:t>
            </w:r>
          </w:p>
        </w:tc>
        <w:tc>
          <w:tcPr>
            <w:tcW w:w="1606" w:type="dxa"/>
          </w:tcPr>
          <w:p>
            <w:pPr>
              <w:pStyle w:val="TableParagraph"/>
              <w:spacing w:before="118"/>
              <w:ind w:left="161" w:right="139"/>
              <w:rPr>
                <w:sz w:val="16"/>
              </w:rPr>
            </w:pPr>
            <w:r>
              <w:rPr>
                <w:color w:val="323232"/>
                <w:sz w:val="16"/>
              </w:rPr>
              <w:t>482.945,36</w:t>
            </w:r>
          </w:p>
        </w:tc>
        <w:tc>
          <w:tcPr>
            <w:tcW w:w="1608" w:type="dxa"/>
          </w:tcPr>
          <w:p>
            <w:pPr>
              <w:pStyle w:val="TableParagraph"/>
              <w:spacing w:before="118"/>
              <w:ind w:left="156" w:right="14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562" w:type="dxa"/>
          </w:tcPr>
          <w:p>
            <w:pPr>
              <w:pStyle w:val="TableParagraph"/>
              <w:spacing w:before="118"/>
              <w:ind w:left="132" w:right="124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09" w:type="dxa"/>
          </w:tcPr>
          <w:p>
            <w:pPr>
              <w:pStyle w:val="TableParagraph"/>
              <w:spacing w:before="118"/>
              <w:ind w:left="135" w:right="123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26" w:type="dxa"/>
          </w:tcPr>
          <w:p>
            <w:pPr>
              <w:pStyle w:val="TableParagraph"/>
              <w:spacing w:before="118"/>
              <w:ind w:left="457" w:right="447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24" w:type="dxa"/>
          </w:tcPr>
          <w:p>
            <w:pPr>
              <w:pStyle w:val="TableParagraph"/>
              <w:spacing w:before="118"/>
              <w:ind w:left="457" w:right="444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690" w:type="dxa"/>
          </w:tcPr>
          <w:p>
            <w:pPr>
              <w:pStyle w:val="TableParagraph"/>
              <w:spacing w:before="118"/>
              <w:ind w:left="0" w:right="352"/>
              <w:jc w:val="right"/>
              <w:rPr>
                <w:sz w:val="16"/>
              </w:rPr>
            </w:pPr>
            <w:r>
              <w:rPr>
                <w:color w:val="323232"/>
                <w:sz w:val="16"/>
              </w:rPr>
              <w:t>1.367.637,31</w:t>
            </w:r>
          </w:p>
        </w:tc>
      </w:tr>
      <w:tr>
        <w:trPr>
          <w:trHeight w:val="676" w:hRule="atLeast"/>
        </w:trPr>
        <w:tc>
          <w:tcPr>
            <w:tcW w:w="14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2" w:type="dxa"/>
          </w:tcPr>
          <w:p>
            <w:pPr>
              <w:pStyle w:val="TableParagraph"/>
              <w:spacing w:before="118"/>
              <w:ind w:left="274" w:right="258"/>
              <w:rPr>
                <w:sz w:val="16"/>
              </w:rPr>
            </w:pPr>
            <w:r>
              <w:rPr>
                <w:color w:val="323232"/>
                <w:sz w:val="16"/>
              </w:rPr>
              <w:t>Capital</w:t>
            </w:r>
          </w:p>
        </w:tc>
        <w:tc>
          <w:tcPr>
            <w:tcW w:w="1150" w:type="dxa"/>
          </w:tcPr>
          <w:p>
            <w:pPr>
              <w:pStyle w:val="TableParagraph"/>
              <w:spacing w:before="118"/>
              <w:ind w:left="422" w:right="40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436" w:type="dxa"/>
          </w:tcPr>
          <w:p>
            <w:pPr>
              <w:pStyle w:val="TableParagraph"/>
              <w:spacing w:before="118"/>
              <w:ind w:left="0" w:right="338"/>
              <w:jc w:val="right"/>
              <w:rPr>
                <w:sz w:val="16"/>
              </w:rPr>
            </w:pPr>
            <w:r>
              <w:rPr>
                <w:color w:val="323232"/>
                <w:sz w:val="16"/>
              </w:rPr>
              <w:t>10.000,00</w:t>
            </w:r>
          </w:p>
        </w:tc>
        <w:tc>
          <w:tcPr>
            <w:tcW w:w="1606" w:type="dxa"/>
          </w:tcPr>
          <w:p>
            <w:pPr>
              <w:pStyle w:val="TableParagraph"/>
              <w:spacing w:before="118"/>
              <w:ind w:left="154" w:right="14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608" w:type="dxa"/>
          </w:tcPr>
          <w:p>
            <w:pPr>
              <w:pStyle w:val="TableParagraph"/>
              <w:spacing w:before="118"/>
              <w:ind w:left="156" w:right="14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562" w:type="dxa"/>
          </w:tcPr>
          <w:p>
            <w:pPr>
              <w:pStyle w:val="TableParagraph"/>
              <w:spacing w:before="118"/>
              <w:ind w:left="132" w:right="124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09" w:type="dxa"/>
          </w:tcPr>
          <w:p>
            <w:pPr>
              <w:pStyle w:val="TableParagraph"/>
              <w:spacing w:before="118"/>
              <w:ind w:left="135" w:right="123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26" w:type="dxa"/>
          </w:tcPr>
          <w:p>
            <w:pPr>
              <w:pStyle w:val="TableParagraph"/>
              <w:spacing w:before="118"/>
              <w:ind w:left="457" w:right="447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24" w:type="dxa"/>
          </w:tcPr>
          <w:p>
            <w:pPr>
              <w:pStyle w:val="TableParagraph"/>
              <w:spacing w:before="118"/>
              <w:ind w:left="457" w:right="444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690" w:type="dxa"/>
          </w:tcPr>
          <w:p>
            <w:pPr>
              <w:pStyle w:val="TableParagraph"/>
              <w:spacing w:before="118"/>
              <w:ind w:left="0" w:right="465"/>
              <w:jc w:val="right"/>
              <w:rPr>
                <w:sz w:val="16"/>
              </w:rPr>
            </w:pPr>
            <w:r>
              <w:rPr>
                <w:color w:val="323232"/>
                <w:sz w:val="16"/>
              </w:rPr>
              <w:t>10.000,00</w:t>
            </w:r>
          </w:p>
        </w:tc>
      </w:tr>
      <w:tr>
        <w:trPr>
          <w:trHeight w:val="673" w:hRule="atLeast"/>
        </w:trPr>
        <w:tc>
          <w:tcPr>
            <w:tcW w:w="1483" w:type="dxa"/>
            <w:vMerge w:val="restart"/>
          </w:tcPr>
          <w:p>
            <w:pPr>
              <w:pStyle w:val="TableParagraph"/>
              <w:spacing w:before="116"/>
              <w:ind w:left="230" w:right="215"/>
              <w:rPr>
                <w:sz w:val="16"/>
              </w:rPr>
            </w:pPr>
            <w:r>
              <w:rPr>
                <w:color w:val="323232"/>
                <w:sz w:val="16"/>
              </w:rPr>
              <w:t>306</w:t>
            </w:r>
            <w:r>
              <w:rPr>
                <w:color w:val="323232"/>
                <w:spacing w:val="-1"/>
                <w:sz w:val="16"/>
              </w:rPr>
              <w:t> </w:t>
            </w:r>
            <w:r>
              <w:rPr>
                <w:color w:val="323232"/>
                <w:sz w:val="16"/>
              </w:rPr>
              <w:t>-</w:t>
            </w:r>
          </w:p>
          <w:p>
            <w:pPr>
              <w:pStyle w:val="TableParagraph"/>
              <w:spacing w:before="1"/>
              <w:ind w:left="237" w:right="215"/>
              <w:rPr>
                <w:sz w:val="16"/>
              </w:rPr>
            </w:pPr>
            <w:r>
              <w:rPr>
                <w:color w:val="323232"/>
                <w:spacing w:val="-1"/>
                <w:sz w:val="16"/>
              </w:rPr>
              <w:t>Alimentação </w:t>
            </w:r>
            <w:r>
              <w:rPr>
                <w:color w:val="323232"/>
                <w:sz w:val="16"/>
              </w:rPr>
              <w:t>e</w:t>
            </w:r>
            <w:r>
              <w:rPr>
                <w:color w:val="323232"/>
                <w:spacing w:val="-42"/>
                <w:sz w:val="16"/>
              </w:rPr>
              <w:t> </w:t>
            </w:r>
            <w:r>
              <w:rPr>
                <w:color w:val="323232"/>
                <w:sz w:val="16"/>
              </w:rPr>
              <w:t>Nutrição</w:t>
            </w:r>
          </w:p>
        </w:tc>
        <w:tc>
          <w:tcPr>
            <w:tcW w:w="1212" w:type="dxa"/>
          </w:tcPr>
          <w:p>
            <w:pPr>
              <w:pStyle w:val="TableParagraph"/>
              <w:spacing w:before="116"/>
              <w:ind w:left="275" w:right="258"/>
              <w:rPr>
                <w:sz w:val="16"/>
              </w:rPr>
            </w:pPr>
            <w:r>
              <w:rPr>
                <w:color w:val="323232"/>
                <w:sz w:val="16"/>
              </w:rPr>
              <w:t>Corrente</w:t>
            </w:r>
          </w:p>
        </w:tc>
        <w:tc>
          <w:tcPr>
            <w:tcW w:w="1150" w:type="dxa"/>
          </w:tcPr>
          <w:p>
            <w:pPr>
              <w:pStyle w:val="TableParagraph"/>
              <w:spacing w:before="116"/>
              <w:ind w:left="422" w:right="40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436" w:type="dxa"/>
          </w:tcPr>
          <w:p>
            <w:pPr>
              <w:pStyle w:val="TableParagraph"/>
              <w:spacing w:before="116"/>
              <w:ind w:left="178" w:right="16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606" w:type="dxa"/>
          </w:tcPr>
          <w:p>
            <w:pPr>
              <w:pStyle w:val="TableParagraph"/>
              <w:spacing w:before="116"/>
              <w:ind w:left="154" w:right="14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608" w:type="dxa"/>
          </w:tcPr>
          <w:p>
            <w:pPr>
              <w:pStyle w:val="TableParagraph"/>
              <w:spacing w:before="116"/>
              <w:ind w:left="156" w:right="14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562" w:type="dxa"/>
          </w:tcPr>
          <w:p>
            <w:pPr>
              <w:pStyle w:val="TableParagraph"/>
              <w:spacing w:before="116"/>
              <w:ind w:left="132" w:right="124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09" w:type="dxa"/>
          </w:tcPr>
          <w:p>
            <w:pPr>
              <w:pStyle w:val="TableParagraph"/>
              <w:spacing w:before="116"/>
              <w:ind w:left="135" w:right="123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26" w:type="dxa"/>
          </w:tcPr>
          <w:p>
            <w:pPr>
              <w:pStyle w:val="TableParagraph"/>
              <w:spacing w:before="116"/>
              <w:ind w:left="457" w:right="447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24" w:type="dxa"/>
          </w:tcPr>
          <w:p>
            <w:pPr>
              <w:pStyle w:val="TableParagraph"/>
              <w:spacing w:before="116"/>
              <w:ind w:left="457" w:right="444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690" w:type="dxa"/>
          </w:tcPr>
          <w:p>
            <w:pPr>
              <w:pStyle w:val="TableParagraph"/>
              <w:spacing w:before="116"/>
              <w:ind w:left="305" w:right="292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</w:tr>
      <w:tr>
        <w:trPr>
          <w:trHeight w:val="688" w:hRule="atLeast"/>
        </w:trPr>
        <w:tc>
          <w:tcPr>
            <w:tcW w:w="14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2" w:type="dxa"/>
          </w:tcPr>
          <w:p>
            <w:pPr>
              <w:pStyle w:val="TableParagraph"/>
              <w:spacing w:before="116"/>
              <w:ind w:left="274" w:right="258"/>
              <w:rPr>
                <w:sz w:val="16"/>
              </w:rPr>
            </w:pPr>
            <w:r>
              <w:rPr>
                <w:color w:val="323232"/>
                <w:sz w:val="16"/>
              </w:rPr>
              <w:t>Capital</w:t>
            </w:r>
          </w:p>
        </w:tc>
        <w:tc>
          <w:tcPr>
            <w:tcW w:w="1150" w:type="dxa"/>
          </w:tcPr>
          <w:p>
            <w:pPr>
              <w:pStyle w:val="TableParagraph"/>
              <w:spacing w:before="116"/>
              <w:ind w:left="422" w:right="40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436" w:type="dxa"/>
          </w:tcPr>
          <w:p>
            <w:pPr>
              <w:pStyle w:val="TableParagraph"/>
              <w:spacing w:before="116"/>
              <w:ind w:left="178" w:right="16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606" w:type="dxa"/>
          </w:tcPr>
          <w:p>
            <w:pPr>
              <w:pStyle w:val="TableParagraph"/>
              <w:spacing w:before="116"/>
              <w:ind w:left="154" w:right="14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608" w:type="dxa"/>
          </w:tcPr>
          <w:p>
            <w:pPr>
              <w:pStyle w:val="TableParagraph"/>
              <w:spacing w:before="116"/>
              <w:ind w:left="156" w:right="146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562" w:type="dxa"/>
          </w:tcPr>
          <w:p>
            <w:pPr>
              <w:pStyle w:val="TableParagraph"/>
              <w:spacing w:before="116"/>
              <w:ind w:left="132" w:right="124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09" w:type="dxa"/>
          </w:tcPr>
          <w:p>
            <w:pPr>
              <w:pStyle w:val="TableParagraph"/>
              <w:spacing w:before="116"/>
              <w:ind w:left="135" w:right="123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26" w:type="dxa"/>
          </w:tcPr>
          <w:p>
            <w:pPr>
              <w:pStyle w:val="TableParagraph"/>
              <w:spacing w:before="116"/>
              <w:ind w:left="457" w:right="447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224" w:type="dxa"/>
          </w:tcPr>
          <w:p>
            <w:pPr>
              <w:pStyle w:val="TableParagraph"/>
              <w:spacing w:before="116"/>
              <w:ind w:left="457" w:right="444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  <w:tc>
          <w:tcPr>
            <w:tcW w:w="1690" w:type="dxa"/>
          </w:tcPr>
          <w:p>
            <w:pPr>
              <w:pStyle w:val="TableParagraph"/>
              <w:spacing w:before="116"/>
              <w:ind w:left="305" w:right="292"/>
              <w:rPr>
                <w:sz w:val="16"/>
              </w:rPr>
            </w:pPr>
            <w:r>
              <w:rPr>
                <w:color w:val="323232"/>
                <w:sz w:val="16"/>
              </w:rPr>
              <w:t>N/A</w:t>
            </w:r>
          </w:p>
        </w:tc>
      </w:tr>
    </w:tbl>
    <w:sectPr>
      <w:pgSz w:w="16840" w:h="11900" w:orient="landscape"/>
      <w:pgMar w:top="1100" w:bottom="280" w:left="360" w:right="6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pt-PT" w:eastAsia="en-US" w:bidi="ar-SA"/>
    </w:rPr>
  </w:style>
  <w:style w:styleId="Title" w:type="paragraph">
    <w:name w:val="Title"/>
    <w:basedOn w:val="Normal"/>
    <w:uiPriority w:val="1"/>
    <w:qFormat/>
    <w:pPr>
      <w:ind w:left="4088" w:right="3828"/>
      <w:jc w:val="center"/>
    </w:pPr>
    <w:rPr>
      <w:rFonts w:ascii="Arial" w:hAnsi="Arial" w:eastAsia="Arial" w:cs="Arial"/>
      <w:b/>
      <w:bCs/>
      <w:sz w:val="44"/>
      <w:szCs w:val="4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17"/>
      <w:ind w:left="117"/>
      <w:jc w:val="center"/>
    </w:pPr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monica.galimberti</dc:creator>
  <dc:title>Programação Anual de Saúde 2024</dc:title>
  <dcterms:created xsi:type="dcterms:W3CDTF">2024-05-15T12:50:56Z</dcterms:created>
  <dcterms:modified xsi:type="dcterms:W3CDTF">2024-05-15T12:50:56Z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2024-03-18T00:00:00Z</vt:filetime>
  </property>
  <property fmtid="{D5CDD505-2E9C-101B-9397-08002B2CF9AE}" pid="3" name="Creator">
    <vt:lpwstr>PDFCreator Free 4.1.3</vt:lpwstr>
  </property>
  <property fmtid="{D5CDD505-2E9C-101B-9397-08002B2CF9AE}" pid="4" name="LastSaved">
    <vt:filetime>2024-05-15T00:00:00Z</vt:filetime>
  </property>
</Properties>
</file>