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3C0" w:rsidRPr="003602AF" w:rsidRDefault="003563C0" w:rsidP="000D4237">
      <w:pPr>
        <w:spacing w:line="259" w:lineRule="auto"/>
        <w:ind w:right="16"/>
        <w:jc w:val="center"/>
        <w:rPr>
          <w:rFonts w:ascii="Bookman Old Style" w:eastAsia="Bookman Old Style" w:hAnsi="Bookman Old Style" w:cs="Bookman Old Style"/>
          <w:b/>
          <w:color w:val="auto"/>
          <w:sz w:val="28"/>
        </w:rPr>
      </w:pPr>
    </w:p>
    <w:p w:rsidR="009E027A" w:rsidRPr="003602AF" w:rsidRDefault="009E027A" w:rsidP="001A1C96">
      <w:pPr>
        <w:pStyle w:val="Ttulo1"/>
        <w:ind w:hanging="1344"/>
        <w:jc w:val="center"/>
        <w:rPr>
          <w:rFonts w:eastAsiaTheme="minorHAnsi"/>
          <w:color w:val="auto"/>
          <w:sz w:val="48"/>
        </w:rPr>
      </w:pPr>
      <w:r w:rsidRPr="003602AF">
        <w:rPr>
          <w:rFonts w:eastAsiaTheme="minorHAnsi"/>
          <w:color w:val="auto"/>
        </w:rPr>
        <w:t>NOTIFICAÇÃO RECOMENDATÓRIA n.º 00</w:t>
      </w:r>
      <w:r w:rsidR="003602AF" w:rsidRPr="003602AF">
        <w:rPr>
          <w:rFonts w:eastAsiaTheme="minorHAnsi"/>
          <w:color w:val="auto"/>
        </w:rPr>
        <w:t>2</w:t>
      </w:r>
      <w:r w:rsidRPr="003602AF">
        <w:rPr>
          <w:rFonts w:eastAsiaTheme="minorHAnsi"/>
          <w:color w:val="auto"/>
        </w:rPr>
        <w:t>/202</w:t>
      </w:r>
      <w:r w:rsidR="001A1C96">
        <w:rPr>
          <w:rFonts w:eastAsiaTheme="minorHAnsi"/>
          <w:color w:val="auto"/>
        </w:rPr>
        <w:t>5</w:t>
      </w:r>
    </w:p>
    <w:p w:rsidR="003602AF" w:rsidRPr="003602AF" w:rsidRDefault="003602AF" w:rsidP="001A1C96">
      <w:pPr>
        <w:jc w:val="right"/>
        <w:rPr>
          <w:rFonts w:eastAsiaTheme="minorHAnsi"/>
        </w:rPr>
      </w:pPr>
    </w:p>
    <w:p w:rsidR="002E3214" w:rsidRPr="001A1C96" w:rsidRDefault="003602AF" w:rsidP="001A1C96">
      <w:pPr>
        <w:pStyle w:val="NormalWeb"/>
        <w:spacing w:line="360" w:lineRule="auto"/>
        <w:rPr>
          <w:rStyle w:val="Forte"/>
          <w:sz w:val="26"/>
          <w:szCs w:val="26"/>
        </w:rPr>
      </w:pPr>
      <w:r w:rsidRPr="001A1C96">
        <w:rPr>
          <w:rStyle w:val="Forte"/>
          <w:sz w:val="26"/>
          <w:szCs w:val="26"/>
        </w:rPr>
        <w:t>À Secretaria Municipal de Saúde</w:t>
      </w:r>
    </w:p>
    <w:p w:rsidR="002E3214" w:rsidRDefault="002E3214" w:rsidP="001A1C96">
      <w:pPr>
        <w:spacing w:after="64" w:line="360" w:lineRule="auto"/>
        <w:ind w:left="0" w:right="0" w:firstLine="0"/>
        <w:jc w:val="left"/>
        <w:rPr>
          <w:szCs w:val="26"/>
        </w:rPr>
      </w:pPr>
      <w:r w:rsidRPr="001A1C96">
        <w:rPr>
          <w:szCs w:val="26"/>
        </w:rPr>
        <w:t>Ao Senhor.</w:t>
      </w:r>
    </w:p>
    <w:p w:rsidR="001A1C96" w:rsidRPr="001A1C96" w:rsidRDefault="001A1C96" w:rsidP="001A1C96">
      <w:pPr>
        <w:spacing w:after="64" w:line="360" w:lineRule="auto"/>
        <w:ind w:left="0" w:right="0" w:firstLine="0"/>
        <w:jc w:val="left"/>
        <w:rPr>
          <w:szCs w:val="26"/>
        </w:rPr>
      </w:pPr>
      <w:r>
        <w:rPr>
          <w:szCs w:val="26"/>
        </w:rPr>
        <w:t>Michel Fernando Barth</w:t>
      </w:r>
    </w:p>
    <w:p w:rsidR="002E3214" w:rsidRPr="001A1C96" w:rsidRDefault="002E3214" w:rsidP="001A1C96">
      <w:pPr>
        <w:spacing w:after="64" w:line="360" w:lineRule="auto"/>
        <w:ind w:left="0" w:right="0" w:firstLine="0"/>
        <w:jc w:val="left"/>
        <w:rPr>
          <w:rStyle w:val="Forte"/>
          <w:color w:val="auto"/>
          <w:szCs w:val="26"/>
        </w:rPr>
      </w:pPr>
      <w:r w:rsidRPr="001A1C96">
        <w:rPr>
          <w:rStyle w:val="Forte"/>
          <w:color w:val="auto"/>
          <w:szCs w:val="26"/>
        </w:rPr>
        <w:t>Secretári</w:t>
      </w:r>
      <w:r w:rsidRPr="001A1C96">
        <w:rPr>
          <w:rStyle w:val="Forte"/>
          <w:szCs w:val="26"/>
        </w:rPr>
        <w:t>o</w:t>
      </w:r>
      <w:r w:rsidRPr="001A1C96">
        <w:rPr>
          <w:rStyle w:val="Forte"/>
          <w:color w:val="auto"/>
          <w:szCs w:val="26"/>
        </w:rPr>
        <w:t xml:space="preserve"> Municipal de Saúde</w:t>
      </w:r>
    </w:p>
    <w:p w:rsidR="002E3214" w:rsidRPr="002E3214" w:rsidRDefault="002E3214" w:rsidP="002E3214">
      <w:pPr>
        <w:spacing w:after="64" w:line="240" w:lineRule="auto"/>
        <w:ind w:left="0" w:right="0" w:firstLine="0"/>
        <w:jc w:val="left"/>
        <w:rPr>
          <w:rStyle w:val="Forte"/>
          <w:bCs w:val="0"/>
          <w:color w:val="333333"/>
          <w:sz w:val="24"/>
          <w:szCs w:val="24"/>
          <w:shd w:val="clear" w:color="auto" w:fill="FFFFFF"/>
        </w:rPr>
      </w:pPr>
    </w:p>
    <w:p w:rsidR="003602AF" w:rsidRPr="001A1C96" w:rsidRDefault="003602AF" w:rsidP="001A1C96">
      <w:pPr>
        <w:pStyle w:val="NormalWeb"/>
        <w:spacing w:line="360" w:lineRule="auto"/>
        <w:rPr>
          <w:b/>
          <w:sz w:val="26"/>
          <w:szCs w:val="26"/>
        </w:rPr>
      </w:pPr>
      <w:r w:rsidRPr="001A1C96">
        <w:rPr>
          <w:rStyle w:val="Forte"/>
          <w:sz w:val="26"/>
          <w:szCs w:val="26"/>
        </w:rPr>
        <w:t>Assunto:</w:t>
      </w:r>
      <w:r w:rsidRPr="001A1C96">
        <w:rPr>
          <w:sz w:val="26"/>
          <w:szCs w:val="26"/>
        </w:rPr>
        <w:t xml:space="preserve"> </w:t>
      </w:r>
      <w:r w:rsidR="00CD514D" w:rsidRPr="001A1C96">
        <w:rPr>
          <w:sz w:val="26"/>
          <w:szCs w:val="26"/>
        </w:rPr>
        <w:t xml:space="preserve">Reiteração do Ato Recomendatório 02/2024 - </w:t>
      </w:r>
      <w:r w:rsidRPr="001A1C96">
        <w:rPr>
          <w:b/>
          <w:sz w:val="26"/>
          <w:szCs w:val="26"/>
        </w:rPr>
        <w:t>Adoção de Providências Relativas aos Achados de Auditoria Sobre Resíduos de Serviços de Saúde</w:t>
      </w:r>
    </w:p>
    <w:p w:rsidR="001A1C96" w:rsidRDefault="001A1C96" w:rsidP="001A1C96">
      <w:pPr>
        <w:spacing w:before="100" w:beforeAutospacing="1" w:after="100" w:afterAutospacing="1"/>
        <w:rPr>
          <w:rStyle w:val="Forte"/>
        </w:rPr>
      </w:pPr>
    </w:p>
    <w:p w:rsidR="001A1C96" w:rsidRPr="001A1C96" w:rsidRDefault="001A1C96" w:rsidP="001A1C96">
      <w:pPr>
        <w:spacing w:before="100" w:beforeAutospacing="1" w:after="100" w:afterAutospacing="1"/>
        <w:rPr>
          <w:szCs w:val="26"/>
        </w:rPr>
      </w:pPr>
      <w:r w:rsidRPr="001A1C96">
        <w:rPr>
          <w:rStyle w:val="Forte"/>
          <w:szCs w:val="26"/>
        </w:rPr>
        <w:t>Considerando</w:t>
      </w:r>
      <w:r w:rsidRPr="001A1C96">
        <w:rPr>
          <w:szCs w:val="26"/>
        </w:rPr>
        <w:t xml:space="preserve"> os achados de auditoria apresentados pelo Tribunal de Contas do Estado do Espírito Santo (TCEES), conforme ofício de submissão nº 04940/2024-5, especialmente quanto:</w:t>
      </w:r>
    </w:p>
    <w:p w:rsidR="001A1C96" w:rsidRPr="001A1C96" w:rsidRDefault="001A1C96" w:rsidP="001A1C96">
      <w:pPr>
        <w:numPr>
          <w:ilvl w:val="0"/>
          <w:numId w:val="15"/>
        </w:numPr>
        <w:spacing w:before="100" w:beforeAutospacing="1" w:after="100" w:afterAutospacing="1" w:line="360" w:lineRule="auto"/>
        <w:ind w:right="0"/>
        <w:rPr>
          <w:szCs w:val="26"/>
        </w:rPr>
      </w:pPr>
      <w:r w:rsidRPr="001A1C96">
        <w:rPr>
          <w:szCs w:val="26"/>
        </w:rPr>
        <w:t>À disposição final dos Resíduos de Serviços de Saúde (RSS) em local ambientalmente inadequado (CETREU, sem licenciamento vigente);</w:t>
      </w:r>
    </w:p>
    <w:p w:rsidR="001A1C96" w:rsidRPr="001A1C96" w:rsidRDefault="001A1C96" w:rsidP="001A1C96">
      <w:pPr>
        <w:numPr>
          <w:ilvl w:val="0"/>
          <w:numId w:val="15"/>
        </w:numPr>
        <w:spacing w:before="100" w:beforeAutospacing="1" w:after="100" w:afterAutospacing="1" w:line="360" w:lineRule="auto"/>
        <w:ind w:right="0"/>
        <w:rPr>
          <w:szCs w:val="26"/>
        </w:rPr>
      </w:pPr>
      <w:r w:rsidRPr="001A1C96">
        <w:rPr>
          <w:szCs w:val="26"/>
        </w:rPr>
        <w:t>Ao manejo irregular de RSS no município de Ecoporanga/ES;</w:t>
      </w:r>
    </w:p>
    <w:p w:rsidR="001A1C96" w:rsidRPr="001A1C96" w:rsidRDefault="001A1C96" w:rsidP="001A1C96">
      <w:pPr>
        <w:spacing w:before="100" w:beforeAutospacing="1" w:after="100" w:afterAutospacing="1" w:line="360" w:lineRule="auto"/>
        <w:ind w:left="0" w:firstLine="0"/>
        <w:rPr>
          <w:szCs w:val="26"/>
        </w:rPr>
      </w:pPr>
      <w:r w:rsidRPr="001A1C96">
        <w:rPr>
          <w:rStyle w:val="Forte"/>
          <w:szCs w:val="26"/>
        </w:rPr>
        <w:t>Considerando</w:t>
      </w:r>
      <w:r w:rsidRPr="001A1C96">
        <w:rPr>
          <w:szCs w:val="26"/>
        </w:rPr>
        <w:t xml:space="preserve"> a expedição da </w:t>
      </w:r>
      <w:r w:rsidRPr="001A1C96">
        <w:rPr>
          <w:rStyle w:val="Forte"/>
          <w:szCs w:val="26"/>
        </w:rPr>
        <w:t>Decisão Plenária TC-1128/2025</w:t>
      </w:r>
      <w:r w:rsidRPr="001A1C96">
        <w:rPr>
          <w:szCs w:val="26"/>
        </w:rPr>
        <w:t>,</w:t>
      </w:r>
      <w:r w:rsidR="005F516F">
        <w:rPr>
          <w:szCs w:val="26"/>
        </w:rPr>
        <w:t xml:space="preserve"> anexo,</w:t>
      </w:r>
      <w:r w:rsidRPr="001A1C96">
        <w:rPr>
          <w:szCs w:val="26"/>
        </w:rPr>
        <w:t xml:space="preserve"> que reafirma a necessidade de adoção de providências por parte dos entes municipais quanto à adequação da gestão dos serviços de manejo de resíduos sólidos, inclusive quanto à definição da entidade reguladora e à conformidade com o marco legal do saneamento (Lei nº 11.445/2007 e alterações),</w:t>
      </w:r>
    </w:p>
    <w:p w:rsidR="001A1C96" w:rsidRPr="001A1C96" w:rsidRDefault="001A1C96" w:rsidP="001A1C96">
      <w:pPr>
        <w:spacing w:before="100" w:beforeAutospacing="1" w:after="100" w:afterAutospacing="1" w:line="360" w:lineRule="auto"/>
        <w:rPr>
          <w:szCs w:val="26"/>
        </w:rPr>
      </w:pPr>
      <w:r w:rsidRPr="001A1C96">
        <w:rPr>
          <w:rStyle w:val="Forte"/>
          <w:szCs w:val="26"/>
        </w:rPr>
        <w:t>Considerando</w:t>
      </w:r>
      <w:r w:rsidRPr="001A1C96">
        <w:rPr>
          <w:szCs w:val="26"/>
        </w:rPr>
        <w:t xml:space="preserve"> ainda o </w:t>
      </w:r>
      <w:r w:rsidRPr="001A1C96">
        <w:rPr>
          <w:rStyle w:val="Forte"/>
          <w:szCs w:val="26"/>
        </w:rPr>
        <w:t>ato recomendatório anterior</w:t>
      </w:r>
      <w:r w:rsidRPr="001A1C96">
        <w:rPr>
          <w:szCs w:val="26"/>
        </w:rPr>
        <w:t xml:space="preserve"> emitido por esta Controladoria Municipal e registrado sob o protocolo nº 8980, em 25 de novembro de 2024, o qual já orientava a Secretaria de Saúde quanto à necessidade de </w:t>
      </w:r>
      <w:r w:rsidRPr="001A1C96">
        <w:rPr>
          <w:szCs w:val="26"/>
        </w:rPr>
        <w:lastRenderedPageBreak/>
        <w:t>regularização da disposição final dos RSS e do cumprimento das normas sanitárias e ambientais vigentes,</w:t>
      </w:r>
    </w:p>
    <w:p w:rsidR="001A1C96" w:rsidRDefault="001A1C96" w:rsidP="001A1C96">
      <w:pPr>
        <w:spacing w:before="100" w:beforeAutospacing="1" w:after="100" w:afterAutospacing="1" w:line="360" w:lineRule="auto"/>
      </w:pPr>
      <w:r w:rsidRPr="001A1C96">
        <w:rPr>
          <w:rStyle w:val="Forte"/>
          <w:szCs w:val="26"/>
        </w:rPr>
        <w:t>REITERA-SE</w:t>
      </w:r>
      <w:r w:rsidRPr="001A1C96">
        <w:rPr>
          <w:szCs w:val="26"/>
        </w:rPr>
        <w:t xml:space="preserve"> o conteúdo integral do referido ato recomendatório e </w:t>
      </w:r>
      <w:r w:rsidR="005F516F">
        <w:rPr>
          <w:rStyle w:val="Forte"/>
          <w:szCs w:val="26"/>
        </w:rPr>
        <w:t>ORIENTA</w:t>
      </w:r>
      <w:r w:rsidR="005F516F">
        <w:rPr>
          <w:szCs w:val="26"/>
        </w:rPr>
        <w:t xml:space="preserve"> </w:t>
      </w:r>
      <w:r w:rsidR="005F516F">
        <w:t>a</w:t>
      </w:r>
      <w:r>
        <w:t xml:space="preserve"> Secretaria Municipal de Saúde:</w:t>
      </w:r>
    </w:p>
    <w:p w:rsidR="005F516F" w:rsidRPr="005F516F" w:rsidRDefault="005F516F" w:rsidP="005F516F">
      <w:pPr>
        <w:spacing w:before="100" w:beforeAutospacing="1" w:after="100" w:afterAutospacing="1" w:line="360" w:lineRule="auto"/>
        <w:ind w:left="0" w:right="0" w:firstLine="0"/>
        <w:rPr>
          <w:color w:val="auto"/>
          <w:szCs w:val="26"/>
        </w:rPr>
      </w:pPr>
      <w:r w:rsidRPr="005F516F">
        <w:rPr>
          <w:b/>
          <w:bCs/>
          <w:color w:val="auto"/>
          <w:szCs w:val="26"/>
        </w:rPr>
        <w:t>N</w:t>
      </w:r>
      <w:r w:rsidRPr="005F516F">
        <w:rPr>
          <w:b/>
          <w:bCs/>
          <w:color w:val="auto"/>
          <w:szCs w:val="26"/>
        </w:rPr>
        <w:t>otificar formalmente o Consórcio CONDOESTE</w:t>
      </w:r>
      <w:r w:rsidRPr="005F516F">
        <w:rPr>
          <w:color w:val="auto"/>
          <w:szCs w:val="26"/>
        </w:rPr>
        <w:t xml:space="preserve"> sobre as irregularidades identificadas pelo TCEES, relacionadas à destinação final dos RSS, considerando que:</w:t>
      </w:r>
    </w:p>
    <w:p w:rsidR="005F516F" w:rsidRPr="005F516F" w:rsidRDefault="005F516F" w:rsidP="005F516F">
      <w:pPr>
        <w:numPr>
          <w:ilvl w:val="0"/>
          <w:numId w:val="20"/>
        </w:numPr>
        <w:spacing w:before="100" w:beforeAutospacing="1" w:after="100" w:afterAutospacing="1" w:line="360" w:lineRule="auto"/>
        <w:ind w:right="0"/>
        <w:rPr>
          <w:color w:val="auto"/>
          <w:szCs w:val="26"/>
        </w:rPr>
      </w:pPr>
      <w:r w:rsidRPr="005F516F">
        <w:rPr>
          <w:color w:val="auto"/>
          <w:szCs w:val="26"/>
        </w:rPr>
        <w:t xml:space="preserve">Os resíduos </w:t>
      </w:r>
      <w:r w:rsidRPr="005F516F">
        <w:rPr>
          <w:color w:val="auto"/>
          <w:szCs w:val="26"/>
        </w:rPr>
        <w:t>desinfetados</w:t>
      </w:r>
      <w:r w:rsidRPr="005F516F">
        <w:rPr>
          <w:color w:val="auto"/>
          <w:szCs w:val="26"/>
        </w:rPr>
        <w:t xml:space="preserve"> pelo CONDOESTE são encaminhados ao Centro de Tratamento de Resíduos Sólidos Urbanos de Colatina (CETREU), que não possui licenciamento ambiental vigente emitido pelo Instituto Estadual de Meio Ambiente e Recursos Hídricos (IEMA).</w:t>
      </w:r>
    </w:p>
    <w:p w:rsidR="005F516F" w:rsidRPr="005F516F" w:rsidRDefault="005F516F" w:rsidP="005F516F">
      <w:pPr>
        <w:numPr>
          <w:ilvl w:val="0"/>
          <w:numId w:val="20"/>
        </w:numPr>
        <w:spacing w:before="100" w:beforeAutospacing="1" w:after="100" w:afterAutospacing="1" w:line="360" w:lineRule="auto"/>
        <w:ind w:right="0"/>
        <w:rPr>
          <w:rStyle w:val="Forte"/>
          <w:b w:val="0"/>
          <w:bCs w:val="0"/>
          <w:color w:val="auto"/>
          <w:szCs w:val="26"/>
        </w:rPr>
      </w:pPr>
      <w:r w:rsidRPr="005F516F">
        <w:rPr>
          <w:color w:val="auto"/>
          <w:szCs w:val="26"/>
        </w:rPr>
        <w:t>Essa situação caracteriza o local como ambientalmente inadequado, em desacordo com o art. 54 da Lei 12.305/2010, implicando riscos de corresponsabilidade ao município por eventuais danos ambientais.</w:t>
      </w:r>
    </w:p>
    <w:p w:rsidR="001A1C96" w:rsidRDefault="001A1C96" w:rsidP="001A1C96">
      <w:pPr>
        <w:spacing w:before="100" w:beforeAutospacing="1" w:after="100" w:afterAutospacing="1" w:line="360" w:lineRule="auto"/>
        <w:ind w:left="0" w:firstLine="0"/>
      </w:pPr>
      <w:r>
        <w:t>O fiscal do contrato deverá:</w:t>
      </w:r>
    </w:p>
    <w:p w:rsidR="001A1C96" w:rsidRDefault="001A1C96" w:rsidP="001A1C96">
      <w:pPr>
        <w:numPr>
          <w:ilvl w:val="0"/>
          <w:numId w:val="17"/>
        </w:numPr>
        <w:spacing w:before="100" w:beforeAutospacing="1" w:after="100" w:afterAutospacing="1" w:line="360" w:lineRule="auto"/>
        <w:ind w:right="0"/>
      </w:pPr>
      <w:r>
        <w:t xml:space="preserve">Solicitar e manter atualizadas </w:t>
      </w:r>
      <w:r>
        <w:rPr>
          <w:rStyle w:val="Forte"/>
        </w:rPr>
        <w:t>todas as licenças ambientais e operacionais exigidas contratualmente</w:t>
      </w:r>
      <w:r>
        <w:t xml:space="preserve">, inclusive os respectivos prazos de vigência, como </w:t>
      </w:r>
      <w:r>
        <w:rPr>
          <w:rStyle w:val="Forte"/>
        </w:rPr>
        <w:t>condição para ateste de pagamentos</w:t>
      </w:r>
      <w:r>
        <w:t>.</w:t>
      </w:r>
    </w:p>
    <w:p w:rsidR="001A1C96" w:rsidRDefault="001A1C96" w:rsidP="001A1C96">
      <w:pPr>
        <w:spacing w:before="100" w:beforeAutospacing="1" w:after="100" w:afterAutospacing="1"/>
      </w:pPr>
      <w:r>
        <w:t>A Secretaria deverá providenciar, no prazo de até 30 dias:</w:t>
      </w:r>
    </w:p>
    <w:p w:rsidR="001A1C96" w:rsidRDefault="001A1C96" w:rsidP="001A1C96">
      <w:pPr>
        <w:numPr>
          <w:ilvl w:val="0"/>
          <w:numId w:val="18"/>
        </w:numPr>
        <w:spacing w:before="100" w:beforeAutospacing="1" w:after="100" w:afterAutospacing="1" w:line="360" w:lineRule="auto"/>
        <w:ind w:right="0"/>
      </w:pPr>
      <w:r>
        <w:rPr>
          <w:rStyle w:val="Forte"/>
        </w:rPr>
        <w:t>Local adequado para o armazenamento temporário dos RSS</w:t>
      </w:r>
      <w:r>
        <w:t>, conforme exigências da RDC ANVISA nº 222/2018, incluindo estrutura física com piso e paredes laváveis, ponto de água, iluminação e ventilação adequada, acesso restrito e sinalização apropriada.</w:t>
      </w:r>
      <w:r w:rsidR="00073DB0">
        <w:t xml:space="preserve"> </w:t>
      </w:r>
      <w:r w:rsidR="00073DB0">
        <w:t>controle de acesso e medidas que previnam a exposição a vetores e agentes contaminantes.</w:t>
      </w:r>
    </w:p>
    <w:p w:rsidR="001A1C96" w:rsidRDefault="001A1C96" w:rsidP="001A1C96">
      <w:pPr>
        <w:numPr>
          <w:ilvl w:val="0"/>
          <w:numId w:val="18"/>
        </w:numPr>
        <w:spacing w:before="100" w:beforeAutospacing="1" w:after="100" w:afterAutospacing="1" w:line="360" w:lineRule="auto"/>
        <w:ind w:right="0"/>
      </w:pPr>
      <w:r>
        <w:rPr>
          <w:rStyle w:val="Forte"/>
        </w:rPr>
        <w:t>Substituição ou adequação dos equipamentos de coleta e transporte de RSS</w:t>
      </w:r>
      <w:r>
        <w:t>, que devem atender às normas técnicas</w:t>
      </w:r>
      <w:r w:rsidR="00073DB0">
        <w:t xml:space="preserve"> </w:t>
      </w:r>
      <w:r>
        <w:t>e conter identificação de material infectante.</w:t>
      </w:r>
    </w:p>
    <w:p w:rsidR="001A1C96" w:rsidRDefault="001A1C96" w:rsidP="001A1C96">
      <w:pPr>
        <w:numPr>
          <w:ilvl w:val="0"/>
          <w:numId w:val="18"/>
        </w:numPr>
        <w:spacing w:before="100" w:beforeAutospacing="1" w:after="100" w:afterAutospacing="1" w:line="360" w:lineRule="auto"/>
        <w:ind w:right="0"/>
      </w:pPr>
      <w:r>
        <w:rPr>
          <w:rStyle w:val="Forte"/>
        </w:rPr>
        <w:lastRenderedPageBreak/>
        <w:t>Fornecimento e uso obrigatório de EPIs</w:t>
      </w:r>
      <w:r>
        <w:t xml:space="preserve"> para os servidores responsáveis pelo manuseio de RSS, com orientações e fiscalização sistemática quanto ao uso correto.</w:t>
      </w:r>
    </w:p>
    <w:p w:rsidR="001A1C96" w:rsidRDefault="001A1C96" w:rsidP="001A1C96">
      <w:pPr>
        <w:spacing w:before="100" w:beforeAutospacing="1" w:after="100" w:afterAutospacing="1"/>
      </w:pPr>
      <w:r>
        <w:t xml:space="preserve">Deverá ser encaminhado relatório circunstanciado à Controladoria Municipal no prazo de </w:t>
      </w:r>
      <w:r>
        <w:rPr>
          <w:rStyle w:val="Forte"/>
        </w:rPr>
        <w:t>30 (trinta) dias</w:t>
      </w:r>
      <w:r>
        <w:t>, contendo:</w:t>
      </w:r>
    </w:p>
    <w:p w:rsidR="001A1C96" w:rsidRDefault="001A1C96" w:rsidP="001A1C96">
      <w:pPr>
        <w:numPr>
          <w:ilvl w:val="0"/>
          <w:numId w:val="19"/>
        </w:numPr>
        <w:spacing w:before="100" w:beforeAutospacing="1" w:after="100" w:afterAutospacing="1" w:line="360" w:lineRule="auto"/>
        <w:ind w:right="0"/>
      </w:pPr>
      <w:r>
        <w:t>Cópia da notificação ao CONDOESTE;</w:t>
      </w:r>
    </w:p>
    <w:p w:rsidR="001A1C96" w:rsidRDefault="001A1C96" w:rsidP="001A1C96">
      <w:pPr>
        <w:numPr>
          <w:ilvl w:val="0"/>
          <w:numId w:val="19"/>
        </w:numPr>
        <w:spacing w:before="100" w:beforeAutospacing="1" w:after="100" w:afterAutospacing="1" w:line="360" w:lineRule="auto"/>
        <w:ind w:right="0"/>
      </w:pPr>
      <w:r>
        <w:t>Cópia das licenças apresentadas e vigentes (ou justificativas para sua ausência);</w:t>
      </w:r>
    </w:p>
    <w:p w:rsidR="001A1C96" w:rsidRDefault="001A1C96" w:rsidP="001A1C96">
      <w:pPr>
        <w:numPr>
          <w:ilvl w:val="0"/>
          <w:numId w:val="19"/>
        </w:numPr>
        <w:spacing w:before="100" w:beforeAutospacing="1" w:after="100" w:afterAutospacing="1" w:line="360" w:lineRule="auto"/>
        <w:ind w:right="0"/>
      </w:pPr>
      <w:r>
        <w:t>Registro fotográfico e descrição das melhorias promovidas no armazenamento e transporte de RSS;</w:t>
      </w:r>
    </w:p>
    <w:p w:rsidR="001A1C96" w:rsidRDefault="001A1C96" w:rsidP="001A1C96">
      <w:pPr>
        <w:numPr>
          <w:ilvl w:val="0"/>
          <w:numId w:val="19"/>
        </w:numPr>
        <w:spacing w:before="100" w:beforeAutospacing="1" w:after="100" w:afterAutospacing="1" w:line="360" w:lineRule="auto"/>
        <w:ind w:right="0"/>
      </w:pPr>
      <w:r>
        <w:t>Documentação relativa à distribuição e controle de uso dos EPIs.</w:t>
      </w:r>
    </w:p>
    <w:p w:rsidR="00073DB0" w:rsidRDefault="001A1C96" w:rsidP="00073DB0">
      <w:pPr>
        <w:spacing w:before="100" w:beforeAutospacing="1" w:after="100" w:afterAutospacing="1" w:line="360" w:lineRule="auto"/>
        <w:ind w:left="0" w:right="0" w:firstLine="0"/>
        <w:rPr>
          <w:color w:val="auto"/>
          <w:szCs w:val="26"/>
        </w:rPr>
      </w:pPr>
      <w:r>
        <w:t>O descumprimento das obrigações aqui reiteradas poderá ensejar responsabilização administrativa e demais medidas legais cabíveis, inclusive junto aos órgãos de controle externo.</w:t>
      </w:r>
      <w:r w:rsidR="00073DB0">
        <w:t xml:space="preserve">  </w:t>
      </w:r>
      <w:r w:rsidR="00073DB0">
        <w:rPr>
          <w:color w:val="auto"/>
          <w:szCs w:val="26"/>
        </w:rPr>
        <w:t>Coloco-me à disposição para auxiliar no encaminhamento das medidas cabíveis e reforço a importância da ação imediata para evitar consequências legais à administração municipal.</w:t>
      </w:r>
    </w:p>
    <w:p w:rsidR="001A1C96" w:rsidRDefault="001A1C96" w:rsidP="001A1C96">
      <w:pPr>
        <w:spacing w:before="100" w:beforeAutospacing="1" w:after="100" w:afterAutospacing="1"/>
      </w:pPr>
    </w:p>
    <w:p w:rsidR="009E027A" w:rsidRPr="00073DB0" w:rsidRDefault="009E027A" w:rsidP="00073DB0">
      <w:pPr>
        <w:spacing w:after="23" w:line="254" w:lineRule="auto"/>
        <w:ind w:left="0" w:right="0" w:firstLine="0"/>
        <w:jc w:val="left"/>
        <w:rPr>
          <w:color w:val="auto"/>
        </w:rPr>
      </w:pPr>
    </w:p>
    <w:p w:rsidR="004A79C0" w:rsidRPr="00696652" w:rsidRDefault="004A79C0" w:rsidP="00696652">
      <w:pPr>
        <w:ind w:left="-5" w:right="52"/>
        <w:jc w:val="left"/>
        <w:rPr>
          <w:color w:val="auto"/>
          <w:sz w:val="24"/>
          <w:szCs w:val="24"/>
        </w:rPr>
      </w:pPr>
    </w:p>
    <w:p w:rsidR="009E027A" w:rsidRPr="003602AF" w:rsidRDefault="009E027A" w:rsidP="009E027A">
      <w:pPr>
        <w:ind w:left="-5" w:right="52"/>
        <w:jc w:val="center"/>
        <w:rPr>
          <w:color w:val="auto"/>
        </w:rPr>
      </w:pPr>
    </w:p>
    <w:p w:rsidR="009E027A" w:rsidRPr="003602AF" w:rsidRDefault="009E027A" w:rsidP="009E027A">
      <w:pPr>
        <w:spacing w:line="360" w:lineRule="auto"/>
        <w:jc w:val="right"/>
        <w:rPr>
          <w:color w:val="auto"/>
          <w:sz w:val="24"/>
          <w:szCs w:val="24"/>
        </w:rPr>
      </w:pPr>
      <w:r w:rsidRPr="003602AF">
        <w:rPr>
          <w:color w:val="auto"/>
          <w:sz w:val="24"/>
          <w:szCs w:val="24"/>
        </w:rPr>
        <w:t xml:space="preserve">Ecoporanga–ES, </w:t>
      </w:r>
      <w:r w:rsidR="003602AF">
        <w:rPr>
          <w:color w:val="auto"/>
          <w:sz w:val="24"/>
          <w:szCs w:val="24"/>
        </w:rPr>
        <w:t>25</w:t>
      </w:r>
      <w:r w:rsidRPr="003602AF">
        <w:rPr>
          <w:color w:val="auto"/>
          <w:sz w:val="24"/>
          <w:szCs w:val="24"/>
        </w:rPr>
        <w:t xml:space="preserve"> de novembro de 2024.</w:t>
      </w:r>
    </w:p>
    <w:p w:rsidR="009E027A" w:rsidRPr="003602AF" w:rsidRDefault="009E027A" w:rsidP="009E027A">
      <w:pPr>
        <w:spacing w:line="360" w:lineRule="auto"/>
        <w:rPr>
          <w:color w:val="auto"/>
          <w:sz w:val="24"/>
          <w:szCs w:val="24"/>
        </w:rPr>
      </w:pPr>
    </w:p>
    <w:p w:rsidR="009E027A" w:rsidRPr="003602AF" w:rsidRDefault="009E027A" w:rsidP="009E027A">
      <w:pPr>
        <w:spacing w:line="360" w:lineRule="auto"/>
        <w:rPr>
          <w:color w:val="auto"/>
          <w:sz w:val="24"/>
          <w:szCs w:val="24"/>
        </w:rPr>
      </w:pPr>
    </w:p>
    <w:p w:rsidR="009E027A" w:rsidRPr="003602AF" w:rsidRDefault="009E027A" w:rsidP="009E027A">
      <w:pPr>
        <w:spacing w:line="360" w:lineRule="auto"/>
        <w:rPr>
          <w:color w:val="auto"/>
          <w:sz w:val="24"/>
          <w:szCs w:val="24"/>
        </w:rPr>
      </w:pPr>
    </w:p>
    <w:p w:rsidR="009E027A" w:rsidRPr="003602AF" w:rsidRDefault="009E027A" w:rsidP="009E027A">
      <w:pPr>
        <w:spacing w:line="240" w:lineRule="auto"/>
        <w:jc w:val="center"/>
        <w:rPr>
          <w:b/>
          <w:color w:val="auto"/>
          <w:sz w:val="24"/>
          <w:szCs w:val="24"/>
        </w:rPr>
      </w:pPr>
      <w:r w:rsidRPr="003602AF">
        <w:rPr>
          <w:b/>
          <w:color w:val="auto"/>
          <w:sz w:val="24"/>
          <w:szCs w:val="24"/>
        </w:rPr>
        <w:t>REJANE C. R. PINHEIRO ALMEIDA</w:t>
      </w:r>
    </w:p>
    <w:p w:rsidR="00553C11" w:rsidRPr="003602AF" w:rsidRDefault="009E027A" w:rsidP="009E027A">
      <w:pPr>
        <w:spacing w:line="240" w:lineRule="auto"/>
        <w:jc w:val="center"/>
        <w:rPr>
          <w:b/>
          <w:color w:val="auto"/>
          <w:sz w:val="24"/>
          <w:szCs w:val="24"/>
        </w:rPr>
      </w:pPr>
      <w:r w:rsidRPr="003602AF">
        <w:rPr>
          <w:b/>
          <w:color w:val="auto"/>
          <w:sz w:val="24"/>
          <w:szCs w:val="24"/>
        </w:rPr>
        <w:t>Controladora Geral do Município</w:t>
      </w:r>
      <w:r w:rsidRPr="003602AF">
        <w:rPr>
          <w:rStyle w:val="Refdenotaderodap"/>
          <w:b/>
          <w:color w:val="auto"/>
          <w:sz w:val="24"/>
          <w:szCs w:val="24"/>
        </w:rPr>
        <w:footnoteReference w:id="1"/>
      </w:r>
    </w:p>
    <w:p w:rsidR="00553C11" w:rsidRPr="003602AF" w:rsidRDefault="00553C11" w:rsidP="00553C11">
      <w:pPr>
        <w:rPr>
          <w:color w:val="auto"/>
        </w:rPr>
      </w:pPr>
    </w:p>
    <w:p w:rsidR="00553C11" w:rsidRPr="003602AF" w:rsidRDefault="00553C11" w:rsidP="00553C11">
      <w:pPr>
        <w:ind w:left="-5" w:right="52"/>
        <w:jc w:val="center"/>
        <w:rPr>
          <w:color w:val="auto"/>
        </w:rPr>
      </w:pPr>
    </w:p>
    <w:p w:rsidR="000D4237" w:rsidRPr="003602AF" w:rsidRDefault="000D4237" w:rsidP="000D4237">
      <w:pPr>
        <w:spacing w:after="63" w:line="259" w:lineRule="auto"/>
        <w:ind w:left="0" w:right="0" w:firstLine="0"/>
        <w:jc w:val="left"/>
        <w:rPr>
          <w:color w:val="auto"/>
        </w:rPr>
      </w:pPr>
    </w:p>
    <w:sectPr w:rsidR="000D4237" w:rsidRPr="003602AF" w:rsidSect="00D64D62">
      <w:headerReference w:type="default" r:id="rId8"/>
      <w:footerReference w:type="default" r:id="rId9"/>
      <w:pgSz w:w="11906" w:h="16838"/>
      <w:pgMar w:top="426" w:right="1134" w:bottom="1134" w:left="1701" w:header="153" w:footer="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207" w:rsidRDefault="00427207" w:rsidP="00427207">
      <w:pPr>
        <w:spacing w:line="240" w:lineRule="auto"/>
      </w:pPr>
      <w:r>
        <w:separator/>
      </w:r>
    </w:p>
  </w:endnote>
  <w:endnote w:type="continuationSeparator" w:id="0">
    <w:p w:rsidR="00427207" w:rsidRDefault="00427207" w:rsidP="004272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38"/>
      <w:gridCol w:w="1633"/>
    </w:tblGrid>
    <w:tr w:rsidR="009173AE" w:rsidRPr="009173AE" w:rsidTr="009173AE">
      <w:tc>
        <w:tcPr>
          <w:tcW w:w="4100" w:type="pct"/>
          <w:shd w:val="clear" w:color="auto" w:fill="auto"/>
        </w:tcPr>
        <w:p w:rsidR="009173AE" w:rsidRPr="009173AE" w:rsidRDefault="00427207" w:rsidP="009173AE">
          <w:pPr>
            <w:tabs>
              <w:tab w:val="center" w:pos="4252"/>
              <w:tab w:val="right" w:pos="8504"/>
            </w:tabs>
            <w:spacing w:line="240" w:lineRule="auto"/>
            <w:ind w:left="0" w:right="0" w:firstLine="0"/>
            <w:jc w:val="center"/>
            <w:rPr>
              <w:rFonts w:ascii="Verdana" w:eastAsia="Calibri" w:hAnsi="Verdana"/>
              <w:i/>
              <w:color w:val="auto"/>
              <w:sz w:val="16"/>
              <w:szCs w:val="16"/>
              <w:lang w:eastAsia="en-US"/>
            </w:rPr>
          </w:pPr>
          <w:r w:rsidRPr="009173AE">
            <w:rPr>
              <w:rFonts w:ascii="Verdana" w:eastAsia="Calibri" w:hAnsi="Verdana"/>
              <w:i/>
              <w:color w:val="auto"/>
              <w:sz w:val="16"/>
              <w:szCs w:val="16"/>
              <w:lang w:eastAsia="en-US"/>
            </w:rPr>
            <w:t xml:space="preserve">Rua Suelon Dias Mendonça, nº. 20, Centro, Ecoporanga/ES – CEP: 29.850-000 </w:t>
          </w:r>
        </w:p>
        <w:p w:rsidR="009173AE" w:rsidRPr="009173AE" w:rsidRDefault="00427207" w:rsidP="009173AE">
          <w:pPr>
            <w:tabs>
              <w:tab w:val="center" w:pos="4252"/>
              <w:tab w:val="right" w:pos="8504"/>
            </w:tabs>
            <w:spacing w:line="240" w:lineRule="auto"/>
            <w:ind w:left="0" w:right="0" w:firstLine="0"/>
            <w:jc w:val="center"/>
            <w:rPr>
              <w:rFonts w:ascii="Verdana" w:eastAsia="Calibri" w:hAnsi="Verdana"/>
              <w:i/>
              <w:color w:val="auto"/>
              <w:sz w:val="16"/>
              <w:szCs w:val="16"/>
              <w:lang w:eastAsia="en-US"/>
            </w:rPr>
          </w:pPr>
          <w:r w:rsidRPr="009173AE">
            <w:rPr>
              <w:rFonts w:ascii="Verdana" w:eastAsia="Calibri" w:hAnsi="Verdana"/>
              <w:i/>
              <w:color w:val="auto"/>
              <w:sz w:val="16"/>
              <w:szCs w:val="16"/>
              <w:lang w:eastAsia="en-US"/>
            </w:rPr>
            <w:t xml:space="preserve">E-mail: </w:t>
          </w:r>
          <w:r>
            <w:rPr>
              <w:rFonts w:ascii="Verdana" w:eastAsia="Calibri" w:hAnsi="Verdana"/>
              <w:i/>
              <w:color w:val="auto"/>
              <w:sz w:val="16"/>
              <w:szCs w:val="16"/>
              <w:lang w:eastAsia="en-US"/>
            </w:rPr>
            <w:t>controladoria</w:t>
          </w:r>
          <w:r w:rsidRPr="009173AE">
            <w:rPr>
              <w:rFonts w:ascii="Verdana" w:eastAsia="Calibri" w:hAnsi="Verdana"/>
              <w:i/>
              <w:color w:val="auto"/>
              <w:sz w:val="16"/>
              <w:szCs w:val="16"/>
              <w:lang w:eastAsia="en-US"/>
            </w:rPr>
            <w:t>@ecoporanga.es.gov.br</w:t>
          </w:r>
        </w:p>
      </w:tc>
      <w:tc>
        <w:tcPr>
          <w:tcW w:w="900" w:type="pct"/>
          <w:shd w:val="clear" w:color="auto" w:fill="auto"/>
          <w:vAlign w:val="center"/>
        </w:tcPr>
        <w:p w:rsidR="009173AE" w:rsidRPr="009173AE" w:rsidRDefault="00427207" w:rsidP="009173AE">
          <w:pPr>
            <w:tabs>
              <w:tab w:val="center" w:pos="4252"/>
              <w:tab w:val="right" w:pos="8504"/>
            </w:tabs>
            <w:spacing w:line="240" w:lineRule="auto"/>
            <w:ind w:left="0" w:right="0" w:firstLine="0"/>
            <w:jc w:val="left"/>
            <w:rPr>
              <w:rFonts w:ascii="Century Gothic" w:eastAsia="Calibri" w:hAnsi="Century Gothic" w:cs="Aharoni"/>
              <w:sz w:val="16"/>
              <w:szCs w:val="16"/>
              <w:lang w:eastAsia="en-US"/>
            </w:rPr>
          </w:pPr>
          <w:r w:rsidRPr="009173AE">
            <w:rPr>
              <w:rFonts w:ascii="Century Gothic" w:eastAsia="Calibri" w:hAnsi="Century Gothic" w:cs="Aharoni"/>
              <w:sz w:val="16"/>
              <w:szCs w:val="16"/>
              <w:lang w:eastAsia="en-US"/>
            </w:rPr>
            <w:t xml:space="preserve">Página </w:t>
          </w:r>
          <w:r w:rsidRPr="009173AE">
            <w:rPr>
              <w:rFonts w:ascii="Century Gothic" w:eastAsia="Calibri" w:hAnsi="Century Gothic" w:cs="Aharoni"/>
              <w:b/>
              <w:bCs/>
              <w:sz w:val="16"/>
              <w:szCs w:val="16"/>
              <w:lang w:eastAsia="en-US"/>
            </w:rPr>
            <w:fldChar w:fldCharType="begin"/>
          </w:r>
          <w:r w:rsidRPr="009173AE">
            <w:rPr>
              <w:rFonts w:ascii="Century Gothic" w:eastAsia="Calibri" w:hAnsi="Century Gothic" w:cs="Aharoni"/>
              <w:b/>
              <w:bCs/>
              <w:sz w:val="16"/>
              <w:szCs w:val="16"/>
              <w:lang w:eastAsia="en-US"/>
            </w:rPr>
            <w:instrText>PAGE  \* Arabic  \* MERGEFORMAT</w:instrText>
          </w:r>
          <w:r w:rsidRPr="009173AE">
            <w:rPr>
              <w:rFonts w:ascii="Century Gothic" w:eastAsia="Calibri" w:hAnsi="Century Gothic" w:cs="Aharoni"/>
              <w:b/>
              <w:bCs/>
              <w:sz w:val="16"/>
              <w:szCs w:val="16"/>
              <w:lang w:eastAsia="en-US"/>
            </w:rPr>
            <w:fldChar w:fldCharType="separate"/>
          </w:r>
          <w:r>
            <w:rPr>
              <w:rFonts w:ascii="Century Gothic" w:eastAsia="Calibri" w:hAnsi="Century Gothic" w:cs="Aharoni"/>
              <w:b/>
              <w:bCs/>
              <w:noProof/>
              <w:sz w:val="16"/>
              <w:szCs w:val="16"/>
              <w:lang w:eastAsia="en-US"/>
            </w:rPr>
            <w:t>3</w:t>
          </w:r>
          <w:r w:rsidRPr="009173AE">
            <w:rPr>
              <w:rFonts w:ascii="Century Gothic" w:eastAsia="Calibri" w:hAnsi="Century Gothic" w:cs="Aharoni"/>
              <w:b/>
              <w:bCs/>
              <w:sz w:val="16"/>
              <w:szCs w:val="16"/>
              <w:lang w:eastAsia="en-US"/>
            </w:rPr>
            <w:fldChar w:fldCharType="end"/>
          </w:r>
          <w:r w:rsidRPr="009173AE">
            <w:rPr>
              <w:rFonts w:ascii="Century Gothic" w:eastAsia="Calibri" w:hAnsi="Century Gothic" w:cs="Aharoni"/>
              <w:sz w:val="16"/>
              <w:szCs w:val="16"/>
              <w:lang w:eastAsia="en-US"/>
            </w:rPr>
            <w:t xml:space="preserve"> de </w:t>
          </w:r>
          <w:r w:rsidRPr="009173AE">
            <w:rPr>
              <w:rFonts w:ascii="Century Gothic" w:eastAsia="Calibri" w:hAnsi="Century Gothic"/>
              <w:b/>
              <w:color w:val="auto"/>
              <w:sz w:val="16"/>
              <w:szCs w:val="16"/>
              <w:lang w:eastAsia="en-US"/>
            </w:rPr>
            <w:fldChar w:fldCharType="begin"/>
          </w:r>
          <w:r w:rsidRPr="009173AE">
            <w:rPr>
              <w:rFonts w:ascii="Century Gothic" w:eastAsia="Calibri" w:hAnsi="Century Gothic"/>
              <w:b/>
              <w:color w:val="auto"/>
              <w:sz w:val="16"/>
              <w:szCs w:val="16"/>
              <w:lang w:eastAsia="en-US"/>
            </w:rPr>
            <w:instrText>NUMPAGES  \* Arabic  \* MERGEFORMAT</w:instrText>
          </w:r>
          <w:r w:rsidRPr="009173AE">
            <w:rPr>
              <w:rFonts w:ascii="Century Gothic" w:eastAsia="Calibri" w:hAnsi="Century Gothic"/>
              <w:b/>
              <w:color w:val="auto"/>
              <w:sz w:val="16"/>
              <w:szCs w:val="16"/>
              <w:lang w:eastAsia="en-US"/>
            </w:rPr>
            <w:fldChar w:fldCharType="separate"/>
          </w:r>
          <w:r w:rsidRPr="009173AE">
            <w:rPr>
              <w:rFonts w:ascii="Century Gothic" w:eastAsia="Calibri" w:hAnsi="Century Gothic" w:cs="Aharoni"/>
              <w:b/>
              <w:bCs/>
              <w:noProof/>
              <w:sz w:val="16"/>
              <w:szCs w:val="16"/>
              <w:lang w:eastAsia="en-US"/>
            </w:rPr>
            <w:t>3</w:t>
          </w:r>
          <w:r w:rsidRPr="009173AE">
            <w:rPr>
              <w:rFonts w:ascii="Century Gothic" w:eastAsia="Calibri" w:hAnsi="Century Gothic" w:cs="Aharoni"/>
              <w:b/>
              <w:bCs/>
              <w:noProof/>
              <w:sz w:val="16"/>
              <w:szCs w:val="16"/>
              <w:lang w:eastAsia="en-US"/>
            </w:rPr>
            <w:fldChar w:fldCharType="end"/>
          </w:r>
        </w:p>
      </w:tc>
    </w:tr>
  </w:tbl>
  <w:p w:rsidR="00E84B5F" w:rsidRPr="009173AE" w:rsidRDefault="008F08EE" w:rsidP="00D64D62">
    <w:pPr>
      <w:pStyle w:val="Rodap"/>
      <w:rPr>
        <w:rFonts w:eastAsia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207" w:rsidRDefault="00427207" w:rsidP="00427207">
      <w:pPr>
        <w:spacing w:line="240" w:lineRule="auto"/>
      </w:pPr>
      <w:r>
        <w:separator/>
      </w:r>
    </w:p>
  </w:footnote>
  <w:footnote w:type="continuationSeparator" w:id="0">
    <w:p w:rsidR="00427207" w:rsidRDefault="00427207" w:rsidP="00427207">
      <w:pPr>
        <w:spacing w:line="240" w:lineRule="auto"/>
      </w:pPr>
      <w:r>
        <w:continuationSeparator/>
      </w:r>
    </w:p>
  </w:footnote>
  <w:footnote w:id="1">
    <w:p w:rsidR="009E027A" w:rsidRDefault="009E027A" w:rsidP="009E027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Decreto de Nomeação n.º 9.</w:t>
      </w:r>
      <w:r w:rsidR="008F08EE">
        <w:rPr>
          <w:rFonts w:ascii="Times New Roman" w:hAnsi="Times New Roman" w:cs="Times New Roman"/>
        </w:rPr>
        <w:t>913</w:t>
      </w:r>
      <w:bookmarkStart w:id="0" w:name="_GoBack"/>
      <w:bookmarkEnd w:id="0"/>
      <w:r>
        <w:rPr>
          <w:rFonts w:ascii="Times New Roman" w:hAnsi="Times New Roman" w:cs="Times New Roman"/>
        </w:rPr>
        <w:t>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B5F" w:rsidRDefault="00427207" w:rsidP="00CF0F8B">
    <w:pPr>
      <w:spacing w:line="259" w:lineRule="auto"/>
      <w:ind w:right="16"/>
      <w:jc w:val="center"/>
      <w:rPr>
        <w:rFonts w:ascii="Bookman Old Style" w:eastAsia="Bookman Old Style" w:hAnsi="Bookman Old Style" w:cs="Bookman Old Style"/>
        <w:b/>
        <w:sz w:val="28"/>
      </w:rPr>
    </w:pPr>
    <w:r>
      <w:rPr>
        <w:rFonts w:ascii="Bookman Old Style" w:eastAsia="Bookman Old Style" w:hAnsi="Bookman Old Style" w:cs="Bookman Old Style"/>
        <w:b/>
        <w:noProof/>
        <w:sz w:val="28"/>
      </w:rPr>
      <w:drawing>
        <wp:anchor distT="0" distB="0" distL="114300" distR="114300" simplePos="0" relativeHeight="251659264" behindDoc="1" locked="0" layoutInCell="1" allowOverlap="1" wp14:anchorId="130F8C22" wp14:editId="567FB34A">
          <wp:simplePos x="0" y="0"/>
          <wp:positionH relativeFrom="column">
            <wp:posOffset>195580</wp:posOffset>
          </wp:positionH>
          <wp:positionV relativeFrom="paragraph">
            <wp:posOffset>228600</wp:posOffset>
          </wp:positionV>
          <wp:extent cx="615950" cy="615950"/>
          <wp:effectExtent l="0" t="0" r="0" b="0"/>
          <wp:wrapNone/>
          <wp:docPr id="5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950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84B5F" w:rsidRDefault="00427207" w:rsidP="00E84B5F">
    <w:pPr>
      <w:spacing w:line="259" w:lineRule="auto"/>
      <w:ind w:right="16"/>
      <w:jc w:val="center"/>
    </w:pPr>
    <w:r>
      <w:rPr>
        <w:rFonts w:ascii="Bookman Old Style" w:eastAsia="Bookman Old Style" w:hAnsi="Bookman Old Style" w:cs="Bookman Old Style"/>
        <w:b/>
        <w:sz w:val="28"/>
      </w:rPr>
      <w:t xml:space="preserve">PREFEITURA MUNICIPAL DE ECOPORANGA </w:t>
    </w:r>
  </w:p>
  <w:p w:rsidR="00E84B5F" w:rsidRDefault="00427207" w:rsidP="00E84B5F">
    <w:pPr>
      <w:spacing w:line="259" w:lineRule="auto"/>
      <w:ind w:right="52"/>
      <w:jc w:val="center"/>
    </w:pPr>
    <w:r>
      <w:rPr>
        <w:rFonts w:ascii="Bookman Old Style" w:eastAsia="Bookman Old Style" w:hAnsi="Bookman Old Style" w:cs="Bookman Old Style"/>
        <w:b/>
        <w:sz w:val="28"/>
      </w:rPr>
      <w:t xml:space="preserve">ESTADO DO ESPÍRITO SANTO </w:t>
    </w:r>
  </w:p>
  <w:p w:rsidR="00E84B5F" w:rsidRPr="00E84B5F" w:rsidRDefault="00427207" w:rsidP="00E84B5F">
    <w:pPr>
      <w:tabs>
        <w:tab w:val="center" w:pos="1274"/>
        <w:tab w:val="center" w:pos="4926"/>
      </w:tabs>
      <w:spacing w:line="259" w:lineRule="auto"/>
      <w:ind w:left="0" w:right="0" w:firstLine="0"/>
      <w:jc w:val="left"/>
      <w:rPr>
        <w:rFonts w:ascii="Bookman Old Style" w:eastAsia="Century Gothic" w:hAnsi="Bookman Old Style" w:cs="Century Gothic"/>
        <w:sz w:val="24"/>
        <w:szCs w:val="24"/>
      </w:rPr>
    </w:pPr>
    <w:r>
      <w:rPr>
        <w:rFonts w:ascii="Calibri" w:eastAsia="Calibri" w:hAnsi="Calibri" w:cs="Calibri"/>
        <w:sz w:val="22"/>
      </w:rPr>
      <w:tab/>
    </w:r>
    <w:r>
      <w:rPr>
        <w:rFonts w:ascii="Century Gothic" w:eastAsia="Century Gothic" w:hAnsi="Century Gothic" w:cs="Century Gothic"/>
        <w:b/>
        <w:sz w:val="28"/>
      </w:rPr>
      <w:t xml:space="preserve"> </w:t>
    </w:r>
    <w:r w:rsidRPr="00E84B5F">
      <w:rPr>
        <w:rFonts w:ascii="Century Gothic" w:eastAsia="Century Gothic" w:hAnsi="Century Gothic" w:cs="Century Gothic"/>
        <w:b/>
        <w:sz w:val="28"/>
      </w:rPr>
      <w:tab/>
    </w:r>
    <w:r w:rsidRPr="00E84B5F">
      <w:rPr>
        <w:rFonts w:ascii="Bookman Old Style" w:eastAsia="Century Gothic" w:hAnsi="Bookman Old Style" w:cs="Century Gothic"/>
        <w:sz w:val="24"/>
        <w:szCs w:val="24"/>
      </w:rPr>
      <w:t xml:space="preserve">GABINETE DA CONTROLADORIA GERAL DO MUNICÍPIO </w:t>
    </w:r>
  </w:p>
  <w:p w:rsidR="00E84B5F" w:rsidRDefault="00427207" w:rsidP="00E84B5F">
    <w:pPr>
      <w:tabs>
        <w:tab w:val="center" w:pos="1274"/>
        <w:tab w:val="center" w:pos="4926"/>
      </w:tabs>
      <w:spacing w:line="259" w:lineRule="auto"/>
      <w:ind w:left="0" w:right="0" w:firstLine="0"/>
      <w:jc w:val="left"/>
      <w:rPr>
        <w:rFonts w:ascii="Bookman Old Style" w:eastAsia="Bookman Old Style" w:hAnsi="Bookman Old Style" w:cs="Bookman Old Style"/>
        <w:b/>
        <w:sz w:val="22"/>
      </w:rPr>
    </w:pPr>
    <w:r w:rsidRPr="00E84B5F">
      <w:rPr>
        <w:rFonts w:ascii="Bookman Old Style" w:eastAsia="Bookman Old Style" w:hAnsi="Bookman Old Style" w:cs="Bookman Old Style"/>
        <w:b/>
        <w:sz w:val="22"/>
      </w:rPr>
      <w:t xml:space="preserve"> 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437"/>
    <w:multiLevelType w:val="multilevel"/>
    <w:tmpl w:val="60E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072AF"/>
    <w:multiLevelType w:val="multilevel"/>
    <w:tmpl w:val="E264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073CF"/>
    <w:multiLevelType w:val="multilevel"/>
    <w:tmpl w:val="45C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669D1"/>
    <w:multiLevelType w:val="multilevel"/>
    <w:tmpl w:val="A91E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67D78"/>
    <w:multiLevelType w:val="multilevel"/>
    <w:tmpl w:val="4FB4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65BDB"/>
    <w:multiLevelType w:val="multilevel"/>
    <w:tmpl w:val="623A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D2674"/>
    <w:multiLevelType w:val="multilevel"/>
    <w:tmpl w:val="B8DC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D469C1"/>
    <w:multiLevelType w:val="multilevel"/>
    <w:tmpl w:val="E134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F5AD6"/>
    <w:multiLevelType w:val="multilevel"/>
    <w:tmpl w:val="21D0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C620BB"/>
    <w:multiLevelType w:val="multilevel"/>
    <w:tmpl w:val="DDF0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21149"/>
    <w:multiLevelType w:val="hybridMultilevel"/>
    <w:tmpl w:val="A6905110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EC60C8E"/>
    <w:multiLevelType w:val="multilevel"/>
    <w:tmpl w:val="AE16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44616F"/>
    <w:multiLevelType w:val="multilevel"/>
    <w:tmpl w:val="55FC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AD521C"/>
    <w:multiLevelType w:val="multilevel"/>
    <w:tmpl w:val="850A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77DCB"/>
    <w:multiLevelType w:val="multilevel"/>
    <w:tmpl w:val="4DFE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D416EE"/>
    <w:multiLevelType w:val="multilevel"/>
    <w:tmpl w:val="DBAE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7"/>
  </w:num>
  <w:num w:numId="10">
    <w:abstractNumId w:val="15"/>
  </w:num>
  <w:num w:numId="11">
    <w:abstractNumId w:val="5"/>
  </w:num>
  <w:num w:numId="12">
    <w:abstractNumId w:val="12"/>
  </w:num>
  <w:num w:numId="13">
    <w:abstractNumId w:val="14"/>
  </w:num>
  <w:num w:numId="14">
    <w:abstractNumId w:val="4"/>
  </w:num>
  <w:num w:numId="15">
    <w:abstractNumId w:val="3"/>
  </w:num>
  <w:num w:numId="16">
    <w:abstractNumId w:val="1"/>
  </w:num>
  <w:num w:numId="17">
    <w:abstractNumId w:val="13"/>
  </w:num>
  <w:num w:numId="18">
    <w:abstractNumId w:val="0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37"/>
    <w:rsid w:val="00046549"/>
    <w:rsid w:val="00073DB0"/>
    <w:rsid w:val="000D4237"/>
    <w:rsid w:val="00157A09"/>
    <w:rsid w:val="001A1C96"/>
    <w:rsid w:val="002E3214"/>
    <w:rsid w:val="003003A8"/>
    <w:rsid w:val="003114D1"/>
    <w:rsid w:val="003563C0"/>
    <w:rsid w:val="003602AF"/>
    <w:rsid w:val="003D5D4C"/>
    <w:rsid w:val="00427207"/>
    <w:rsid w:val="004A2B47"/>
    <w:rsid w:val="004A79C0"/>
    <w:rsid w:val="00553C11"/>
    <w:rsid w:val="005F516F"/>
    <w:rsid w:val="00696652"/>
    <w:rsid w:val="006D571B"/>
    <w:rsid w:val="0079091B"/>
    <w:rsid w:val="00805431"/>
    <w:rsid w:val="008507F9"/>
    <w:rsid w:val="008F08EE"/>
    <w:rsid w:val="008F680B"/>
    <w:rsid w:val="00934BAB"/>
    <w:rsid w:val="009E027A"/>
    <w:rsid w:val="00A46CB4"/>
    <w:rsid w:val="00AD1B74"/>
    <w:rsid w:val="00B14D69"/>
    <w:rsid w:val="00B72D57"/>
    <w:rsid w:val="00B8388C"/>
    <w:rsid w:val="00CD514D"/>
    <w:rsid w:val="00DA3BB2"/>
    <w:rsid w:val="00DD75B6"/>
    <w:rsid w:val="00E3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B9BC"/>
  <w15:chartTrackingRefBased/>
  <w15:docId w15:val="{81D4F7BE-DF7B-4190-BE47-0D6B0A29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237"/>
    <w:pPr>
      <w:spacing w:after="0" w:line="358" w:lineRule="auto"/>
      <w:ind w:left="10" w:right="603" w:hanging="10"/>
      <w:jc w:val="both"/>
    </w:pPr>
    <w:rPr>
      <w:rFonts w:ascii="Times New Roman" w:eastAsia="Times New Roman" w:hAnsi="Times New Roman" w:cs="Times New Roman"/>
      <w:color w:val="000000"/>
      <w:sz w:val="26"/>
      <w:lang w:eastAsia="pt-BR"/>
    </w:rPr>
  </w:style>
  <w:style w:type="paragraph" w:styleId="Ttulo1">
    <w:name w:val="heading 1"/>
    <w:next w:val="Normal"/>
    <w:link w:val="Ttulo1Char"/>
    <w:uiPriority w:val="9"/>
    <w:qFormat/>
    <w:rsid w:val="000D4237"/>
    <w:pPr>
      <w:keepNext/>
      <w:keepLines/>
      <w:spacing w:after="25"/>
      <w:ind w:left="1344" w:right="52"/>
      <w:outlineLvl w:val="0"/>
    </w:pPr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02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4237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D42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4237"/>
    <w:rPr>
      <w:rFonts w:ascii="Times New Roman" w:eastAsia="Times New Roman" w:hAnsi="Times New Roman" w:cs="Times New Roman"/>
      <w:color w:val="000000"/>
      <w:sz w:val="26"/>
      <w:lang w:eastAsia="pt-BR"/>
    </w:rPr>
  </w:style>
  <w:style w:type="character" w:styleId="Hyperlink">
    <w:name w:val="Hyperlink"/>
    <w:basedOn w:val="Fontepargpadro"/>
    <w:uiPriority w:val="99"/>
    <w:unhideWhenUsed/>
    <w:rsid w:val="00B72D5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72D5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2720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7207"/>
    <w:rPr>
      <w:rFonts w:ascii="Times New Roman" w:eastAsia="Times New Roman" w:hAnsi="Times New Roman" w:cs="Times New Roman"/>
      <w:color w:val="000000"/>
      <w:sz w:val="2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3C11"/>
    <w:pPr>
      <w:spacing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3C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53C1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F680B"/>
    <w:pPr>
      <w:ind w:left="720"/>
      <w:contextualSpacing/>
    </w:pPr>
  </w:style>
  <w:style w:type="paragraph" w:customStyle="1" w:styleId="Default">
    <w:name w:val="Default"/>
    <w:rsid w:val="008507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7A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A09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02A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602A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3602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3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113A9-C576-4511-81CE-90BF3E6E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gregorio</dc:creator>
  <cp:keywords/>
  <dc:description/>
  <cp:lastModifiedBy>Rejane Rodrigues</cp:lastModifiedBy>
  <cp:revision>2</cp:revision>
  <cp:lastPrinted>2025-04-14T17:10:00Z</cp:lastPrinted>
  <dcterms:created xsi:type="dcterms:W3CDTF">2025-04-14T17:10:00Z</dcterms:created>
  <dcterms:modified xsi:type="dcterms:W3CDTF">2025-04-14T17:10:00Z</dcterms:modified>
</cp:coreProperties>
</file>