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8A4" w:rsidRDefault="009918A4">
      <w:pPr>
        <w:spacing w:line="259" w:lineRule="auto"/>
        <w:ind w:right="16"/>
        <w:jc w:val="center"/>
        <w:rPr>
          <w:rFonts w:ascii="Bookman Old Style" w:eastAsia="Bookman Old Style" w:hAnsi="Bookman Old Style" w:cs="Bookman Old Style"/>
          <w:b/>
          <w:sz w:val="28"/>
        </w:rPr>
      </w:pPr>
    </w:p>
    <w:p w:rsidR="00EA15E8" w:rsidRDefault="00F538A5" w:rsidP="00F538A5">
      <w:pPr>
        <w:pStyle w:val="Ttulo1"/>
        <w:ind w:left="0"/>
        <w:jc w:val="center"/>
      </w:pPr>
      <w:r>
        <w:rPr>
          <w:sz w:val="28"/>
        </w:rPr>
        <w:t xml:space="preserve">REITERAÇÃO </w:t>
      </w:r>
      <w:r w:rsidR="00B625B6">
        <w:rPr>
          <w:sz w:val="28"/>
        </w:rPr>
        <w:t xml:space="preserve">- </w:t>
      </w:r>
      <w:bookmarkStart w:id="0" w:name="_GoBack"/>
      <w:bookmarkEnd w:id="0"/>
      <w:r w:rsidR="009918A4">
        <w:t>ATO RECOMENDATÓRIO nº 00</w:t>
      </w:r>
      <w:r w:rsidR="006251E3">
        <w:t>4</w:t>
      </w:r>
      <w:r w:rsidR="009918A4">
        <w:t>/202</w:t>
      </w:r>
      <w:r w:rsidR="006218B1">
        <w:t>4</w:t>
      </w:r>
    </w:p>
    <w:p w:rsidR="00114B6D" w:rsidRDefault="00114B6D" w:rsidP="00114B6D"/>
    <w:p w:rsidR="00114B6D" w:rsidRPr="00A45B5F" w:rsidRDefault="00114B6D" w:rsidP="00114B6D">
      <w:pPr>
        <w:spacing w:after="63" w:line="256" w:lineRule="auto"/>
        <w:ind w:left="0" w:right="0" w:firstLine="0"/>
        <w:jc w:val="left"/>
        <w:rPr>
          <w:b/>
        </w:rPr>
      </w:pPr>
      <w:r w:rsidRPr="00A45B5F">
        <w:rPr>
          <w:b/>
        </w:rPr>
        <w:t xml:space="preserve"> À Secretária Municipal de Assistência Social</w:t>
      </w:r>
    </w:p>
    <w:p w:rsidR="00EA15E8" w:rsidRDefault="00114B6D" w:rsidP="00114B6D">
      <w:pPr>
        <w:spacing w:after="63" w:line="256" w:lineRule="auto"/>
        <w:ind w:left="0" w:right="0" w:firstLine="0"/>
        <w:jc w:val="left"/>
      </w:pPr>
      <w:r w:rsidRPr="00114B6D">
        <w:t xml:space="preserve">SR. </w:t>
      </w:r>
      <w:r w:rsidR="00216F60">
        <w:t xml:space="preserve">Sônia Maria Mariano </w:t>
      </w:r>
      <w:proofErr w:type="spellStart"/>
      <w:r w:rsidR="00216F60">
        <w:t>Nicoli</w:t>
      </w:r>
      <w:proofErr w:type="spellEnd"/>
      <w:r w:rsidR="00C26869">
        <w:t>.</w:t>
      </w:r>
    </w:p>
    <w:p w:rsidR="00114B6D" w:rsidRDefault="00114B6D" w:rsidP="00114B6D">
      <w:pPr>
        <w:spacing w:after="63" w:line="256" w:lineRule="auto"/>
        <w:ind w:left="0" w:right="0" w:firstLine="0"/>
        <w:jc w:val="left"/>
      </w:pPr>
    </w:p>
    <w:p w:rsidR="00EA15E8" w:rsidRPr="006218B1" w:rsidRDefault="009918A4">
      <w:pPr>
        <w:spacing w:line="259" w:lineRule="auto"/>
        <w:ind w:left="-5"/>
        <w:rPr>
          <w:sz w:val="24"/>
          <w:szCs w:val="24"/>
        </w:rPr>
      </w:pPr>
      <w:r w:rsidRPr="006218B1">
        <w:rPr>
          <w:b/>
          <w:sz w:val="24"/>
          <w:szCs w:val="24"/>
        </w:rPr>
        <w:t xml:space="preserve">Assunto: </w:t>
      </w:r>
      <w:r w:rsidRPr="006218B1">
        <w:rPr>
          <w:sz w:val="24"/>
          <w:szCs w:val="24"/>
        </w:rPr>
        <w:t>Transparência, Controle e Fiscalização –</w:t>
      </w:r>
      <w:r w:rsidR="006F588B">
        <w:rPr>
          <w:sz w:val="24"/>
          <w:szCs w:val="24"/>
        </w:rPr>
        <w:t xml:space="preserve"> Decisão 00932/2024-3/CIPI e PMPI</w:t>
      </w:r>
    </w:p>
    <w:p w:rsidR="00EA15E8" w:rsidRPr="006218B1" w:rsidRDefault="009918A4">
      <w:pPr>
        <w:spacing w:line="259" w:lineRule="auto"/>
        <w:ind w:left="0" w:right="0" w:firstLine="0"/>
        <w:jc w:val="left"/>
        <w:rPr>
          <w:sz w:val="24"/>
          <w:szCs w:val="24"/>
        </w:rPr>
      </w:pPr>
      <w:r w:rsidRPr="006218B1">
        <w:rPr>
          <w:sz w:val="24"/>
          <w:szCs w:val="24"/>
        </w:rPr>
        <w:t xml:space="preserve"> </w:t>
      </w:r>
    </w:p>
    <w:p w:rsidR="00EA15E8" w:rsidRPr="006218B1" w:rsidRDefault="009918A4">
      <w:pPr>
        <w:spacing w:line="259" w:lineRule="auto"/>
        <w:ind w:left="0" w:right="0" w:firstLine="0"/>
        <w:jc w:val="left"/>
        <w:rPr>
          <w:sz w:val="24"/>
          <w:szCs w:val="24"/>
        </w:rPr>
      </w:pPr>
      <w:r w:rsidRPr="006218B1">
        <w:rPr>
          <w:sz w:val="24"/>
          <w:szCs w:val="24"/>
        </w:rPr>
        <w:t xml:space="preserve"> </w:t>
      </w:r>
    </w:p>
    <w:p w:rsidR="00EA15E8" w:rsidRPr="006218B1" w:rsidRDefault="009918A4">
      <w:pPr>
        <w:spacing w:after="23" w:line="259" w:lineRule="auto"/>
        <w:ind w:left="0" w:right="0" w:firstLine="0"/>
        <w:jc w:val="left"/>
        <w:rPr>
          <w:sz w:val="24"/>
          <w:szCs w:val="24"/>
        </w:rPr>
      </w:pPr>
      <w:r w:rsidRPr="006218B1">
        <w:rPr>
          <w:sz w:val="24"/>
          <w:szCs w:val="24"/>
        </w:rPr>
        <w:t xml:space="preserve"> </w:t>
      </w:r>
    </w:p>
    <w:p w:rsidR="00EA15E8" w:rsidRPr="006218B1" w:rsidRDefault="009918A4">
      <w:pPr>
        <w:ind w:left="-5" w:right="52"/>
        <w:rPr>
          <w:sz w:val="24"/>
          <w:szCs w:val="24"/>
        </w:rPr>
      </w:pPr>
      <w:r w:rsidRPr="006218B1">
        <w:rPr>
          <w:sz w:val="24"/>
          <w:szCs w:val="24"/>
        </w:rPr>
        <w:t xml:space="preserve">A </w:t>
      </w:r>
      <w:r w:rsidRPr="006218B1">
        <w:rPr>
          <w:b/>
          <w:sz w:val="24"/>
          <w:szCs w:val="24"/>
          <w:u w:val="single" w:color="000000"/>
        </w:rPr>
        <w:t>CONTROLADORIA GERAL DO MUNICÍPIO DE ECOPORANGA/ES</w:t>
      </w:r>
      <w:r w:rsidRPr="006218B1">
        <w:rPr>
          <w:b/>
          <w:sz w:val="24"/>
          <w:szCs w:val="24"/>
        </w:rPr>
        <w:t>,</w:t>
      </w:r>
      <w:r w:rsidRPr="006218B1">
        <w:rPr>
          <w:sz w:val="24"/>
          <w:szCs w:val="24"/>
        </w:rPr>
        <w:t xml:space="preserve"> no cumprimento das atribuições estabelecidas nos artigos 31, 70 e 74 da CF, art. 29, 70 e 76 da Constituição Estadual, artigos 58 e 61 da Lei Orgânica do Município de Ecoporanga/ES, Lei Municipal nº. 1.727/2015, alterada pela Lei Municipal nº. 2.078/2022, as quais dispõem sobre o Sistema de Controle Interno do Município de Ecoporanga/ES e dá outras providências, Lei Municipal nº. 2.079/2022, que dispõe sobre a Reorganização da Estrutura Organizacional da Unidade Central de Controle Interno e delimita sua abrangência de atuação ao Poder Executivo do Município de Ecoporanga/ES, bem como as demais normas que regulam as atribuições do Sistema de Controle Interno, referentes ao exercício do controle prévio e concomitante dos atos de gestão e visando orientar o Administrador Público, expedimos a seguir nossas considerações: </w:t>
      </w:r>
    </w:p>
    <w:p w:rsidR="00EA15E8" w:rsidRPr="006218B1" w:rsidRDefault="009918A4">
      <w:pPr>
        <w:spacing w:after="126" w:line="259" w:lineRule="auto"/>
        <w:ind w:left="0" w:right="0" w:firstLine="0"/>
        <w:jc w:val="left"/>
        <w:rPr>
          <w:sz w:val="24"/>
          <w:szCs w:val="24"/>
        </w:rPr>
      </w:pPr>
      <w:r w:rsidRPr="006218B1">
        <w:rPr>
          <w:sz w:val="24"/>
          <w:szCs w:val="24"/>
        </w:rPr>
        <w:t xml:space="preserve"> </w:t>
      </w:r>
    </w:p>
    <w:p w:rsidR="00EA15E8" w:rsidRPr="006218B1" w:rsidRDefault="009918A4">
      <w:pPr>
        <w:ind w:left="-5" w:right="52"/>
        <w:rPr>
          <w:sz w:val="24"/>
          <w:szCs w:val="24"/>
        </w:rPr>
      </w:pPr>
      <w:r w:rsidRPr="006218B1">
        <w:rPr>
          <w:b/>
          <w:sz w:val="24"/>
          <w:szCs w:val="24"/>
        </w:rPr>
        <w:t xml:space="preserve">CONSIDERANDO </w:t>
      </w:r>
      <w:r w:rsidRPr="006218B1">
        <w:rPr>
          <w:sz w:val="24"/>
          <w:szCs w:val="24"/>
        </w:rPr>
        <w:t xml:space="preserve">que, o papel do Controle Interno surge como forma de garantir que os objetivos da administração pública sejam cumpridos, dando maior transparência na aplicação dos recursos. Procurando, no decorrer da gestão, atuar de forma preventiva na detecção e correção de possíveis irregularidades; </w:t>
      </w:r>
    </w:p>
    <w:p w:rsidR="00EA15E8" w:rsidRPr="006218B1" w:rsidRDefault="009918A4">
      <w:pPr>
        <w:spacing w:after="126" w:line="259" w:lineRule="auto"/>
        <w:ind w:left="0" w:right="0" w:firstLine="0"/>
        <w:jc w:val="left"/>
        <w:rPr>
          <w:sz w:val="24"/>
          <w:szCs w:val="24"/>
        </w:rPr>
      </w:pPr>
      <w:r w:rsidRPr="006218B1">
        <w:rPr>
          <w:sz w:val="24"/>
          <w:szCs w:val="24"/>
        </w:rPr>
        <w:t xml:space="preserve"> </w:t>
      </w:r>
    </w:p>
    <w:p w:rsidR="009B783E" w:rsidRDefault="009918A4" w:rsidP="00A45B5F">
      <w:pPr>
        <w:spacing w:line="276" w:lineRule="auto"/>
        <w:ind w:right="-1"/>
        <w:rPr>
          <w:sz w:val="24"/>
          <w:szCs w:val="24"/>
        </w:rPr>
      </w:pPr>
      <w:r w:rsidRPr="006218B1">
        <w:rPr>
          <w:b/>
          <w:sz w:val="24"/>
          <w:szCs w:val="24"/>
        </w:rPr>
        <w:t>CONSIDERAND</w:t>
      </w:r>
      <w:r w:rsidR="00BC26AC" w:rsidRPr="006218B1">
        <w:rPr>
          <w:b/>
          <w:sz w:val="24"/>
          <w:szCs w:val="24"/>
        </w:rPr>
        <w:t xml:space="preserve">O </w:t>
      </w:r>
      <w:r w:rsidR="00B625B6">
        <w:rPr>
          <w:sz w:val="24"/>
          <w:szCs w:val="24"/>
        </w:rPr>
        <w:t xml:space="preserve">o Processo 04002/2023-2, </w:t>
      </w:r>
      <w:r w:rsidR="009B783E" w:rsidRPr="006218B1">
        <w:rPr>
          <w:sz w:val="24"/>
          <w:szCs w:val="24"/>
        </w:rPr>
        <w:t>Decisão 00932/2024-3</w:t>
      </w:r>
      <w:r w:rsidR="00B625B6">
        <w:rPr>
          <w:sz w:val="24"/>
          <w:szCs w:val="24"/>
        </w:rPr>
        <w:t xml:space="preserve"> e Acordão 00570/2024-</w:t>
      </w:r>
      <w:proofErr w:type="gramStart"/>
      <w:r w:rsidR="00B625B6">
        <w:rPr>
          <w:sz w:val="24"/>
          <w:szCs w:val="24"/>
        </w:rPr>
        <w:t xml:space="preserve">8 </w:t>
      </w:r>
      <w:r w:rsidR="00294DA2" w:rsidRPr="006218B1">
        <w:rPr>
          <w:sz w:val="24"/>
          <w:szCs w:val="24"/>
        </w:rPr>
        <w:t xml:space="preserve"> anexo</w:t>
      </w:r>
      <w:proofErr w:type="gramEnd"/>
      <w:r w:rsidR="00294DA2" w:rsidRPr="006218B1">
        <w:rPr>
          <w:sz w:val="24"/>
          <w:szCs w:val="24"/>
        </w:rPr>
        <w:t xml:space="preserve">, </w:t>
      </w:r>
      <w:r w:rsidR="009B783E" w:rsidRPr="006218B1">
        <w:rPr>
          <w:sz w:val="24"/>
          <w:szCs w:val="24"/>
        </w:rPr>
        <w:t xml:space="preserve"> que recomenta ao Município de Ecoporanga:</w:t>
      </w:r>
    </w:p>
    <w:p w:rsidR="00114B6D" w:rsidRPr="00114B6D" w:rsidRDefault="00114B6D" w:rsidP="00114B6D">
      <w:pPr>
        <w:spacing w:line="276" w:lineRule="auto"/>
        <w:rPr>
          <w:sz w:val="24"/>
          <w:szCs w:val="24"/>
        </w:rPr>
      </w:pPr>
    </w:p>
    <w:p w:rsidR="009B783E" w:rsidRPr="00294DA2" w:rsidRDefault="009B783E" w:rsidP="00294DA2">
      <w:pPr>
        <w:pStyle w:val="Default"/>
        <w:numPr>
          <w:ilvl w:val="0"/>
          <w:numId w:val="2"/>
        </w:numPr>
        <w:ind w:left="2268"/>
        <w:jc w:val="both"/>
        <w:rPr>
          <w:rFonts w:ascii="Times New Roman" w:hAnsi="Times New Roman" w:cs="Times New Roman"/>
          <w:sz w:val="20"/>
          <w:szCs w:val="20"/>
        </w:rPr>
      </w:pPr>
      <w:r w:rsidRPr="00294DA2">
        <w:rPr>
          <w:rFonts w:ascii="Times New Roman" w:hAnsi="Times New Roman" w:cs="Times New Roman"/>
          <w:b/>
          <w:bCs/>
          <w:sz w:val="20"/>
          <w:szCs w:val="20"/>
        </w:rPr>
        <w:t xml:space="preserve">RECOMENDAR </w:t>
      </w:r>
      <w:r w:rsidRPr="00294DA2">
        <w:rPr>
          <w:rFonts w:ascii="Times New Roman" w:hAnsi="Times New Roman" w:cs="Times New Roman"/>
          <w:sz w:val="20"/>
          <w:szCs w:val="20"/>
        </w:rPr>
        <w:t xml:space="preserve">às Prefeituras Municipais de </w:t>
      </w:r>
      <w:r w:rsidRPr="00294DA2">
        <w:rPr>
          <w:rFonts w:ascii="Times New Roman" w:hAnsi="Times New Roman" w:cs="Times New Roman"/>
          <w:b/>
          <w:bCs/>
          <w:sz w:val="20"/>
          <w:szCs w:val="20"/>
        </w:rPr>
        <w:t xml:space="preserve">Afonso Cláudio, Água Doce do Norte, Águia Branca, Alegre, Alto Rio Novo, Anchieta, Apiacá, Aracruz, Atílio </w:t>
      </w:r>
      <w:proofErr w:type="spellStart"/>
      <w:r w:rsidRPr="00294DA2">
        <w:rPr>
          <w:rFonts w:ascii="Times New Roman" w:hAnsi="Times New Roman" w:cs="Times New Roman"/>
          <w:b/>
          <w:bCs/>
          <w:sz w:val="20"/>
          <w:szCs w:val="20"/>
        </w:rPr>
        <w:t>Vivácqua</w:t>
      </w:r>
      <w:proofErr w:type="spellEnd"/>
      <w:r w:rsidRPr="00294DA2">
        <w:rPr>
          <w:rFonts w:ascii="Times New Roman" w:hAnsi="Times New Roman" w:cs="Times New Roman"/>
          <w:b/>
          <w:bCs/>
          <w:sz w:val="20"/>
          <w:szCs w:val="20"/>
        </w:rPr>
        <w:t xml:space="preserve">, Baixo Guandu, Boa Esperança, Bom Jesus do Norte, </w:t>
      </w:r>
      <w:proofErr w:type="spellStart"/>
      <w:r w:rsidRPr="00294DA2">
        <w:rPr>
          <w:rFonts w:ascii="Times New Roman" w:hAnsi="Times New Roman" w:cs="Times New Roman"/>
          <w:b/>
          <w:bCs/>
          <w:sz w:val="20"/>
          <w:szCs w:val="20"/>
        </w:rPr>
        <w:t>Brejetuba</w:t>
      </w:r>
      <w:proofErr w:type="spellEnd"/>
      <w:r w:rsidRPr="00294DA2">
        <w:rPr>
          <w:rFonts w:ascii="Times New Roman" w:hAnsi="Times New Roman" w:cs="Times New Roman"/>
          <w:b/>
          <w:bCs/>
          <w:sz w:val="20"/>
          <w:szCs w:val="20"/>
        </w:rPr>
        <w:t xml:space="preserve">, Cachoeiro de Itapemirim, Cariacica, Castelo, Conceição da Barra, Divino de São Lourenço, Domingos Martins, Dores do Rio Preto, </w:t>
      </w:r>
      <w:r w:rsidRPr="006F588B">
        <w:rPr>
          <w:rFonts w:ascii="Times New Roman" w:hAnsi="Times New Roman" w:cs="Times New Roman"/>
          <w:b/>
          <w:bCs/>
          <w:sz w:val="20"/>
          <w:szCs w:val="20"/>
          <w:u w:val="single"/>
        </w:rPr>
        <w:t>Ecoporanga</w:t>
      </w:r>
      <w:r w:rsidRPr="006F588B">
        <w:rPr>
          <w:rFonts w:ascii="Times New Roman" w:hAnsi="Times New Roman" w:cs="Times New Roman"/>
          <w:b/>
          <w:bCs/>
          <w:sz w:val="20"/>
          <w:szCs w:val="20"/>
        </w:rPr>
        <w:t>,</w:t>
      </w:r>
      <w:r w:rsidRPr="00294DA2">
        <w:rPr>
          <w:rFonts w:ascii="Times New Roman" w:hAnsi="Times New Roman" w:cs="Times New Roman"/>
          <w:b/>
          <w:bCs/>
          <w:sz w:val="20"/>
          <w:szCs w:val="20"/>
        </w:rPr>
        <w:t xml:space="preserve"> Fundão, Governador </w:t>
      </w:r>
      <w:proofErr w:type="spellStart"/>
      <w:r w:rsidRPr="00294DA2">
        <w:rPr>
          <w:rFonts w:ascii="Times New Roman" w:hAnsi="Times New Roman" w:cs="Times New Roman"/>
          <w:b/>
          <w:bCs/>
          <w:sz w:val="20"/>
          <w:szCs w:val="20"/>
        </w:rPr>
        <w:t>Lindenberg</w:t>
      </w:r>
      <w:proofErr w:type="spellEnd"/>
      <w:r w:rsidRPr="00294DA2">
        <w:rPr>
          <w:rFonts w:ascii="Times New Roman" w:hAnsi="Times New Roman" w:cs="Times New Roman"/>
          <w:b/>
          <w:bCs/>
          <w:sz w:val="20"/>
          <w:szCs w:val="20"/>
        </w:rPr>
        <w:t xml:space="preserve">, Guaçuí, Guarapari, Ibatiba, Ibiraçu, Ibitirama, Irupi, Itaguaçu, Itapemirim, Itarana, Iúna, Jaguaré, Jerônimo Monteiro, João Neiva, Laranja da Terra, Linhares, Mantenópolis, Marataízes, Marechal Floriano, Marilândia, Mimoso do Sul, Montanha, Mucurici, Muniz Freire, Muqui, Nova </w:t>
      </w:r>
      <w:r w:rsidRPr="00294DA2">
        <w:rPr>
          <w:rFonts w:ascii="Times New Roman" w:hAnsi="Times New Roman" w:cs="Times New Roman"/>
          <w:b/>
          <w:bCs/>
          <w:sz w:val="20"/>
          <w:szCs w:val="20"/>
        </w:rPr>
        <w:lastRenderedPageBreak/>
        <w:t xml:space="preserve">Venécia, Pancas, Pedro Canário, Pinheiros, Piúma, Ponto Belo, Presidente Kennedy, Rio Bananal, Rio Novo do Sul, Santa Leopoldina, Santa Maria de Jetibá, Santa Teresa, São Domingos do Norte, São Gabriel da Palha, São José do Calçado, São Mateus, São Roque do Canaã, Serra, Sooretama, Vargem Alta, Venda Nova do Imigrante, Viana, Vila Pavão, Vila Valério, Vila Velha </w:t>
      </w:r>
      <w:r w:rsidRPr="00294DA2">
        <w:rPr>
          <w:rFonts w:ascii="Times New Roman" w:hAnsi="Times New Roman" w:cs="Times New Roman"/>
          <w:sz w:val="20"/>
          <w:szCs w:val="20"/>
        </w:rPr>
        <w:t xml:space="preserve">e </w:t>
      </w:r>
      <w:r w:rsidRPr="00294DA2">
        <w:rPr>
          <w:rFonts w:ascii="Times New Roman" w:hAnsi="Times New Roman" w:cs="Times New Roman"/>
          <w:b/>
          <w:bCs/>
          <w:sz w:val="20"/>
          <w:szCs w:val="20"/>
        </w:rPr>
        <w:t xml:space="preserve">Vitória </w:t>
      </w:r>
      <w:r w:rsidRPr="00294DA2">
        <w:rPr>
          <w:rFonts w:ascii="Times New Roman" w:hAnsi="Times New Roman" w:cs="Times New Roman"/>
          <w:sz w:val="20"/>
          <w:szCs w:val="20"/>
        </w:rPr>
        <w:t xml:space="preserve">que elaborem, em cumprimento ao art. 3º da Lei Federal n.º 13.25/2016, o PMPI, no prazo de até um ano, seguindo as boas práticas sugeridas por instituições tais como a Rede Nacional para a Primeira Infância - RNPI (Guia para a Elaboração do Plano Municipal da Primeira Infância, 2017), a Unicef (Cartilha Plano Municipal para a Primeira Infância) e o Plano Estadual para Primeira Infância - PEPI, além de aprovar o PMPI por meio de Lei Municipal; </w:t>
      </w:r>
    </w:p>
    <w:p w:rsidR="009B783E" w:rsidRPr="00294DA2" w:rsidRDefault="009B783E" w:rsidP="00294DA2">
      <w:pPr>
        <w:spacing w:line="276" w:lineRule="auto"/>
        <w:ind w:left="2268"/>
        <w:rPr>
          <w:sz w:val="20"/>
          <w:szCs w:val="20"/>
        </w:rPr>
      </w:pPr>
    </w:p>
    <w:p w:rsidR="009B783E" w:rsidRPr="00294DA2" w:rsidRDefault="009B783E" w:rsidP="00294DA2">
      <w:pPr>
        <w:pStyle w:val="Default"/>
        <w:ind w:left="2268"/>
        <w:jc w:val="both"/>
        <w:rPr>
          <w:rFonts w:ascii="Times New Roman" w:hAnsi="Times New Roman" w:cs="Times New Roman"/>
          <w:sz w:val="20"/>
          <w:szCs w:val="20"/>
        </w:rPr>
      </w:pPr>
    </w:p>
    <w:p w:rsidR="009B783E" w:rsidRDefault="009B783E" w:rsidP="00294DA2">
      <w:pPr>
        <w:pStyle w:val="Default"/>
        <w:numPr>
          <w:ilvl w:val="1"/>
          <w:numId w:val="1"/>
        </w:numPr>
        <w:ind w:left="2268"/>
        <w:jc w:val="both"/>
        <w:rPr>
          <w:rFonts w:ascii="Times New Roman" w:hAnsi="Times New Roman" w:cs="Times New Roman"/>
          <w:sz w:val="20"/>
          <w:szCs w:val="20"/>
        </w:rPr>
      </w:pPr>
      <w:r w:rsidRPr="00294DA2">
        <w:rPr>
          <w:rFonts w:ascii="Times New Roman" w:hAnsi="Times New Roman" w:cs="Times New Roman"/>
          <w:b/>
          <w:bCs/>
          <w:sz w:val="20"/>
          <w:szCs w:val="20"/>
        </w:rPr>
        <w:t xml:space="preserve">RECOMENDAR </w:t>
      </w:r>
      <w:r w:rsidRPr="00294DA2">
        <w:rPr>
          <w:rFonts w:ascii="Times New Roman" w:hAnsi="Times New Roman" w:cs="Times New Roman"/>
          <w:sz w:val="20"/>
          <w:szCs w:val="20"/>
        </w:rPr>
        <w:t xml:space="preserve">às Prefeituras Municipais de </w:t>
      </w:r>
      <w:r w:rsidRPr="00294DA2">
        <w:rPr>
          <w:rFonts w:ascii="Times New Roman" w:hAnsi="Times New Roman" w:cs="Times New Roman"/>
          <w:b/>
          <w:bCs/>
          <w:sz w:val="20"/>
          <w:szCs w:val="20"/>
        </w:rPr>
        <w:t xml:space="preserve">Alegre, Anchieta, Baixo Guandu, Cariacica, </w:t>
      </w:r>
      <w:r w:rsidRPr="006F588B">
        <w:rPr>
          <w:rFonts w:ascii="Times New Roman" w:hAnsi="Times New Roman" w:cs="Times New Roman"/>
          <w:b/>
          <w:bCs/>
          <w:sz w:val="20"/>
          <w:szCs w:val="20"/>
          <w:u w:val="single"/>
        </w:rPr>
        <w:t>Ecoporanga</w:t>
      </w:r>
      <w:r w:rsidRPr="00294DA2">
        <w:rPr>
          <w:rFonts w:ascii="Times New Roman" w:hAnsi="Times New Roman" w:cs="Times New Roman"/>
          <w:b/>
          <w:bCs/>
          <w:sz w:val="20"/>
          <w:szCs w:val="20"/>
        </w:rPr>
        <w:t xml:space="preserve">, Fundão, Ibitirama, Jaguaré, Mantenópolis, Mimoso do Sul, Muqui, Pancas </w:t>
      </w:r>
      <w:r w:rsidRPr="00294DA2">
        <w:rPr>
          <w:rFonts w:ascii="Times New Roman" w:hAnsi="Times New Roman" w:cs="Times New Roman"/>
          <w:sz w:val="20"/>
          <w:szCs w:val="20"/>
        </w:rPr>
        <w:t xml:space="preserve">e </w:t>
      </w:r>
      <w:r w:rsidRPr="00294DA2">
        <w:rPr>
          <w:rFonts w:ascii="Times New Roman" w:hAnsi="Times New Roman" w:cs="Times New Roman"/>
          <w:b/>
          <w:bCs/>
          <w:sz w:val="20"/>
          <w:szCs w:val="20"/>
        </w:rPr>
        <w:t xml:space="preserve">Vargem Alta </w:t>
      </w:r>
      <w:r w:rsidRPr="00294DA2">
        <w:rPr>
          <w:rFonts w:ascii="Times New Roman" w:hAnsi="Times New Roman" w:cs="Times New Roman"/>
          <w:sz w:val="20"/>
          <w:szCs w:val="20"/>
        </w:rPr>
        <w:t xml:space="preserve">que concluam a instituição do CIPI no município, garantindo a participação, pelo menos, das secretarias e dos conselhos municipais de saúde, educação e assistência social. Também, garantir a competência do CIPI para elaborar o PMPI, assim como promover e monitorar suas ações. </w:t>
      </w:r>
    </w:p>
    <w:p w:rsidR="00EB58A1" w:rsidRPr="00EB58A1" w:rsidRDefault="00EB58A1" w:rsidP="00EB58A1">
      <w:pPr>
        <w:pStyle w:val="Default"/>
        <w:numPr>
          <w:ilvl w:val="1"/>
          <w:numId w:val="1"/>
        </w:numPr>
        <w:ind w:left="2268"/>
        <w:jc w:val="both"/>
        <w:rPr>
          <w:rFonts w:ascii="Times New Roman" w:hAnsi="Times New Roman" w:cs="Times New Roman"/>
          <w:sz w:val="20"/>
          <w:szCs w:val="20"/>
        </w:rPr>
      </w:pPr>
    </w:p>
    <w:p w:rsidR="00EB58A1" w:rsidRPr="00294DA2" w:rsidRDefault="00EB58A1" w:rsidP="00EB58A1">
      <w:pPr>
        <w:spacing w:line="276" w:lineRule="auto"/>
        <w:ind w:left="2268" w:right="-1"/>
        <w:rPr>
          <w:sz w:val="20"/>
          <w:szCs w:val="20"/>
        </w:rPr>
      </w:pPr>
      <w:r>
        <w:rPr>
          <w:sz w:val="20"/>
          <w:szCs w:val="20"/>
        </w:rPr>
        <w:tab/>
      </w:r>
      <w:r w:rsidRPr="00294DA2">
        <w:rPr>
          <w:b/>
          <w:bCs/>
          <w:sz w:val="20"/>
          <w:szCs w:val="20"/>
        </w:rPr>
        <w:t xml:space="preserve">RECOMENDAR </w:t>
      </w:r>
      <w:r w:rsidRPr="00294DA2">
        <w:rPr>
          <w:sz w:val="20"/>
          <w:szCs w:val="20"/>
        </w:rPr>
        <w:t xml:space="preserve">às Prefeituras Municipais de </w:t>
      </w:r>
      <w:r w:rsidRPr="00294DA2">
        <w:rPr>
          <w:b/>
          <w:bCs/>
          <w:sz w:val="20"/>
          <w:szCs w:val="20"/>
        </w:rPr>
        <w:t xml:space="preserve">Afonso Cláudio, Águia Branca, Alegre, Alfredo Chaves, Alto Rio Novo, Anchieta, Apiacá, Aracruz, Atílio </w:t>
      </w:r>
      <w:proofErr w:type="spellStart"/>
      <w:r w:rsidRPr="00294DA2">
        <w:rPr>
          <w:b/>
          <w:bCs/>
          <w:sz w:val="20"/>
          <w:szCs w:val="20"/>
        </w:rPr>
        <w:t>Vivácqua</w:t>
      </w:r>
      <w:proofErr w:type="spellEnd"/>
      <w:r w:rsidRPr="00294DA2">
        <w:rPr>
          <w:b/>
          <w:bCs/>
          <w:sz w:val="20"/>
          <w:szCs w:val="20"/>
        </w:rPr>
        <w:t xml:space="preserve">, Baixo Guandu, Barra de São Francisco, Boa Esperança, Bom Jesus do Norte, </w:t>
      </w:r>
      <w:proofErr w:type="spellStart"/>
      <w:r w:rsidRPr="00294DA2">
        <w:rPr>
          <w:b/>
          <w:bCs/>
          <w:sz w:val="20"/>
          <w:szCs w:val="20"/>
        </w:rPr>
        <w:t>Brejetuba</w:t>
      </w:r>
      <w:proofErr w:type="spellEnd"/>
      <w:r w:rsidRPr="00294DA2">
        <w:rPr>
          <w:b/>
          <w:bCs/>
          <w:sz w:val="20"/>
          <w:szCs w:val="20"/>
        </w:rPr>
        <w:t xml:space="preserve">, Cachoeiro de Itapemirim, Cariacica, Castelo, Colatina, Conceição da Barra, Conceição do Castelo, Divino de São Lourenço, Domingos Martins, Dores do Rio Preto, </w:t>
      </w:r>
      <w:r w:rsidRPr="006F588B">
        <w:rPr>
          <w:b/>
          <w:bCs/>
          <w:sz w:val="20"/>
          <w:szCs w:val="20"/>
          <w:u w:val="single"/>
        </w:rPr>
        <w:t>Ecoporanga</w:t>
      </w:r>
      <w:r w:rsidRPr="00294DA2">
        <w:rPr>
          <w:b/>
          <w:bCs/>
          <w:sz w:val="20"/>
          <w:szCs w:val="20"/>
        </w:rPr>
        <w:t xml:space="preserve">, Fundão, Governador </w:t>
      </w:r>
      <w:proofErr w:type="spellStart"/>
      <w:r w:rsidRPr="00294DA2">
        <w:rPr>
          <w:b/>
          <w:bCs/>
          <w:sz w:val="20"/>
          <w:szCs w:val="20"/>
        </w:rPr>
        <w:t>Lindenberg</w:t>
      </w:r>
      <w:proofErr w:type="spellEnd"/>
      <w:r w:rsidRPr="00294DA2">
        <w:rPr>
          <w:b/>
          <w:bCs/>
          <w:sz w:val="20"/>
          <w:szCs w:val="20"/>
        </w:rPr>
        <w:t xml:space="preserve">, Guaçuí, Guarapari, Ibatiba, Ibiraçu, Ibitirama, Iconha, Irupi, Itaguaçu, Itapemirim, Itarana, Iúna, Jaguaré, Jerônimo Monteiro, João Neiva, Laranja da Terra, Mantenópolis, Marataízes, Marechal Floriano, Marilândia, Mimoso do Sul, Montanha, Mucurici, Muniz Freire, Muqui, Nova Venécia, Pancas, Pinheiros, Piúma, Ponto Belo, Rio Bananal, Rio Novo do Sul, Santa Leopoldina, Santa Maria de Jetibá, Santa Teresa, São Domingos do Norte, São Gabriel da Palha, São José do Calçado, São Roque do Canaã, Serra, Sooretama, Vargem Alta, Venda Nova do Imigrante, Viana, Vila Pavão, Vila Valério, Vila Velha </w:t>
      </w:r>
      <w:r w:rsidRPr="00294DA2">
        <w:rPr>
          <w:sz w:val="20"/>
          <w:szCs w:val="20"/>
        </w:rPr>
        <w:t xml:space="preserve">e </w:t>
      </w:r>
      <w:r w:rsidRPr="00294DA2">
        <w:rPr>
          <w:b/>
          <w:bCs/>
          <w:sz w:val="20"/>
          <w:szCs w:val="20"/>
        </w:rPr>
        <w:t xml:space="preserve">Vitória </w:t>
      </w:r>
      <w:r w:rsidRPr="00294DA2">
        <w:rPr>
          <w:sz w:val="20"/>
          <w:szCs w:val="20"/>
        </w:rPr>
        <w:t>que garantam que o CIPI tenha funcionamento adequado, que todas as discussões e deliberações das suas reuniões sejam registradas em atas, assinadas e aprovadas por todos os participantes, evidenciando o cumprimento de suas atribuições.</w:t>
      </w:r>
    </w:p>
    <w:p w:rsidR="00C10272" w:rsidRPr="00294DA2" w:rsidRDefault="00C10272" w:rsidP="00294DA2">
      <w:pPr>
        <w:pStyle w:val="Default"/>
        <w:ind w:left="2268"/>
        <w:jc w:val="both"/>
        <w:rPr>
          <w:rFonts w:ascii="Times New Roman" w:hAnsi="Times New Roman" w:cs="Times New Roman"/>
          <w:sz w:val="20"/>
          <w:szCs w:val="20"/>
        </w:rPr>
      </w:pPr>
    </w:p>
    <w:p w:rsidR="00C10272" w:rsidRPr="00294DA2" w:rsidRDefault="00C10272" w:rsidP="00294DA2">
      <w:pPr>
        <w:pStyle w:val="Default"/>
        <w:numPr>
          <w:ilvl w:val="1"/>
          <w:numId w:val="1"/>
        </w:numPr>
        <w:ind w:left="2268"/>
        <w:jc w:val="both"/>
        <w:rPr>
          <w:rFonts w:ascii="Times New Roman" w:hAnsi="Times New Roman" w:cs="Times New Roman"/>
          <w:sz w:val="20"/>
          <w:szCs w:val="20"/>
        </w:rPr>
      </w:pPr>
      <w:r w:rsidRPr="00294DA2">
        <w:rPr>
          <w:rFonts w:ascii="Times New Roman" w:hAnsi="Times New Roman" w:cs="Times New Roman"/>
          <w:b/>
          <w:bCs/>
          <w:sz w:val="20"/>
          <w:szCs w:val="20"/>
        </w:rPr>
        <w:t xml:space="preserve">RECOMENDAR </w:t>
      </w:r>
      <w:r w:rsidRPr="00294DA2">
        <w:rPr>
          <w:rFonts w:ascii="Times New Roman" w:hAnsi="Times New Roman" w:cs="Times New Roman"/>
          <w:sz w:val="20"/>
          <w:szCs w:val="20"/>
        </w:rPr>
        <w:t xml:space="preserve">a </w:t>
      </w:r>
      <w:r w:rsidRPr="006F588B">
        <w:rPr>
          <w:rFonts w:ascii="Times New Roman" w:hAnsi="Times New Roman" w:cs="Times New Roman"/>
          <w:b/>
          <w:bCs/>
          <w:sz w:val="20"/>
          <w:szCs w:val="20"/>
          <w:u w:val="single"/>
        </w:rPr>
        <w:t xml:space="preserve">todas </w:t>
      </w:r>
      <w:r w:rsidRPr="006F588B">
        <w:rPr>
          <w:rFonts w:ascii="Times New Roman" w:hAnsi="Times New Roman" w:cs="Times New Roman"/>
          <w:sz w:val="20"/>
          <w:szCs w:val="20"/>
          <w:u w:val="single"/>
        </w:rPr>
        <w:t xml:space="preserve">as </w:t>
      </w:r>
      <w:r w:rsidRPr="006F588B">
        <w:rPr>
          <w:rFonts w:ascii="Times New Roman" w:hAnsi="Times New Roman" w:cs="Times New Roman"/>
          <w:b/>
          <w:bCs/>
          <w:sz w:val="20"/>
          <w:szCs w:val="20"/>
          <w:u w:val="single"/>
        </w:rPr>
        <w:t>Prefeituras Municipais</w:t>
      </w:r>
      <w:r w:rsidRPr="00294DA2">
        <w:rPr>
          <w:rFonts w:ascii="Times New Roman" w:hAnsi="Times New Roman" w:cs="Times New Roman"/>
          <w:b/>
          <w:bCs/>
          <w:sz w:val="20"/>
          <w:szCs w:val="20"/>
        </w:rPr>
        <w:t xml:space="preserve"> </w:t>
      </w:r>
      <w:r w:rsidRPr="00294DA2">
        <w:rPr>
          <w:rFonts w:ascii="Times New Roman" w:hAnsi="Times New Roman" w:cs="Times New Roman"/>
          <w:sz w:val="20"/>
          <w:szCs w:val="20"/>
        </w:rPr>
        <w:t xml:space="preserve">que revisem, no prazo de até um ano, a Lei que aprovou o PPA vigente, para declarar a prioridade das ações voltados à primeira infância, conforme dispõe o </w:t>
      </w:r>
      <w:r w:rsidRPr="00294DA2">
        <w:rPr>
          <w:rFonts w:ascii="Times New Roman" w:hAnsi="Times New Roman" w:cs="Times New Roman"/>
          <w:i/>
          <w:iCs/>
          <w:sz w:val="20"/>
          <w:szCs w:val="20"/>
        </w:rPr>
        <w:t xml:space="preserve">caput </w:t>
      </w:r>
      <w:r w:rsidRPr="00294DA2">
        <w:rPr>
          <w:rFonts w:ascii="Times New Roman" w:hAnsi="Times New Roman" w:cs="Times New Roman"/>
          <w:sz w:val="20"/>
          <w:szCs w:val="20"/>
        </w:rPr>
        <w:t xml:space="preserve">do art. 227 da CF. </w:t>
      </w:r>
    </w:p>
    <w:p w:rsidR="00C10272" w:rsidRPr="00294DA2" w:rsidRDefault="00C10272" w:rsidP="00294DA2">
      <w:pPr>
        <w:pStyle w:val="Default"/>
        <w:numPr>
          <w:ilvl w:val="1"/>
          <w:numId w:val="1"/>
        </w:numPr>
        <w:ind w:left="2268"/>
        <w:jc w:val="both"/>
        <w:rPr>
          <w:rFonts w:ascii="Times New Roman" w:hAnsi="Times New Roman" w:cs="Times New Roman"/>
          <w:sz w:val="20"/>
          <w:szCs w:val="20"/>
        </w:rPr>
      </w:pPr>
    </w:p>
    <w:p w:rsidR="009B783E" w:rsidRPr="00294DA2" w:rsidRDefault="00C10272" w:rsidP="00294DA2">
      <w:pPr>
        <w:pStyle w:val="Default"/>
        <w:numPr>
          <w:ilvl w:val="1"/>
          <w:numId w:val="1"/>
        </w:numPr>
        <w:ind w:left="2268"/>
        <w:jc w:val="both"/>
        <w:rPr>
          <w:rFonts w:ascii="Times New Roman" w:hAnsi="Times New Roman" w:cs="Times New Roman"/>
          <w:sz w:val="20"/>
          <w:szCs w:val="20"/>
        </w:rPr>
      </w:pPr>
      <w:r w:rsidRPr="00294DA2">
        <w:rPr>
          <w:rFonts w:ascii="Times New Roman" w:hAnsi="Times New Roman" w:cs="Times New Roman"/>
          <w:sz w:val="20"/>
          <w:szCs w:val="20"/>
        </w:rPr>
        <w:t xml:space="preserve">Além disso, que garanta tal prioridade nos </w:t>
      </w:r>
      <w:proofErr w:type="spellStart"/>
      <w:r w:rsidRPr="00294DA2">
        <w:rPr>
          <w:rFonts w:ascii="Times New Roman" w:hAnsi="Times New Roman" w:cs="Times New Roman"/>
          <w:sz w:val="20"/>
          <w:szCs w:val="20"/>
        </w:rPr>
        <w:t>PPAs</w:t>
      </w:r>
      <w:proofErr w:type="spellEnd"/>
      <w:r w:rsidRPr="00294DA2">
        <w:rPr>
          <w:rFonts w:ascii="Times New Roman" w:hAnsi="Times New Roman" w:cs="Times New Roman"/>
          <w:sz w:val="20"/>
          <w:szCs w:val="20"/>
        </w:rPr>
        <w:t xml:space="preserve"> seguintes.</w:t>
      </w:r>
    </w:p>
    <w:p w:rsidR="00C10272" w:rsidRPr="00294DA2" w:rsidRDefault="00C10272" w:rsidP="00294DA2">
      <w:pPr>
        <w:pStyle w:val="Default"/>
        <w:ind w:left="2268"/>
        <w:jc w:val="both"/>
        <w:rPr>
          <w:rFonts w:ascii="Times New Roman" w:hAnsi="Times New Roman" w:cs="Times New Roman"/>
          <w:sz w:val="20"/>
          <w:szCs w:val="20"/>
        </w:rPr>
      </w:pPr>
    </w:p>
    <w:p w:rsidR="00C10272" w:rsidRPr="00294DA2" w:rsidRDefault="00C10272" w:rsidP="00294DA2">
      <w:pPr>
        <w:pStyle w:val="Default"/>
        <w:numPr>
          <w:ilvl w:val="1"/>
          <w:numId w:val="1"/>
        </w:numPr>
        <w:spacing w:after="267"/>
        <w:ind w:left="2268"/>
        <w:jc w:val="both"/>
        <w:rPr>
          <w:rFonts w:ascii="Times New Roman" w:hAnsi="Times New Roman" w:cs="Times New Roman"/>
          <w:sz w:val="20"/>
          <w:szCs w:val="20"/>
        </w:rPr>
      </w:pPr>
      <w:r w:rsidRPr="00294DA2">
        <w:rPr>
          <w:rFonts w:ascii="Times New Roman" w:hAnsi="Times New Roman" w:cs="Times New Roman"/>
          <w:b/>
          <w:bCs/>
          <w:sz w:val="20"/>
          <w:szCs w:val="20"/>
        </w:rPr>
        <w:t xml:space="preserve">RECOMENDAR </w:t>
      </w:r>
      <w:r w:rsidRPr="00294DA2">
        <w:rPr>
          <w:rFonts w:ascii="Times New Roman" w:hAnsi="Times New Roman" w:cs="Times New Roman"/>
          <w:sz w:val="20"/>
          <w:szCs w:val="20"/>
        </w:rPr>
        <w:t xml:space="preserve">a </w:t>
      </w:r>
      <w:r w:rsidRPr="006F588B">
        <w:rPr>
          <w:rFonts w:ascii="Times New Roman" w:hAnsi="Times New Roman" w:cs="Times New Roman"/>
          <w:b/>
          <w:bCs/>
          <w:sz w:val="20"/>
          <w:szCs w:val="20"/>
          <w:u w:val="single"/>
        </w:rPr>
        <w:t xml:space="preserve">todas </w:t>
      </w:r>
      <w:r w:rsidRPr="006F588B">
        <w:rPr>
          <w:rFonts w:ascii="Times New Roman" w:hAnsi="Times New Roman" w:cs="Times New Roman"/>
          <w:sz w:val="20"/>
          <w:szCs w:val="20"/>
          <w:u w:val="single"/>
        </w:rPr>
        <w:t xml:space="preserve">as </w:t>
      </w:r>
      <w:r w:rsidRPr="006F588B">
        <w:rPr>
          <w:rFonts w:ascii="Times New Roman" w:hAnsi="Times New Roman" w:cs="Times New Roman"/>
          <w:b/>
          <w:bCs/>
          <w:sz w:val="20"/>
          <w:szCs w:val="20"/>
          <w:u w:val="single"/>
        </w:rPr>
        <w:t>Prefeituras Municipais</w:t>
      </w:r>
      <w:r w:rsidRPr="00294DA2">
        <w:rPr>
          <w:rFonts w:ascii="Times New Roman" w:hAnsi="Times New Roman" w:cs="Times New Roman"/>
          <w:b/>
          <w:bCs/>
          <w:sz w:val="20"/>
          <w:szCs w:val="20"/>
        </w:rPr>
        <w:t xml:space="preserve"> </w:t>
      </w:r>
      <w:r w:rsidRPr="00294DA2">
        <w:rPr>
          <w:rFonts w:ascii="Times New Roman" w:hAnsi="Times New Roman" w:cs="Times New Roman"/>
          <w:sz w:val="20"/>
          <w:szCs w:val="20"/>
        </w:rPr>
        <w:t xml:space="preserve">que identifiquem de forma expressa, no PPA 2026-2029 e nos </w:t>
      </w:r>
      <w:proofErr w:type="spellStart"/>
      <w:r w:rsidRPr="00294DA2">
        <w:rPr>
          <w:rFonts w:ascii="Times New Roman" w:hAnsi="Times New Roman" w:cs="Times New Roman"/>
          <w:sz w:val="20"/>
          <w:szCs w:val="20"/>
        </w:rPr>
        <w:t>PPAs</w:t>
      </w:r>
      <w:proofErr w:type="spellEnd"/>
      <w:r w:rsidRPr="00294DA2">
        <w:rPr>
          <w:rFonts w:ascii="Times New Roman" w:hAnsi="Times New Roman" w:cs="Times New Roman"/>
          <w:sz w:val="20"/>
          <w:szCs w:val="20"/>
        </w:rPr>
        <w:t xml:space="preserve"> seguintes, as ações voltadas à primeira infância. Que sejam incluídas nessa identificação também as ações que não são exclusivas, mas que contemplam, em alguma medida, esse público. Além disso, que se definam metas físicas e financeiras, indicadores e responsáveis, em compatibilidade com o PMPI. </w:t>
      </w:r>
    </w:p>
    <w:p w:rsidR="00C10272" w:rsidRPr="00294DA2" w:rsidRDefault="00C10272" w:rsidP="00294DA2">
      <w:pPr>
        <w:pStyle w:val="Default"/>
        <w:ind w:left="2268"/>
        <w:jc w:val="both"/>
        <w:rPr>
          <w:rFonts w:ascii="Times New Roman" w:hAnsi="Times New Roman" w:cs="Times New Roman"/>
          <w:sz w:val="20"/>
          <w:szCs w:val="20"/>
        </w:rPr>
      </w:pPr>
    </w:p>
    <w:p w:rsidR="00C10272" w:rsidRDefault="00C10272" w:rsidP="00294DA2">
      <w:pPr>
        <w:pStyle w:val="Default"/>
        <w:ind w:left="2268"/>
        <w:jc w:val="both"/>
        <w:rPr>
          <w:rFonts w:ascii="Times New Roman" w:hAnsi="Times New Roman" w:cs="Times New Roman"/>
          <w:sz w:val="20"/>
          <w:szCs w:val="20"/>
        </w:rPr>
      </w:pPr>
      <w:r w:rsidRPr="00EB58A1">
        <w:rPr>
          <w:rFonts w:ascii="Times New Roman" w:hAnsi="Times New Roman" w:cs="Times New Roman"/>
          <w:b/>
          <w:sz w:val="20"/>
          <w:szCs w:val="20"/>
        </w:rPr>
        <w:t>RECOMENDAR</w:t>
      </w:r>
      <w:r w:rsidRPr="00294DA2">
        <w:rPr>
          <w:rFonts w:ascii="Times New Roman" w:hAnsi="Times New Roman" w:cs="Times New Roman"/>
          <w:sz w:val="20"/>
          <w:szCs w:val="20"/>
        </w:rPr>
        <w:t xml:space="preserve"> a </w:t>
      </w:r>
      <w:r w:rsidRPr="006F588B">
        <w:rPr>
          <w:rFonts w:ascii="Times New Roman" w:hAnsi="Times New Roman" w:cs="Times New Roman"/>
          <w:b/>
          <w:sz w:val="20"/>
          <w:szCs w:val="20"/>
          <w:u w:val="single"/>
        </w:rPr>
        <w:t>todas as Prefeituras Municipais</w:t>
      </w:r>
      <w:r w:rsidRPr="00294DA2">
        <w:rPr>
          <w:rFonts w:ascii="Times New Roman" w:hAnsi="Times New Roman" w:cs="Times New Roman"/>
          <w:sz w:val="20"/>
          <w:szCs w:val="20"/>
        </w:rPr>
        <w:t xml:space="preserve"> e ao </w:t>
      </w:r>
      <w:r w:rsidRPr="00EB58A1">
        <w:rPr>
          <w:rFonts w:ascii="Times New Roman" w:hAnsi="Times New Roman" w:cs="Times New Roman"/>
          <w:b/>
          <w:sz w:val="20"/>
          <w:szCs w:val="20"/>
        </w:rPr>
        <w:t>Governo do</w:t>
      </w:r>
      <w:r w:rsidR="00294DA2" w:rsidRPr="00EB58A1">
        <w:rPr>
          <w:rFonts w:ascii="Times New Roman" w:hAnsi="Times New Roman" w:cs="Times New Roman"/>
          <w:b/>
          <w:sz w:val="20"/>
          <w:szCs w:val="20"/>
        </w:rPr>
        <w:t xml:space="preserve"> </w:t>
      </w:r>
      <w:r w:rsidRPr="00EB58A1">
        <w:rPr>
          <w:rFonts w:ascii="Times New Roman" w:hAnsi="Times New Roman" w:cs="Times New Roman"/>
          <w:b/>
          <w:sz w:val="20"/>
          <w:szCs w:val="20"/>
        </w:rPr>
        <w:t>Estado</w:t>
      </w:r>
      <w:r w:rsidRPr="00294DA2">
        <w:rPr>
          <w:rFonts w:ascii="Times New Roman" w:hAnsi="Times New Roman" w:cs="Times New Roman"/>
          <w:sz w:val="20"/>
          <w:szCs w:val="20"/>
        </w:rPr>
        <w:t xml:space="preserve"> que</w:t>
      </w:r>
      <w:r w:rsidR="00294DA2">
        <w:rPr>
          <w:rFonts w:ascii="Times New Roman" w:hAnsi="Times New Roman" w:cs="Times New Roman"/>
          <w:sz w:val="20"/>
          <w:szCs w:val="20"/>
        </w:rPr>
        <w:t xml:space="preserve">  </w:t>
      </w:r>
      <w:r w:rsidRPr="00294DA2">
        <w:rPr>
          <w:rFonts w:ascii="Times New Roman" w:hAnsi="Times New Roman" w:cs="Times New Roman"/>
          <w:sz w:val="20"/>
          <w:szCs w:val="20"/>
        </w:rPr>
        <w:t>divulguem, a partir de 2024, em seu portal de transparência,</w:t>
      </w:r>
      <w:r w:rsidR="00294DA2">
        <w:rPr>
          <w:rFonts w:ascii="Times New Roman" w:hAnsi="Times New Roman" w:cs="Times New Roman"/>
          <w:sz w:val="20"/>
          <w:szCs w:val="20"/>
        </w:rPr>
        <w:t xml:space="preserve"> </w:t>
      </w:r>
      <w:r w:rsidRPr="00294DA2">
        <w:rPr>
          <w:rFonts w:ascii="Times New Roman" w:hAnsi="Times New Roman" w:cs="Times New Roman"/>
          <w:sz w:val="20"/>
          <w:szCs w:val="20"/>
        </w:rPr>
        <w:t>Produzido em fase anterior ao julgamento</w:t>
      </w:r>
      <w:r w:rsidR="00294DA2">
        <w:rPr>
          <w:rFonts w:ascii="Times New Roman" w:hAnsi="Times New Roman" w:cs="Times New Roman"/>
          <w:sz w:val="20"/>
          <w:szCs w:val="20"/>
        </w:rPr>
        <w:t xml:space="preserve"> </w:t>
      </w:r>
      <w:r w:rsidRPr="00294DA2">
        <w:rPr>
          <w:rFonts w:ascii="Times New Roman" w:hAnsi="Times New Roman" w:cs="Times New Roman"/>
          <w:sz w:val="20"/>
          <w:szCs w:val="20"/>
        </w:rPr>
        <w:t xml:space="preserve">Assinado digitalmente. Conferência em www.tcees.tc.br </w:t>
      </w:r>
      <w:r w:rsidRPr="00294DA2">
        <w:rPr>
          <w:rFonts w:ascii="Times New Roman" w:hAnsi="Times New Roman" w:cs="Times New Roman"/>
          <w:sz w:val="20"/>
          <w:szCs w:val="20"/>
        </w:rPr>
        <w:lastRenderedPageBreak/>
        <w:t>Identificador: 24E03-C4377-544BDDecisão 0932/2024is/</w:t>
      </w:r>
      <w:r w:rsidR="00294DA2">
        <w:rPr>
          <w:rFonts w:ascii="Times New Roman" w:hAnsi="Times New Roman" w:cs="Times New Roman"/>
          <w:sz w:val="20"/>
          <w:szCs w:val="20"/>
        </w:rPr>
        <w:t xml:space="preserve"> </w:t>
      </w:r>
      <w:r w:rsidRPr="00294DA2">
        <w:rPr>
          <w:rFonts w:ascii="Times New Roman" w:hAnsi="Times New Roman" w:cs="Times New Roman"/>
          <w:sz w:val="20"/>
          <w:szCs w:val="20"/>
        </w:rPr>
        <w:t>relatório anual contendo a soma dos recursos aplicados no conjunto dos</w:t>
      </w:r>
      <w:r w:rsidR="00294DA2">
        <w:rPr>
          <w:rFonts w:ascii="Times New Roman" w:hAnsi="Times New Roman" w:cs="Times New Roman"/>
          <w:sz w:val="20"/>
          <w:szCs w:val="20"/>
        </w:rPr>
        <w:t xml:space="preserve"> </w:t>
      </w:r>
      <w:r w:rsidRPr="00294DA2">
        <w:rPr>
          <w:rFonts w:ascii="Times New Roman" w:hAnsi="Times New Roman" w:cs="Times New Roman"/>
          <w:sz w:val="20"/>
          <w:szCs w:val="20"/>
        </w:rPr>
        <w:t>programas e serviços para a primeira infância e o percentual que os valores</w:t>
      </w:r>
      <w:r w:rsidR="00294DA2">
        <w:rPr>
          <w:rFonts w:ascii="Times New Roman" w:hAnsi="Times New Roman" w:cs="Times New Roman"/>
          <w:sz w:val="20"/>
          <w:szCs w:val="20"/>
        </w:rPr>
        <w:t xml:space="preserve"> </w:t>
      </w:r>
      <w:r w:rsidRPr="00294DA2">
        <w:rPr>
          <w:rFonts w:ascii="Times New Roman" w:hAnsi="Times New Roman" w:cs="Times New Roman"/>
          <w:sz w:val="20"/>
          <w:szCs w:val="20"/>
        </w:rPr>
        <w:t>representam em relação ao respectivo orçamento realizado.</w:t>
      </w:r>
      <w:r w:rsidR="00294DA2">
        <w:rPr>
          <w:rFonts w:ascii="Times New Roman" w:hAnsi="Times New Roman" w:cs="Times New Roman"/>
          <w:sz w:val="20"/>
          <w:szCs w:val="20"/>
        </w:rPr>
        <w:t xml:space="preserve"> </w:t>
      </w:r>
      <w:r w:rsidRPr="00294DA2">
        <w:rPr>
          <w:rFonts w:ascii="Times New Roman" w:hAnsi="Times New Roman" w:cs="Times New Roman"/>
          <w:sz w:val="20"/>
          <w:szCs w:val="20"/>
        </w:rPr>
        <w:t>Adicionalmente, divulguem anexo detalhado, contendo, para cada ação</w:t>
      </w:r>
      <w:r w:rsidR="00294DA2">
        <w:rPr>
          <w:rFonts w:ascii="Times New Roman" w:hAnsi="Times New Roman" w:cs="Times New Roman"/>
          <w:sz w:val="20"/>
          <w:szCs w:val="20"/>
        </w:rPr>
        <w:t xml:space="preserve"> </w:t>
      </w:r>
      <w:r w:rsidRPr="00294DA2">
        <w:rPr>
          <w:rFonts w:ascii="Times New Roman" w:hAnsi="Times New Roman" w:cs="Times New Roman"/>
          <w:sz w:val="20"/>
          <w:szCs w:val="20"/>
        </w:rPr>
        <w:t xml:space="preserve">orçamentária, além do valor total empenhado, liquidado e pago, o </w:t>
      </w:r>
      <w:r w:rsidR="00294DA2">
        <w:rPr>
          <w:rFonts w:ascii="Times New Roman" w:hAnsi="Times New Roman" w:cs="Times New Roman"/>
          <w:sz w:val="20"/>
          <w:szCs w:val="20"/>
        </w:rPr>
        <w:t xml:space="preserve">percentual </w:t>
      </w:r>
      <w:r w:rsidRPr="00294DA2">
        <w:rPr>
          <w:rFonts w:ascii="Times New Roman" w:hAnsi="Times New Roman" w:cs="Times New Roman"/>
          <w:sz w:val="20"/>
          <w:szCs w:val="20"/>
        </w:rPr>
        <w:t>aplicado com a primeira infância.</w:t>
      </w:r>
    </w:p>
    <w:p w:rsidR="00EB58A1" w:rsidRPr="00294DA2" w:rsidRDefault="00EB58A1" w:rsidP="00294DA2">
      <w:pPr>
        <w:pStyle w:val="Default"/>
        <w:ind w:left="2268"/>
        <w:jc w:val="both"/>
        <w:rPr>
          <w:rFonts w:ascii="Times New Roman" w:hAnsi="Times New Roman" w:cs="Times New Roman"/>
          <w:sz w:val="20"/>
          <w:szCs w:val="20"/>
        </w:rPr>
      </w:pPr>
    </w:p>
    <w:p w:rsidR="00EA15E8" w:rsidRPr="00294DA2" w:rsidRDefault="00EA15E8" w:rsidP="00294DA2">
      <w:pPr>
        <w:ind w:left="2268" w:right="52"/>
        <w:rPr>
          <w:sz w:val="20"/>
          <w:szCs w:val="20"/>
        </w:rPr>
      </w:pPr>
    </w:p>
    <w:p w:rsidR="00934316" w:rsidRPr="00934316" w:rsidRDefault="009918A4" w:rsidP="00114B6D">
      <w:pPr>
        <w:spacing w:line="359" w:lineRule="auto"/>
        <w:ind w:left="0" w:right="-1" w:firstLine="0"/>
        <w:rPr>
          <w:b/>
          <w:sz w:val="24"/>
          <w:szCs w:val="24"/>
          <w:u w:val="single" w:color="000000"/>
        </w:rPr>
      </w:pPr>
      <w:r w:rsidRPr="006218B1">
        <w:rPr>
          <w:sz w:val="24"/>
          <w:szCs w:val="24"/>
        </w:rPr>
        <w:t xml:space="preserve">Por fim, diante  </w:t>
      </w:r>
      <w:r w:rsidR="00825085" w:rsidRPr="006218B1">
        <w:rPr>
          <w:sz w:val="24"/>
          <w:szCs w:val="24"/>
        </w:rPr>
        <w:t>d</w:t>
      </w:r>
      <w:r w:rsidRPr="006218B1">
        <w:rPr>
          <w:sz w:val="24"/>
          <w:szCs w:val="24"/>
        </w:rPr>
        <w:t xml:space="preserve">as considerações apresentadas, damos origem a esse Ato Recomendatório, o qual visa </w:t>
      </w:r>
      <w:r w:rsidRPr="006218B1">
        <w:rPr>
          <w:b/>
          <w:sz w:val="24"/>
          <w:szCs w:val="24"/>
          <w:u w:val="single" w:color="000000"/>
        </w:rPr>
        <w:t>recomendar o cumprimento integral</w:t>
      </w:r>
      <w:r w:rsidR="00825085" w:rsidRPr="006218B1">
        <w:rPr>
          <w:b/>
          <w:sz w:val="24"/>
          <w:szCs w:val="24"/>
          <w:u w:val="single" w:color="000000"/>
        </w:rPr>
        <w:t xml:space="preserve"> das determinações d</w:t>
      </w:r>
      <w:r w:rsidR="009B783E" w:rsidRPr="006218B1">
        <w:rPr>
          <w:b/>
          <w:sz w:val="24"/>
          <w:szCs w:val="24"/>
          <w:u w:val="single" w:color="000000"/>
        </w:rPr>
        <w:t>a Decisão 00932/2024-3</w:t>
      </w:r>
      <w:r w:rsidR="00B625B6">
        <w:rPr>
          <w:b/>
          <w:sz w:val="24"/>
          <w:szCs w:val="24"/>
          <w:u w:val="single" w:color="000000"/>
        </w:rPr>
        <w:t xml:space="preserve"> e Acordão 00570/2024-8, Processo04002/2023-2</w:t>
      </w:r>
      <w:r w:rsidR="009B783E" w:rsidRPr="006218B1">
        <w:rPr>
          <w:b/>
          <w:sz w:val="24"/>
          <w:szCs w:val="24"/>
          <w:u w:val="single" w:color="000000"/>
        </w:rPr>
        <w:t xml:space="preserve"> do Tribunal de Contas do Espírito Santo.</w:t>
      </w:r>
      <w:r w:rsidR="00934316">
        <w:rPr>
          <w:sz w:val="24"/>
          <w:szCs w:val="24"/>
        </w:rPr>
        <w:t xml:space="preserve"> Ressaltamos ainda que por se tratar de ano de elaboração do PPA, que tal  projeto seja uma </w:t>
      </w:r>
      <w:r w:rsidR="00DA4878">
        <w:rPr>
          <w:sz w:val="24"/>
          <w:szCs w:val="24"/>
        </w:rPr>
        <w:t>das prioridades</w:t>
      </w:r>
      <w:r w:rsidR="00934316">
        <w:rPr>
          <w:sz w:val="24"/>
          <w:szCs w:val="24"/>
        </w:rPr>
        <w:t xml:space="preserve"> de governo para os próximos exercícios. </w:t>
      </w:r>
    </w:p>
    <w:p w:rsidR="00EA15E8" w:rsidRPr="006218B1" w:rsidRDefault="009918A4">
      <w:pPr>
        <w:spacing w:after="124" w:line="259" w:lineRule="auto"/>
        <w:ind w:left="0" w:right="0" w:firstLine="0"/>
        <w:jc w:val="left"/>
        <w:rPr>
          <w:sz w:val="24"/>
          <w:szCs w:val="24"/>
        </w:rPr>
      </w:pPr>
      <w:r w:rsidRPr="006218B1">
        <w:rPr>
          <w:sz w:val="24"/>
          <w:szCs w:val="24"/>
        </w:rPr>
        <w:t xml:space="preserve"> </w:t>
      </w:r>
    </w:p>
    <w:p w:rsidR="00EA15E8" w:rsidRDefault="009918A4">
      <w:pPr>
        <w:ind w:left="-5" w:right="52"/>
        <w:rPr>
          <w:sz w:val="24"/>
          <w:szCs w:val="24"/>
        </w:rPr>
      </w:pPr>
      <w:r w:rsidRPr="006218B1">
        <w:rPr>
          <w:sz w:val="24"/>
          <w:szCs w:val="24"/>
        </w:rPr>
        <w:t xml:space="preserve"> Sendo só para o momento, na certeza da adoção das providências cabíveis, renovamos nossos votos de estima e consideração. </w:t>
      </w:r>
    </w:p>
    <w:p w:rsidR="006218B1" w:rsidRDefault="006218B1">
      <w:pPr>
        <w:ind w:left="-5" w:right="52"/>
        <w:rPr>
          <w:sz w:val="24"/>
          <w:szCs w:val="24"/>
        </w:rPr>
      </w:pPr>
    </w:p>
    <w:p w:rsidR="006218B1" w:rsidRDefault="006218B1">
      <w:pPr>
        <w:ind w:left="-5" w:right="52"/>
        <w:rPr>
          <w:sz w:val="24"/>
          <w:szCs w:val="24"/>
        </w:rPr>
      </w:pPr>
    </w:p>
    <w:p w:rsidR="006218B1" w:rsidRDefault="006218B1">
      <w:pPr>
        <w:ind w:left="-5" w:right="52"/>
        <w:rPr>
          <w:sz w:val="24"/>
          <w:szCs w:val="24"/>
        </w:rPr>
      </w:pPr>
    </w:p>
    <w:p w:rsidR="006218B1" w:rsidRDefault="006218B1">
      <w:pPr>
        <w:ind w:left="-5" w:right="52"/>
        <w:rPr>
          <w:sz w:val="24"/>
          <w:szCs w:val="24"/>
        </w:rPr>
      </w:pPr>
    </w:p>
    <w:p w:rsidR="006218B1" w:rsidRDefault="006218B1">
      <w:pPr>
        <w:ind w:left="-5" w:right="52"/>
        <w:rPr>
          <w:sz w:val="24"/>
          <w:szCs w:val="24"/>
        </w:rPr>
      </w:pPr>
    </w:p>
    <w:p w:rsidR="006218B1" w:rsidRPr="006218B1" w:rsidRDefault="006218B1">
      <w:pPr>
        <w:ind w:left="-5" w:right="52"/>
        <w:rPr>
          <w:sz w:val="24"/>
          <w:szCs w:val="24"/>
        </w:rPr>
      </w:pPr>
    </w:p>
    <w:p w:rsidR="00EA15E8" w:rsidRPr="006218B1" w:rsidRDefault="009918A4">
      <w:pPr>
        <w:spacing w:after="112" w:line="259" w:lineRule="auto"/>
        <w:ind w:left="4989" w:right="0"/>
        <w:jc w:val="left"/>
        <w:rPr>
          <w:sz w:val="24"/>
          <w:szCs w:val="24"/>
        </w:rPr>
      </w:pPr>
      <w:r w:rsidRPr="006218B1">
        <w:rPr>
          <w:sz w:val="24"/>
          <w:szCs w:val="24"/>
        </w:rPr>
        <w:t xml:space="preserve">Ecoporanga/ES, </w:t>
      </w:r>
      <w:r w:rsidR="00934316">
        <w:rPr>
          <w:sz w:val="24"/>
          <w:szCs w:val="24"/>
        </w:rPr>
        <w:t>13</w:t>
      </w:r>
      <w:r w:rsidRPr="006218B1">
        <w:rPr>
          <w:sz w:val="24"/>
          <w:szCs w:val="24"/>
        </w:rPr>
        <w:t xml:space="preserve"> de </w:t>
      </w:r>
      <w:r w:rsidR="007C7C70">
        <w:rPr>
          <w:sz w:val="24"/>
          <w:szCs w:val="24"/>
        </w:rPr>
        <w:t>maio</w:t>
      </w:r>
      <w:r w:rsidRPr="006218B1">
        <w:rPr>
          <w:sz w:val="24"/>
          <w:szCs w:val="24"/>
        </w:rPr>
        <w:t xml:space="preserve"> de 202</w:t>
      </w:r>
      <w:r w:rsidR="007C7C70">
        <w:rPr>
          <w:sz w:val="24"/>
          <w:szCs w:val="24"/>
        </w:rPr>
        <w:t>5</w:t>
      </w:r>
      <w:r w:rsidRPr="006218B1">
        <w:rPr>
          <w:sz w:val="24"/>
          <w:szCs w:val="24"/>
        </w:rPr>
        <w:t xml:space="preserve">. </w:t>
      </w:r>
    </w:p>
    <w:p w:rsidR="00EA15E8" w:rsidRPr="006218B1" w:rsidRDefault="009918A4">
      <w:pPr>
        <w:spacing w:line="259" w:lineRule="auto"/>
        <w:ind w:left="0" w:right="0" w:firstLine="0"/>
        <w:jc w:val="left"/>
        <w:rPr>
          <w:sz w:val="24"/>
          <w:szCs w:val="24"/>
        </w:rPr>
      </w:pPr>
      <w:r w:rsidRPr="006218B1">
        <w:rPr>
          <w:sz w:val="24"/>
          <w:szCs w:val="24"/>
        </w:rPr>
        <w:t xml:space="preserve"> </w:t>
      </w:r>
    </w:p>
    <w:p w:rsidR="00EA15E8" w:rsidRPr="006218B1" w:rsidRDefault="009918A4">
      <w:pPr>
        <w:spacing w:line="259" w:lineRule="auto"/>
        <w:ind w:left="-5" w:right="0"/>
        <w:jc w:val="left"/>
        <w:rPr>
          <w:sz w:val="24"/>
          <w:szCs w:val="24"/>
        </w:rPr>
      </w:pPr>
      <w:r w:rsidRPr="006218B1">
        <w:rPr>
          <w:sz w:val="24"/>
          <w:szCs w:val="24"/>
        </w:rPr>
        <w:t xml:space="preserve">Atenciosamente, </w:t>
      </w:r>
    </w:p>
    <w:p w:rsidR="00EA15E8" w:rsidRDefault="00EA15E8" w:rsidP="006218B1">
      <w:pPr>
        <w:spacing w:after="1" w:line="259" w:lineRule="auto"/>
        <w:ind w:left="0" w:right="0" w:firstLine="0"/>
        <w:jc w:val="left"/>
        <w:rPr>
          <w:sz w:val="24"/>
          <w:szCs w:val="24"/>
        </w:rPr>
      </w:pPr>
    </w:p>
    <w:p w:rsidR="006218B1" w:rsidRDefault="006218B1" w:rsidP="006218B1">
      <w:pPr>
        <w:spacing w:after="1" w:line="259" w:lineRule="auto"/>
        <w:ind w:left="0" w:right="0" w:firstLine="0"/>
        <w:jc w:val="left"/>
        <w:rPr>
          <w:sz w:val="24"/>
          <w:szCs w:val="24"/>
        </w:rPr>
      </w:pPr>
    </w:p>
    <w:p w:rsidR="006218B1" w:rsidRDefault="006218B1" w:rsidP="006218B1">
      <w:pPr>
        <w:spacing w:after="1" w:line="259" w:lineRule="auto"/>
        <w:ind w:left="0" w:right="0" w:firstLine="0"/>
        <w:jc w:val="left"/>
        <w:rPr>
          <w:sz w:val="24"/>
          <w:szCs w:val="24"/>
        </w:rPr>
      </w:pPr>
    </w:p>
    <w:p w:rsidR="006218B1" w:rsidRDefault="006218B1" w:rsidP="006218B1">
      <w:pPr>
        <w:spacing w:after="1" w:line="259" w:lineRule="auto"/>
        <w:ind w:left="0" w:right="0" w:firstLine="0"/>
        <w:jc w:val="left"/>
        <w:rPr>
          <w:sz w:val="24"/>
          <w:szCs w:val="24"/>
        </w:rPr>
      </w:pPr>
    </w:p>
    <w:p w:rsidR="006218B1" w:rsidRDefault="006218B1" w:rsidP="006218B1">
      <w:pPr>
        <w:spacing w:after="1" w:line="259" w:lineRule="auto"/>
        <w:ind w:left="0" w:right="0" w:firstLine="0"/>
        <w:jc w:val="left"/>
        <w:rPr>
          <w:sz w:val="24"/>
          <w:szCs w:val="24"/>
        </w:rPr>
      </w:pPr>
    </w:p>
    <w:p w:rsidR="006218B1" w:rsidRDefault="006218B1" w:rsidP="006218B1">
      <w:pPr>
        <w:spacing w:after="1" w:line="259" w:lineRule="auto"/>
        <w:ind w:left="0" w:right="0" w:firstLine="0"/>
        <w:jc w:val="left"/>
        <w:rPr>
          <w:sz w:val="24"/>
          <w:szCs w:val="24"/>
        </w:rPr>
      </w:pPr>
    </w:p>
    <w:p w:rsidR="006218B1" w:rsidRDefault="006218B1" w:rsidP="006218B1">
      <w:pPr>
        <w:spacing w:after="1" w:line="259" w:lineRule="auto"/>
        <w:ind w:left="0" w:right="0" w:firstLine="0"/>
        <w:jc w:val="left"/>
        <w:rPr>
          <w:sz w:val="24"/>
          <w:szCs w:val="24"/>
        </w:rPr>
      </w:pPr>
    </w:p>
    <w:p w:rsidR="006218B1" w:rsidRDefault="006218B1" w:rsidP="006218B1">
      <w:pPr>
        <w:spacing w:after="1" w:line="259" w:lineRule="auto"/>
        <w:ind w:left="0" w:right="0" w:firstLine="0"/>
        <w:jc w:val="left"/>
        <w:rPr>
          <w:sz w:val="24"/>
          <w:szCs w:val="24"/>
        </w:rPr>
      </w:pPr>
    </w:p>
    <w:p w:rsidR="006218B1" w:rsidRDefault="006218B1" w:rsidP="006218B1">
      <w:pPr>
        <w:spacing w:after="1" w:line="259" w:lineRule="auto"/>
        <w:ind w:left="0" w:right="0" w:firstLine="0"/>
        <w:jc w:val="left"/>
        <w:rPr>
          <w:sz w:val="24"/>
          <w:szCs w:val="24"/>
        </w:rPr>
      </w:pPr>
    </w:p>
    <w:p w:rsidR="00A45B5F" w:rsidRDefault="00A45B5F" w:rsidP="006218B1">
      <w:pPr>
        <w:spacing w:after="1" w:line="259" w:lineRule="auto"/>
        <w:ind w:left="0" w:right="0" w:firstLine="0"/>
        <w:jc w:val="left"/>
        <w:rPr>
          <w:sz w:val="24"/>
          <w:szCs w:val="24"/>
        </w:rPr>
      </w:pPr>
    </w:p>
    <w:p w:rsidR="00A45B5F" w:rsidRDefault="00A45B5F" w:rsidP="006218B1">
      <w:pPr>
        <w:spacing w:after="1" w:line="259" w:lineRule="auto"/>
        <w:ind w:left="0" w:right="0" w:firstLine="0"/>
        <w:jc w:val="left"/>
        <w:rPr>
          <w:sz w:val="24"/>
          <w:szCs w:val="24"/>
        </w:rPr>
      </w:pPr>
    </w:p>
    <w:p w:rsidR="00A45B5F" w:rsidRDefault="00A45B5F" w:rsidP="006218B1">
      <w:pPr>
        <w:spacing w:after="1" w:line="259" w:lineRule="auto"/>
        <w:ind w:left="0" w:right="0" w:firstLine="0"/>
        <w:jc w:val="left"/>
        <w:rPr>
          <w:sz w:val="24"/>
          <w:szCs w:val="24"/>
        </w:rPr>
      </w:pPr>
    </w:p>
    <w:p w:rsidR="006218B1" w:rsidRPr="006218B1" w:rsidRDefault="006218B1" w:rsidP="006218B1">
      <w:pPr>
        <w:spacing w:after="1" w:line="259" w:lineRule="auto"/>
        <w:ind w:left="0" w:right="0" w:firstLine="0"/>
        <w:jc w:val="left"/>
        <w:rPr>
          <w:sz w:val="24"/>
          <w:szCs w:val="24"/>
        </w:rPr>
      </w:pPr>
    </w:p>
    <w:p w:rsidR="00EA15E8" w:rsidRDefault="006218B1" w:rsidP="006218B1">
      <w:pPr>
        <w:spacing w:line="259" w:lineRule="auto"/>
        <w:ind w:left="1560" w:right="0"/>
        <w:jc w:val="left"/>
      </w:pPr>
      <w:r>
        <w:rPr>
          <w:b/>
          <w:sz w:val="24"/>
        </w:rPr>
        <w:t>REJANE CRISTINA RODRIGUES PINHEIRO ALMEIDA</w:t>
      </w:r>
    </w:p>
    <w:p w:rsidR="006218B1" w:rsidRDefault="009918A4" w:rsidP="00114B6D">
      <w:pPr>
        <w:spacing w:after="67" w:line="259" w:lineRule="auto"/>
        <w:ind w:left="2470" w:right="0"/>
        <w:jc w:val="left"/>
        <w:rPr>
          <w:b/>
          <w:sz w:val="24"/>
        </w:rPr>
      </w:pPr>
      <w:r>
        <w:rPr>
          <w:b/>
          <w:sz w:val="24"/>
        </w:rPr>
        <w:t>Controladora Geral do Município</w:t>
      </w:r>
      <w:r>
        <w:rPr>
          <w:b/>
          <w:sz w:val="24"/>
          <w:vertAlign w:val="superscript"/>
        </w:rPr>
        <w:t>1</w:t>
      </w:r>
    </w:p>
    <w:p w:rsidR="00114B6D" w:rsidRPr="00F538A5" w:rsidRDefault="006218B1" w:rsidP="00F538A5">
      <w:pPr>
        <w:tabs>
          <w:tab w:val="left" w:pos="2830"/>
        </w:tabs>
        <w:rPr>
          <w:sz w:val="24"/>
        </w:rPr>
      </w:pPr>
      <w:r>
        <w:rPr>
          <w:sz w:val="24"/>
        </w:rPr>
        <w:tab/>
      </w:r>
      <w:r>
        <w:rPr>
          <w:sz w:val="24"/>
        </w:rPr>
        <w:tab/>
      </w:r>
    </w:p>
    <w:sectPr w:rsidR="00114B6D" w:rsidRPr="00F538A5" w:rsidSect="00114B6D">
      <w:headerReference w:type="default" r:id="rId7"/>
      <w:footerReference w:type="default" r:id="rId8"/>
      <w:pgSz w:w="11906" w:h="16838"/>
      <w:pgMar w:top="1701" w:right="1134" w:bottom="1134" w:left="1701" w:header="153"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F6C" w:rsidRDefault="005C3F6C" w:rsidP="00BA0587">
      <w:pPr>
        <w:spacing w:line="240" w:lineRule="auto"/>
      </w:pPr>
      <w:r>
        <w:separator/>
      </w:r>
    </w:p>
  </w:endnote>
  <w:endnote w:type="continuationSeparator" w:id="0">
    <w:p w:rsidR="005C3F6C" w:rsidRDefault="005C3F6C" w:rsidP="00BA0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7438"/>
      <w:gridCol w:w="1633"/>
    </w:tblGrid>
    <w:tr w:rsidR="009173AE" w:rsidRPr="009173AE" w:rsidTr="006218B1">
      <w:tc>
        <w:tcPr>
          <w:tcW w:w="4100" w:type="pct"/>
          <w:shd w:val="clear" w:color="auto" w:fill="auto"/>
        </w:tcPr>
        <w:p w:rsidR="006218B1" w:rsidRPr="006218B1" w:rsidRDefault="006218B1" w:rsidP="006218B1">
          <w:pPr>
            <w:spacing w:line="259" w:lineRule="auto"/>
            <w:ind w:left="0" w:right="0" w:firstLine="0"/>
            <w:jc w:val="center"/>
            <w:rPr>
              <w:sz w:val="2"/>
              <w:szCs w:val="2"/>
            </w:rPr>
          </w:pPr>
        </w:p>
        <w:p w:rsidR="006218B1" w:rsidRDefault="006218B1" w:rsidP="006218B1">
          <w:pPr>
            <w:spacing w:after="172" w:line="259" w:lineRule="auto"/>
            <w:ind w:left="0" w:right="0" w:firstLine="0"/>
            <w:jc w:val="left"/>
          </w:pPr>
          <w:r>
            <w:rPr>
              <w:sz w:val="20"/>
              <w:vertAlign w:val="superscript"/>
            </w:rPr>
            <w:t>1</w:t>
          </w:r>
          <w:r>
            <w:rPr>
              <w:sz w:val="20"/>
            </w:rPr>
            <w:t xml:space="preserve"> </w:t>
          </w:r>
          <w:r>
            <w:rPr>
              <w:b/>
              <w:sz w:val="20"/>
            </w:rPr>
            <w:t>Decreto de nomeação</w:t>
          </w:r>
          <w:r>
            <w:rPr>
              <w:sz w:val="20"/>
            </w:rPr>
            <w:t xml:space="preserve"> nº. </w:t>
          </w:r>
          <w:r w:rsidR="00114B6D">
            <w:rPr>
              <w:sz w:val="20"/>
            </w:rPr>
            <w:t>9</w:t>
          </w:r>
          <w:r>
            <w:rPr>
              <w:sz w:val="20"/>
            </w:rPr>
            <w:t>.</w:t>
          </w:r>
          <w:r w:rsidR="007C7C70">
            <w:rPr>
              <w:sz w:val="20"/>
            </w:rPr>
            <w:t>913</w:t>
          </w:r>
          <w:r>
            <w:rPr>
              <w:sz w:val="20"/>
            </w:rPr>
            <w:t>/202</w:t>
          </w:r>
          <w:r w:rsidR="007C7C70">
            <w:rPr>
              <w:sz w:val="20"/>
            </w:rPr>
            <w:t>5</w:t>
          </w:r>
          <w:r>
            <w:rPr>
              <w:sz w:val="20"/>
            </w:rPr>
            <w:t xml:space="preserve"> </w:t>
          </w:r>
        </w:p>
        <w:p w:rsidR="009173AE" w:rsidRPr="009173AE" w:rsidRDefault="009173AE" w:rsidP="009173AE">
          <w:pPr>
            <w:tabs>
              <w:tab w:val="center" w:pos="4252"/>
              <w:tab w:val="right" w:pos="8504"/>
            </w:tabs>
            <w:spacing w:line="240" w:lineRule="auto"/>
            <w:ind w:left="0" w:right="0" w:firstLine="0"/>
            <w:jc w:val="center"/>
            <w:rPr>
              <w:rFonts w:ascii="Verdana" w:eastAsia="Calibri" w:hAnsi="Verdana"/>
              <w:i/>
              <w:color w:val="auto"/>
              <w:sz w:val="16"/>
              <w:szCs w:val="16"/>
              <w:lang w:eastAsia="en-US"/>
            </w:rPr>
          </w:pPr>
          <w:r w:rsidRPr="009173AE">
            <w:rPr>
              <w:rFonts w:ascii="Verdana" w:eastAsia="Calibri" w:hAnsi="Verdana"/>
              <w:i/>
              <w:color w:val="auto"/>
              <w:sz w:val="16"/>
              <w:szCs w:val="16"/>
              <w:lang w:eastAsia="en-US"/>
            </w:rPr>
            <w:t xml:space="preserve">Rua </w:t>
          </w:r>
          <w:proofErr w:type="spellStart"/>
          <w:r w:rsidRPr="009173AE">
            <w:rPr>
              <w:rFonts w:ascii="Verdana" w:eastAsia="Calibri" w:hAnsi="Verdana"/>
              <w:i/>
              <w:color w:val="auto"/>
              <w:sz w:val="16"/>
              <w:szCs w:val="16"/>
              <w:lang w:eastAsia="en-US"/>
            </w:rPr>
            <w:t>Suelon</w:t>
          </w:r>
          <w:proofErr w:type="spellEnd"/>
          <w:r w:rsidRPr="009173AE">
            <w:rPr>
              <w:rFonts w:ascii="Verdana" w:eastAsia="Calibri" w:hAnsi="Verdana"/>
              <w:i/>
              <w:color w:val="auto"/>
              <w:sz w:val="16"/>
              <w:szCs w:val="16"/>
              <w:lang w:eastAsia="en-US"/>
            </w:rPr>
            <w:t xml:space="preserve"> Dias Mendonça, nº. 20, Centro, Ecoporanga/ES – CEP: 29.850-000 </w:t>
          </w:r>
        </w:p>
        <w:p w:rsidR="009173AE" w:rsidRPr="009173AE" w:rsidRDefault="009173AE" w:rsidP="009173AE">
          <w:pPr>
            <w:tabs>
              <w:tab w:val="center" w:pos="4252"/>
              <w:tab w:val="right" w:pos="8504"/>
            </w:tabs>
            <w:spacing w:line="240" w:lineRule="auto"/>
            <w:ind w:left="0" w:right="0" w:firstLine="0"/>
            <w:jc w:val="center"/>
            <w:rPr>
              <w:rFonts w:ascii="Verdana" w:eastAsia="Calibri" w:hAnsi="Verdana"/>
              <w:i/>
              <w:color w:val="auto"/>
              <w:sz w:val="16"/>
              <w:szCs w:val="16"/>
              <w:lang w:eastAsia="en-US"/>
            </w:rPr>
          </w:pPr>
          <w:r w:rsidRPr="009173AE">
            <w:rPr>
              <w:rFonts w:ascii="Verdana" w:eastAsia="Calibri" w:hAnsi="Verdana"/>
              <w:i/>
              <w:color w:val="auto"/>
              <w:sz w:val="16"/>
              <w:szCs w:val="16"/>
              <w:lang w:eastAsia="en-US"/>
            </w:rPr>
            <w:t xml:space="preserve">E-mail: </w:t>
          </w:r>
          <w:r>
            <w:rPr>
              <w:rFonts w:ascii="Verdana" w:eastAsia="Calibri" w:hAnsi="Verdana"/>
              <w:i/>
              <w:color w:val="auto"/>
              <w:sz w:val="16"/>
              <w:szCs w:val="16"/>
              <w:lang w:eastAsia="en-US"/>
            </w:rPr>
            <w:t>controladoria</w:t>
          </w:r>
          <w:r w:rsidRPr="009173AE">
            <w:rPr>
              <w:rFonts w:ascii="Verdana" w:eastAsia="Calibri" w:hAnsi="Verdana"/>
              <w:i/>
              <w:color w:val="auto"/>
              <w:sz w:val="16"/>
              <w:szCs w:val="16"/>
              <w:lang w:eastAsia="en-US"/>
            </w:rPr>
            <w:t>@ecoporanga.es.gov.br</w:t>
          </w:r>
        </w:p>
      </w:tc>
      <w:tc>
        <w:tcPr>
          <w:tcW w:w="900" w:type="pct"/>
          <w:shd w:val="clear" w:color="auto" w:fill="auto"/>
          <w:vAlign w:val="center"/>
        </w:tcPr>
        <w:p w:rsidR="009173AE" w:rsidRPr="009173AE" w:rsidRDefault="009173AE" w:rsidP="009173AE">
          <w:pPr>
            <w:tabs>
              <w:tab w:val="center" w:pos="4252"/>
              <w:tab w:val="right" w:pos="8504"/>
            </w:tabs>
            <w:spacing w:line="240" w:lineRule="auto"/>
            <w:ind w:left="0" w:right="0" w:firstLine="0"/>
            <w:jc w:val="left"/>
            <w:rPr>
              <w:rFonts w:ascii="Century Gothic" w:eastAsia="Calibri" w:hAnsi="Century Gothic" w:cs="Aharoni"/>
              <w:sz w:val="16"/>
              <w:szCs w:val="16"/>
              <w:lang w:eastAsia="en-US"/>
            </w:rPr>
          </w:pPr>
          <w:r w:rsidRPr="009173AE">
            <w:rPr>
              <w:rFonts w:ascii="Century Gothic" w:eastAsia="Calibri" w:hAnsi="Century Gothic" w:cs="Aharoni"/>
              <w:sz w:val="16"/>
              <w:szCs w:val="16"/>
              <w:lang w:eastAsia="en-US"/>
            </w:rPr>
            <w:t xml:space="preserve">Página </w:t>
          </w:r>
          <w:r w:rsidRPr="009173AE">
            <w:rPr>
              <w:rFonts w:ascii="Century Gothic" w:eastAsia="Calibri" w:hAnsi="Century Gothic" w:cs="Aharoni"/>
              <w:b/>
              <w:bCs/>
              <w:sz w:val="16"/>
              <w:szCs w:val="16"/>
              <w:lang w:eastAsia="en-US"/>
            </w:rPr>
            <w:fldChar w:fldCharType="begin"/>
          </w:r>
          <w:r w:rsidRPr="009173AE">
            <w:rPr>
              <w:rFonts w:ascii="Century Gothic" w:eastAsia="Calibri" w:hAnsi="Century Gothic" w:cs="Aharoni"/>
              <w:b/>
              <w:bCs/>
              <w:sz w:val="16"/>
              <w:szCs w:val="16"/>
              <w:lang w:eastAsia="en-US"/>
            </w:rPr>
            <w:instrText>PAGE  \* Arabic  \* MERGEFORMAT</w:instrText>
          </w:r>
          <w:r w:rsidRPr="009173AE">
            <w:rPr>
              <w:rFonts w:ascii="Century Gothic" w:eastAsia="Calibri" w:hAnsi="Century Gothic" w:cs="Aharoni"/>
              <w:b/>
              <w:bCs/>
              <w:sz w:val="16"/>
              <w:szCs w:val="16"/>
              <w:lang w:eastAsia="en-US"/>
            </w:rPr>
            <w:fldChar w:fldCharType="separate"/>
          </w:r>
          <w:r>
            <w:rPr>
              <w:rFonts w:ascii="Century Gothic" w:eastAsia="Calibri" w:hAnsi="Century Gothic" w:cs="Aharoni"/>
              <w:b/>
              <w:bCs/>
              <w:noProof/>
              <w:sz w:val="16"/>
              <w:szCs w:val="16"/>
              <w:lang w:eastAsia="en-US"/>
            </w:rPr>
            <w:t>3</w:t>
          </w:r>
          <w:r w:rsidRPr="009173AE">
            <w:rPr>
              <w:rFonts w:ascii="Century Gothic" w:eastAsia="Calibri" w:hAnsi="Century Gothic" w:cs="Aharoni"/>
              <w:b/>
              <w:bCs/>
              <w:sz w:val="16"/>
              <w:szCs w:val="16"/>
              <w:lang w:eastAsia="en-US"/>
            </w:rPr>
            <w:fldChar w:fldCharType="end"/>
          </w:r>
          <w:r w:rsidRPr="009173AE">
            <w:rPr>
              <w:rFonts w:ascii="Century Gothic" w:eastAsia="Calibri" w:hAnsi="Century Gothic" w:cs="Aharoni"/>
              <w:sz w:val="16"/>
              <w:szCs w:val="16"/>
              <w:lang w:eastAsia="en-US"/>
            </w:rPr>
            <w:t xml:space="preserve"> de </w:t>
          </w:r>
          <w:r w:rsidRPr="009173AE">
            <w:rPr>
              <w:rFonts w:ascii="Century Gothic" w:eastAsia="Calibri" w:hAnsi="Century Gothic"/>
              <w:b/>
              <w:color w:val="auto"/>
              <w:sz w:val="16"/>
              <w:szCs w:val="16"/>
              <w:lang w:eastAsia="en-US"/>
            </w:rPr>
            <w:fldChar w:fldCharType="begin"/>
          </w:r>
          <w:r w:rsidRPr="009173AE">
            <w:rPr>
              <w:rFonts w:ascii="Century Gothic" w:eastAsia="Calibri" w:hAnsi="Century Gothic"/>
              <w:b/>
              <w:color w:val="auto"/>
              <w:sz w:val="16"/>
              <w:szCs w:val="16"/>
              <w:lang w:eastAsia="en-US"/>
            </w:rPr>
            <w:instrText>NUMPAGES  \* Arabic  \* MERGEFORMAT</w:instrText>
          </w:r>
          <w:r w:rsidRPr="009173AE">
            <w:rPr>
              <w:rFonts w:ascii="Century Gothic" w:eastAsia="Calibri" w:hAnsi="Century Gothic"/>
              <w:b/>
              <w:color w:val="auto"/>
              <w:sz w:val="16"/>
              <w:szCs w:val="16"/>
              <w:lang w:eastAsia="en-US"/>
            </w:rPr>
            <w:fldChar w:fldCharType="separate"/>
          </w:r>
          <w:r w:rsidRPr="009173AE">
            <w:rPr>
              <w:rFonts w:ascii="Century Gothic" w:eastAsia="Calibri" w:hAnsi="Century Gothic" w:cs="Aharoni"/>
              <w:b/>
              <w:bCs/>
              <w:noProof/>
              <w:sz w:val="16"/>
              <w:szCs w:val="16"/>
              <w:lang w:eastAsia="en-US"/>
            </w:rPr>
            <w:t>3</w:t>
          </w:r>
          <w:r w:rsidRPr="009173AE">
            <w:rPr>
              <w:rFonts w:ascii="Century Gothic" w:eastAsia="Calibri" w:hAnsi="Century Gothic" w:cs="Aharoni"/>
              <w:b/>
              <w:bCs/>
              <w:noProof/>
              <w:sz w:val="16"/>
              <w:szCs w:val="16"/>
              <w:lang w:eastAsia="en-US"/>
            </w:rPr>
            <w:fldChar w:fldCharType="end"/>
          </w:r>
        </w:p>
      </w:tc>
    </w:tr>
  </w:tbl>
  <w:p w:rsidR="00E84B5F" w:rsidRPr="009173AE" w:rsidRDefault="00E84B5F" w:rsidP="00D64D62">
    <w:pPr>
      <w:pStyle w:val="Rodap"/>
      <w:rPr>
        <w:rFonts w:eastAsia="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F6C" w:rsidRDefault="005C3F6C" w:rsidP="00BA0587">
      <w:pPr>
        <w:spacing w:line="240" w:lineRule="auto"/>
      </w:pPr>
      <w:r>
        <w:separator/>
      </w:r>
    </w:p>
  </w:footnote>
  <w:footnote w:type="continuationSeparator" w:id="0">
    <w:p w:rsidR="005C3F6C" w:rsidRDefault="005C3F6C" w:rsidP="00BA05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B5F" w:rsidRDefault="00E84B5F" w:rsidP="00CF0F8B">
    <w:pPr>
      <w:spacing w:line="259" w:lineRule="auto"/>
      <w:ind w:right="16"/>
      <w:jc w:val="center"/>
      <w:rPr>
        <w:rFonts w:ascii="Bookman Old Style" w:eastAsia="Bookman Old Style" w:hAnsi="Bookman Old Style" w:cs="Bookman Old Style"/>
        <w:b/>
        <w:sz w:val="28"/>
      </w:rPr>
    </w:pPr>
    <w:r>
      <w:rPr>
        <w:rFonts w:ascii="Bookman Old Style" w:eastAsia="Bookman Old Style" w:hAnsi="Bookman Old Style" w:cs="Bookman Old Style"/>
        <w:b/>
        <w:noProof/>
        <w:sz w:val="28"/>
      </w:rPr>
      <w:drawing>
        <wp:anchor distT="0" distB="0" distL="114300" distR="114300" simplePos="0" relativeHeight="251659264" behindDoc="1" locked="0" layoutInCell="1" allowOverlap="1">
          <wp:simplePos x="0" y="0"/>
          <wp:positionH relativeFrom="column">
            <wp:posOffset>195580</wp:posOffset>
          </wp:positionH>
          <wp:positionV relativeFrom="paragraph">
            <wp:posOffset>228600</wp:posOffset>
          </wp:positionV>
          <wp:extent cx="615950" cy="615950"/>
          <wp:effectExtent l="0" t="0" r="0" b="0"/>
          <wp:wrapNone/>
          <wp:docPr id="5" name="Picture 39"/>
          <wp:cNvGraphicFramePr/>
          <a:graphic xmlns:a="http://schemas.openxmlformats.org/drawingml/2006/main">
            <a:graphicData uri="http://schemas.openxmlformats.org/drawingml/2006/picture">
              <pic:pic xmlns:pic="http://schemas.openxmlformats.org/drawingml/2006/picture">
                <pic:nvPicPr>
                  <pic:cNvPr id="3" name="Picture 39"/>
                  <pic:cNvPicPr/>
                </pic:nvPicPr>
                <pic:blipFill>
                  <a:blip r:embed="rId1"/>
                  <a:stretch>
                    <a:fillRect/>
                  </a:stretch>
                </pic:blipFill>
                <pic:spPr>
                  <a:xfrm>
                    <a:off x="0" y="0"/>
                    <a:ext cx="615950" cy="615950"/>
                  </a:xfrm>
                  <a:prstGeom prst="rect">
                    <a:avLst/>
                  </a:prstGeom>
                </pic:spPr>
              </pic:pic>
            </a:graphicData>
          </a:graphic>
        </wp:anchor>
      </w:drawing>
    </w:r>
  </w:p>
  <w:p w:rsidR="00E84B5F" w:rsidRDefault="00E84B5F" w:rsidP="00E84B5F">
    <w:pPr>
      <w:spacing w:line="259" w:lineRule="auto"/>
      <w:ind w:right="16"/>
      <w:jc w:val="center"/>
    </w:pPr>
    <w:r>
      <w:rPr>
        <w:rFonts w:ascii="Bookman Old Style" w:eastAsia="Bookman Old Style" w:hAnsi="Bookman Old Style" w:cs="Bookman Old Style"/>
        <w:b/>
        <w:sz w:val="28"/>
      </w:rPr>
      <w:t xml:space="preserve">PREFEITURA MUNICIPAL DE ECOPORANGA </w:t>
    </w:r>
  </w:p>
  <w:p w:rsidR="00E84B5F" w:rsidRDefault="00E84B5F" w:rsidP="00E84B5F">
    <w:pPr>
      <w:spacing w:line="259" w:lineRule="auto"/>
      <w:ind w:right="52"/>
      <w:jc w:val="center"/>
    </w:pPr>
    <w:r>
      <w:rPr>
        <w:rFonts w:ascii="Bookman Old Style" w:eastAsia="Bookman Old Style" w:hAnsi="Bookman Old Style" w:cs="Bookman Old Style"/>
        <w:b/>
        <w:sz w:val="28"/>
      </w:rPr>
      <w:t xml:space="preserve">ESTADO DO ESPÍRITO SANTO </w:t>
    </w:r>
  </w:p>
  <w:p w:rsidR="00E84B5F" w:rsidRPr="00E84B5F" w:rsidRDefault="00E84B5F" w:rsidP="00E84B5F">
    <w:pPr>
      <w:tabs>
        <w:tab w:val="center" w:pos="1274"/>
        <w:tab w:val="center" w:pos="4926"/>
      </w:tabs>
      <w:spacing w:line="259" w:lineRule="auto"/>
      <w:ind w:left="0" w:right="0" w:firstLine="0"/>
      <w:jc w:val="left"/>
      <w:rPr>
        <w:rFonts w:ascii="Bookman Old Style" w:eastAsia="Century Gothic" w:hAnsi="Bookman Old Style" w:cs="Century Gothic"/>
        <w:sz w:val="24"/>
        <w:szCs w:val="24"/>
      </w:rPr>
    </w:pPr>
    <w:r>
      <w:rPr>
        <w:rFonts w:ascii="Calibri" w:eastAsia="Calibri" w:hAnsi="Calibri" w:cs="Calibri"/>
        <w:sz w:val="22"/>
      </w:rPr>
      <w:tab/>
    </w:r>
    <w:r>
      <w:rPr>
        <w:rFonts w:ascii="Century Gothic" w:eastAsia="Century Gothic" w:hAnsi="Century Gothic" w:cs="Century Gothic"/>
        <w:b/>
        <w:sz w:val="28"/>
      </w:rPr>
      <w:t xml:space="preserve"> </w:t>
    </w:r>
    <w:r w:rsidRPr="00E84B5F">
      <w:rPr>
        <w:rFonts w:ascii="Century Gothic" w:eastAsia="Century Gothic" w:hAnsi="Century Gothic" w:cs="Century Gothic"/>
        <w:b/>
        <w:sz w:val="28"/>
      </w:rPr>
      <w:tab/>
    </w:r>
    <w:r w:rsidRPr="00E84B5F">
      <w:rPr>
        <w:rFonts w:ascii="Bookman Old Style" w:eastAsia="Century Gothic" w:hAnsi="Bookman Old Style" w:cs="Century Gothic"/>
        <w:sz w:val="24"/>
        <w:szCs w:val="24"/>
      </w:rPr>
      <w:t xml:space="preserve">GABINETE DA CONTROLADORIA GERAL DO MUNICÍPIO </w:t>
    </w:r>
  </w:p>
  <w:p w:rsidR="00E84B5F" w:rsidRDefault="00E84B5F" w:rsidP="00E84B5F">
    <w:pPr>
      <w:tabs>
        <w:tab w:val="center" w:pos="1274"/>
        <w:tab w:val="center" w:pos="4926"/>
      </w:tabs>
      <w:spacing w:line="259" w:lineRule="auto"/>
      <w:ind w:left="0" w:right="0" w:firstLine="0"/>
      <w:jc w:val="left"/>
      <w:rPr>
        <w:rFonts w:ascii="Bookman Old Style" w:eastAsia="Bookman Old Style" w:hAnsi="Bookman Old Style" w:cs="Bookman Old Style"/>
        <w:b/>
        <w:sz w:val="22"/>
      </w:rPr>
    </w:pPr>
    <w:r w:rsidRPr="00E84B5F">
      <w:rPr>
        <w:rFonts w:ascii="Bookman Old Style" w:eastAsia="Bookman Old Style" w:hAnsi="Bookman Old Style" w:cs="Bookman Old Style"/>
        <w:b/>
        <w:sz w:val="22"/>
      </w:rPr>
      <w:t xml:space="preserve"> 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C0B3F2"/>
    <w:multiLevelType w:val="hybridMultilevel"/>
    <w:tmpl w:val="628C2BA7"/>
    <w:lvl w:ilvl="0" w:tplc="FFFFFFFF">
      <w:start w:val="1"/>
      <w:numFmt w:val="upperRoman"/>
      <w:lvlText w:val="%1"/>
      <w:lvlJc w:val="left"/>
    </w:lvl>
    <w:lvl w:ilvl="1" w:tplc="FFFFFFFF">
      <w:start w:val="1"/>
      <w:numFmt w:val="upperLetter"/>
      <w:lvlText w:null="1"/>
      <w:lvlJc w:val="left"/>
    </w:lvl>
    <w:lvl w:ilvl="2" w:tplc="FFFFFFFF">
      <w:start w:val="1"/>
      <w:numFmt w:val="lowerLetter"/>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9C5C7F"/>
    <w:multiLevelType w:val="hybridMultilevel"/>
    <w:tmpl w:val="C58B060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3CCC372"/>
    <w:multiLevelType w:val="hybridMultilevel"/>
    <w:tmpl w:val="E352CA00"/>
    <w:lvl w:ilvl="0" w:tplc="FFFFFFFF">
      <w:start w:val="1"/>
      <w:numFmt w:val="upperLetter"/>
      <w:lvlText w:val=""/>
      <w:lvlJc w:val="left"/>
    </w:lvl>
    <w:lvl w:ilvl="1" w:tplc="FFFFFFFF">
      <w:start w:val="1"/>
      <w:numFmt w:val="upp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2FCEBD7"/>
    <w:multiLevelType w:val="hybridMultilevel"/>
    <w:tmpl w:val="17E21E48"/>
    <w:lvl w:ilvl="0" w:tplc="FFFFFFFF">
      <w:start w:val="1"/>
      <w:numFmt w:val="upperRoman"/>
      <w:lvlText w:val="%1"/>
      <w:lvlJc w:val="left"/>
    </w:lvl>
    <w:lvl w:ilvl="1" w:tplc="FFFFFFFF">
      <w:start w:val="1"/>
      <w:numFmt w:val="upperLetter"/>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5E8"/>
    <w:rsid w:val="00114B6D"/>
    <w:rsid w:val="00216F60"/>
    <w:rsid w:val="00294DA2"/>
    <w:rsid w:val="002E3948"/>
    <w:rsid w:val="00342C2B"/>
    <w:rsid w:val="005C3F6C"/>
    <w:rsid w:val="006218B1"/>
    <w:rsid w:val="006251E3"/>
    <w:rsid w:val="006F588B"/>
    <w:rsid w:val="007C7C70"/>
    <w:rsid w:val="00825085"/>
    <w:rsid w:val="008E2098"/>
    <w:rsid w:val="009173AE"/>
    <w:rsid w:val="00934316"/>
    <w:rsid w:val="009918A4"/>
    <w:rsid w:val="009B783E"/>
    <w:rsid w:val="00A45B5F"/>
    <w:rsid w:val="00B603D5"/>
    <w:rsid w:val="00B625B6"/>
    <w:rsid w:val="00BA0587"/>
    <w:rsid w:val="00BC26AC"/>
    <w:rsid w:val="00C10272"/>
    <w:rsid w:val="00C26869"/>
    <w:rsid w:val="00CF0F8B"/>
    <w:rsid w:val="00D64D62"/>
    <w:rsid w:val="00DA4878"/>
    <w:rsid w:val="00E84B5F"/>
    <w:rsid w:val="00EA15E8"/>
    <w:rsid w:val="00EB58A1"/>
    <w:rsid w:val="00F538A5"/>
    <w:rsid w:val="00FC4C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7E2EE9"/>
  <w15:docId w15:val="{53AC3E5E-D794-46F6-A658-2E8BD9B9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358" w:lineRule="auto"/>
      <w:ind w:left="10" w:right="603" w:hanging="10"/>
      <w:jc w:val="both"/>
    </w:pPr>
    <w:rPr>
      <w:rFonts w:ascii="Times New Roman" w:eastAsia="Times New Roman" w:hAnsi="Times New Roman" w:cs="Times New Roman"/>
      <w:color w:val="000000"/>
      <w:sz w:val="26"/>
    </w:rPr>
  </w:style>
  <w:style w:type="paragraph" w:styleId="Ttulo1">
    <w:name w:val="heading 1"/>
    <w:next w:val="Normal"/>
    <w:link w:val="Ttulo1Char"/>
    <w:uiPriority w:val="9"/>
    <w:qFormat/>
    <w:pPr>
      <w:keepNext/>
      <w:keepLines/>
      <w:spacing w:after="25"/>
      <w:ind w:left="1344" w:right="52"/>
      <w:outlineLvl w:val="0"/>
    </w:pPr>
    <w:rPr>
      <w:rFonts w:ascii="Times New Roman" w:eastAsia="Times New Roman" w:hAnsi="Times New Roman" w:cs="Times New Roman"/>
      <w:b/>
      <w:color w:val="000000"/>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32"/>
    </w:rPr>
  </w:style>
  <w:style w:type="paragraph" w:styleId="Cabealho">
    <w:name w:val="header"/>
    <w:basedOn w:val="Normal"/>
    <w:link w:val="CabealhoChar"/>
    <w:uiPriority w:val="99"/>
    <w:unhideWhenUsed/>
    <w:rsid w:val="00BA0587"/>
    <w:pPr>
      <w:tabs>
        <w:tab w:val="center" w:pos="4252"/>
        <w:tab w:val="right" w:pos="8504"/>
      </w:tabs>
      <w:spacing w:line="240" w:lineRule="auto"/>
    </w:pPr>
  </w:style>
  <w:style w:type="character" w:customStyle="1" w:styleId="CabealhoChar">
    <w:name w:val="Cabeçalho Char"/>
    <w:basedOn w:val="Fontepargpadro"/>
    <w:link w:val="Cabealho"/>
    <w:uiPriority w:val="99"/>
    <w:rsid w:val="00BA0587"/>
    <w:rPr>
      <w:rFonts w:ascii="Times New Roman" w:eastAsia="Times New Roman" w:hAnsi="Times New Roman" w:cs="Times New Roman"/>
      <w:color w:val="000000"/>
      <w:sz w:val="26"/>
    </w:rPr>
  </w:style>
  <w:style w:type="paragraph" w:styleId="Rodap">
    <w:name w:val="footer"/>
    <w:basedOn w:val="Normal"/>
    <w:link w:val="RodapChar"/>
    <w:uiPriority w:val="99"/>
    <w:unhideWhenUsed/>
    <w:rsid w:val="00BA0587"/>
    <w:pPr>
      <w:tabs>
        <w:tab w:val="center" w:pos="4252"/>
        <w:tab w:val="right" w:pos="8504"/>
      </w:tabs>
      <w:spacing w:line="240" w:lineRule="auto"/>
    </w:pPr>
  </w:style>
  <w:style w:type="character" w:customStyle="1" w:styleId="RodapChar">
    <w:name w:val="Rodapé Char"/>
    <w:basedOn w:val="Fontepargpadro"/>
    <w:link w:val="Rodap"/>
    <w:uiPriority w:val="99"/>
    <w:rsid w:val="00BA0587"/>
    <w:rPr>
      <w:rFonts w:ascii="Times New Roman" w:eastAsia="Times New Roman" w:hAnsi="Times New Roman" w:cs="Times New Roman"/>
      <w:color w:val="000000"/>
      <w:sz w:val="26"/>
    </w:rPr>
  </w:style>
  <w:style w:type="paragraph" w:customStyle="1" w:styleId="Default">
    <w:name w:val="Default"/>
    <w:rsid w:val="009B783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482">
      <w:bodyDiv w:val="1"/>
      <w:marLeft w:val="0"/>
      <w:marRight w:val="0"/>
      <w:marTop w:val="0"/>
      <w:marBottom w:val="0"/>
      <w:divBdr>
        <w:top w:val="none" w:sz="0" w:space="0" w:color="auto"/>
        <w:left w:val="none" w:sz="0" w:space="0" w:color="auto"/>
        <w:bottom w:val="none" w:sz="0" w:space="0" w:color="auto"/>
        <w:right w:val="none" w:sz="0" w:space="0" w:color="auto"/>
      </w:divBdr>
    </w:div>
    <w:div w:id="173057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5755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Claudineia Rodrigues</dc:creator>
  <cp:keywords/>
  <cp:lastModifiedBy>Rejane Rodrigues</cp:lastModifiedBy>
  <cp:revision>2</cp:revision>
  <cp:lastPrinted>2024-04-25T16:45:00Z</cp:lastPrinted>
  <dcterms:created xsi:type="dcterms:W3CDTF">2025-05-13T12:24:00Z</dcterms:created>
  <dcterms:modified xsi:type="dcterms:W3CDTF">2025-05-13T12:24:00Z</dcterms:modified>
</cp:coreProperties>
</file>