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237" w:rsidRDefault="000D4237" w:rsidP="000D4237">
      <w:pPr>
        <w:spacing w:line="259" w:lineRule="auto"/>
        <w:ind w:right="16"/>
        <w:jc w:val="center"/>
        <w:rPr>
          <w:rFonts w:ascii="Bookman Old Style" w:eastAsia="Bookman Old Style" w:hAnsi="Bookman Old Style" w:cs="Bookman Old Style"/>
          <w:b/>
          <w:sz w:val="28"/>
        </w:rPr>
      </w:pPr>
      <w:bookmarkStart w:id="0" w:name="_GoBack"/>
    </w:p>
    <w:bookmarkEnd w:id="0"/>
    <w:p w:rsidR="001246B0" w:rsidRDefault="001246B0" w:rsidP="001246B0">
      <w:pPr>
        <w:pStyle w:val="Ttulo1"/>
        <w:ind w:left="1276" w:hanging="283"/>
        <w:rPr>
          <w:color w:val="auto"/>
          <w:sz w:val="48"/>
        </w:rPr>
      </w:pPr>
      <w:r>
        <w:t>NOTIFICAÇÃO RECOMENDATÓRIA n.º</w:t>
      </w:r>
      <w:r>
        <w:t xml:space="preserve"> </w:t>
      </w:r>
      <w:r>
        <w:t>001/2025</w:t>
      </w:r>
    </w:p>
    <w:p w:rsidR="001246B0" w:rsidRDefault="001246B0" w:rsidP="001246B0">
      <w:pPr>
        <w:spacing w:after="64" w:line="254" w:lineRule="auto"/>
        <w:ind w:left="0" w:right="0" w:firstLine="0"/>
        <w:jc w:val="center"/>
      </w:pPr>
    </w:p>
    <w:p w:rsidR="001246B0" w:rsidRDefault="001246B0" w:rsidP="001246B0">
      <w:pPr>
        <w:pStyle w:val="Ttulo1"/>
        <w:rPr>
          <w:rFonts w:eastAsiaTheme="minorHAnsi"/>
        </w:rPr>
      </w:pPr>
    </w:p>
    <w:p w:rsidR="001246B0" w:rsidRDefault="001246B0" w:rsidP="001246B0">
      <w:pPr>
        <w:spacing w:after="64" w:line="252" w:lineRule="auto"/>
        <w:ind w:left="0" w:right="0" w:firstLine="0"/>
        <w:jc w:val="left"/>
      </w:pPr>
      <w:r>
        <w:t xml:space="preserve"> Ao Senhor.</w:t>
      </w:r>
    </w:p>
    <w:p w:rsidR="001246B0" w:rsidRDefault="001246B0" w:rsidP="001246B0">
      <w:pPr>
        <w:spacing w:after="64" w:line="252" w:lineRule="auto"/>
        <w:ind w:left="0" w:right="0" w:firstLine="0"/>
        <w:jc w:val="left"/>
      </w:pPr>
      <w:r>
        <w:t>Luiz Carlos de Souza.</w:t>
      </w:r>
    </w:p>
    <w:p w:rsidR="001246B0" w:rsidRDefault="001246B0" w:rsidP="001246B0">
      <w:pPr>
        <w:spacing w:after="64" w:line="252" w:lineRule="auto"/>
        <w:ind w:left="0" w:right="0" w:firstLine="0"/>
        <w:jc w:val="left"/>
        <w:rPr>
          <w:szCs w:val="26"/>
        </w:rPr>
      </w:pPr>
      <w:r>
        <w:rPr>
          <w:color w:val="333333"/>
          <w:szCs w:val="26"/>
          <w:shd w:val="clear" w:color="auto" w:fill="FFFFFF"/>
        </w:rPr>
        <w:t>SECR.MUN.DE OBRAS E Serviços URBANOS. </w:t>
      </w:r>
    </w:p>
    <w:p w:rsidR="001246B0" w:rsidRDefault="001246B0" w:rsidP="001246B0">
      <w:pPr>
        <w:spacing w:after="63" w:line="252" w:lineRule="auto"/>
        <w:ind w:left="0" w:right="0" w:firstLine="0"/>
        <w:jc w:val="left"/>
      </w:pPr>
      <w:r>
        <w:rPr>
          <w:b/>
        </w:rPr>
        <w:t xml:space="preserve"> </w:t>
      </w:r>
    </w:p>
    <w:p w:rsidR="001246B0" w:rsidRDefault="001246B0" w:rsidP="001246B0">
      <w:pPr>
        <w:rPr>
          <w:b/>
        </w:rPr>
      </w:pPr>
      <w:r>
        <w:rPr>
          <w:b/>
        </w:rPr>
        <w:t>Assunto: Reiteração do Ato Recomendatório 008/2024 / Ofício</w:t>
      </w:r>
      <w:r>
        <w:t> </w:t>
      </w:r>
      <w:r>
        <w:rPr>
          <w:b/>
        </w:rPr>
        <w:t>de Submissão 04940/2024-5 TCE ES - quanto à disposição final de resíduos sólidos urbanos em locais inadequados e demais determinações do Tribunal de Contas – Decisão Plenária n.º 1128/2025-5.</w:t>
      </w:r>
    </w:p>
    <w:p w:rsidR="001246B0" w:rsidRDefault="001246B0" w:rsidP="001246B0">
      <w:pPr>
        <w:spacing w:line="252" w:lineRule="auto"/>
        <w:ind w:left="-5"/>
        <w:rPr>
          <w:b/>
        </w:rPr>
      </w:pPr>
    </w:p>
    <w:p w:rsidR="001246B0" w:rsidRDefault="001246B0" w:rsidP="001246B0">
      <w:pPr>
        <w:ind w:right="-1"/>
      </w:pPr>
      <w:bookmarkStart w:id="1" w:name="_Hlk195515447"/>
      <w:r>
        <w:t xml:space="preserve">A Controladoria Geral do Município de Ecoporanga, no uso de suas atribuições legais e constitucionais, vem por meio deste instrumento reiterar a Notificação Recomendatória anteriormente expedida, </w:t>
      </w:r>
      <w:r>
        <w:t>registrado</w:t>
      </w:r>
      <w:r>
        <w:t xml:space="preserve"> no protocolo desse município sob número 8830, na data de 19 de novembro de 2024.  Diante da omissão de resposta às recomendações formuladas pelo Tribunal de Contas do Estado do Espírito Santo, no bojo do acompanhamento da prestação dos Serviços de Manejo de Resíduos Sólidos Urbanos (SMRSU), conforme Decisão Plenária n.º 1128/2025-5.</w:t>
      </w:r>
      <w:r>
        <w:br/>
        <w:t>A ausência de resposta e de adoção de medidas corretivas até o momento levou o TCE-ES a determinar a expedição de comunicação de diligência ao Município de Ecoporanga, com prazo de 30 dias, a contar da ciência, para encaminhamento da documentação comprobatória do cumprimento das determinações contidas no Acórdão TC 374/2024.</w:t>
      </w:r>
    </w:p>
    <w:bookmarkEnd w:id="1"/>
    <w:p w:rsidR="001246B0" w:rsidRDefault="001246B0" w:rsidP="001246B0">
      <w:pPr>
        <w:spacing w:before="100" w:beforeAutospacing="1" w:after="100" w:afterAutospacing="1" w:line="240" w:lineRule="auto"/>
        <w:ind w:left="0" w:right="0" w:firstLine="0"/>
        <w:jc w:val="left"/>
        <w:rPr>
          <w:color w:val="auto"/>
          <w:szCs w:val="26"/>
        </w:rPr>
      </w:pPr>
      <w:r>
        <w:rPr>
          <w:b/>
          <w:bCs/>
          <w:color w:val="auto"/>
          <w:szCs w:val="26"/>
        </w:rPr>
        <w:t>1. Achados de Fiscalização.</w:t>
      </w:r>
    </w:p>
    <w:p w:rsidR="001246B0" w:rsidRDefault="001246B0" w:rsidP="001246B0">
      <w:pPr>
        <w:spacing w:before="100" w:beforeAutospacing="1" w:after="100" w:afterAutospacing="1" w:line="360" w:lineRule="auto"/>
        <w:ind w:left="0" w:right="0" w:firstLine="0"/>
        <w:rPr>
          <w:color w:val="auto"/>
          <w:szCs w:val="26"/>
        </w:rPr>
      </w:pPr>
      <w:r>
        <w:rPr>
          <w:color w:val="auto"/>
          <w:szCs w:val="26"/>
        </w:rPr>
        <w:t xml:space="preserve">O achado inicial da fiscalização apontou que o município ainda realiza a </w:t>
      </w:r>
      <w:r>
        <w:rPr>
          <w:b/>
          <w:bCs/>
          <w:color w:val="auto"/>
          <w:szCs w:val="26"/>
        </w:rPr>
        <w:t>disposição final dos resíduos sólidos urbanos em lixão</w:t>
      </w:r>
      <w:r>
        <w:rPr>
          <w:color w:val="auto"/>
          <w:szCs w:val="26"/>
        </w:rPr>
        <w:t xml:space="preserve">, o que constitui grave infração à </w:t>
      </w:r>
      <w:r>
        <w:rPr>
          <w:b/>
          <w:bCs/>
          <w:color w:val="auto"/>
          <w:szCs w:val="26"/>
        </w:rPr>
        <w:t>Lei Federal n.º 12.305/2010</w:t>
      </w:r>
      <w:r>
        <w:rPr>
          <w:color w:val="auto"/>
          <w:szCs w:val="26"/>
        </w:rPr>
        <w:t xml:space="preserve"> (Política Nacional de Resíduos Sólidos), que em seu art. 54 determina o fim da prática até </w:t>
      </w:r>
      <w:r>
        <w:rPr>
          <w:b/>
          <w:bCs/>
          <w:color w:val="auto"/>
          <w:szCs w:val="26"/>
        </w:rPr>
        <w:t>02 de agosto de 2024</w:t>
      </w:r>
      <w:r>
        <w:rPr>
          <w:color w:val="auto"/>
          <w:szCs w:val="26"/>
        </w:rPr>
        <w:t>.</w:t>
      </w:r>
    </w:p>
    <w:p w:rsidR="001246B0" w:rsidRDefault="001246B0" w:rsidP="001246B0">
      <w:pPr>
        <w:spacing w:before="100" w:beforeAutospacing="1" w:after="100" w:afterAutospacing="1" w:line="360" w:lineRule="auto"/>
        <w:ind w:left="0" w:right="0" w:firstLine="0"/>
        <w:rPr>
          <w:color w:val="auto"/>
          <w:szCs w:val="26"/>
        </w:rPr>
      </w:pPr>
      <w:r>
        <w:rPr>
          <w:color w:val="auto"/>
          <w:szCs w:val="26"/>
        </w:rPr>
        <w:lastRenderedPageBreak/>
        <w:t xml:space="preserve">Além disso, a presença de </w:t>
      </w:r>
      <w:r>
        <w:rPr>
          <w:b/>
          <w:bCs/>
          <w:color w:val="auto"/>
          <w:szCs w:val="26"/>
        </w:rPr>
        <w:t>catadores em área de lixão</w:t>
      </w:r>
      <w:r>
        <w:rPr>
          <w:color w:val="auto"/>
          <w:szCs w:val="26"/>
        </w:rPr>
        <w:t xml:space="preserve"> contraria o disposto no </w:t>
      </w:r>
      <w:r>
        <w:rPr>
          <w:b/>
          <w:bCs/>
          <w:color w:val="auto"/>
          <w:szCs w:val="26"/>
        </w:rPr>
        <w:t>art. 48, inciso II, da mesma lei</w:t>
      </w:r>
      <w:r>
        <w:rPr>
          <w:color w:val="auto"/>
          <w:szCs w:val="26"/>
        </w:rPr>
        <w:t>, que proíbe a catação em locais de disposição final de resíduos, tanto por motivos de saúde e segurança quanto pela necessidade de organização e formalização da cadeia produtiva da reciclagem.</w:t>
      </w:r>
    </w:p>
    <w:p w:rsidR="001246B0" w:rsidRDefault="001246B0" w:rsidP="001246B0">
      <w:pPr>
        <w:spacing w:before="100" w:beforeAutospacing="1" w:after="100" w:afterAutospacing="1" w:line="240" w:lineRule="auto"/>
        <w:ind w:left="0" w:right="0" w:firstLine="0"/>
        <w:jc w:val="left"/>
        <w:rPr>
          <w:color w:val="auto"/>
          <w:sz w:val="24"/>
          <w:szCs w:val="24"/>
        </w:rPr>
      </w:pPr>
      <w:r>
        <w:rPr>
          <w:b/>
          <w:bCs/>
          <w:color w:val="auto"/>
          <w:sz w:val="24"/>
          <w:szCs w:val="24"/>
        </w:rPr>
        <w:t>2. Determinações do Tribunal de Contas do Estado do Espírito Santo.</w:t>
      </w:r>
    </w:p>
    <w:p w:rsidR="001246B0" w:rsidRDefault="001246B0" w:rsidP="001246B0">
      <w:pPr>
        <w:spacing w:before="100" w:beforeAutospacing="1" w:after="100" w:afterAutospacing="1" w:line="360" w:lineRule="auto"/>
        <w:ind w:left="0" w:right="0" w:firstLine="0"/>
        <w:rPr>
          <w:color w:val="auto"/>
          <w:szCs w:val="26"/>
        </w:rPr>
      </w:pPr>
      <w:r>
        <w:rPr>
          <w:color w:val="auto"/>
          <w:szCs w:val="26"/>
        </w:rPr>
        <w:t xml:space="preserve">A omissão do Município de Ecoporanga em responder às determinações do TCE-ES resultou na expedição da </w:t>
      </w:r>
      <w:r>
        <w:rPr>
          <w:b/>
          <w:bCs/>
          <w:color w:val="auto"/>
          <w:szCs w:val="26"/>
        </w:rPr>
        <w:t>Decisão Plenária n.º 1128/2025-5</w:t>
      </w:r>
      <w:r>
        <w:rPr>
          <w:color w:val="auto"/>
          <w:szCs w:val="26"/>
        </w:rPr>
        <w:t xml:space="preserve">, que </w:t>
      </w:r>
      <w:r>
        <w:rPr>
          <w:b/>
          <w:bCs/>
          <w:color w:val="auto"/>
          <w:szCs w:val="26"/>
        </w:rPr>
        <w:t>reconhece o não cumprimento</w:t>
      </w:r>
      <w:r>
        <w:rPr>
          <w:color w:val="auto"/>
          <w:szCs w:val="26"/>
        </w:rPr>
        <w:t xml:space="preserve"> das seguintes determinações, com prazo final de comprovação vencido em </w:t>
      </w:r>
      <w:r>
        <w:rPr>
          <w:b/>
          <w:bCs/>
          <w:color w:val="auto"/>
          <w:szCs w:val="26"/>
        </w:rPr>
        <w:t>31/01/2025</w:t>
      </w:r>
      <w:r>
        <w:rPr>
          <w:color w:val="auto"/>
          <w:szCs w:val="26"/>
        </w:rPr>
        <w:t>:</w:t>
      </w:r>
    </w:p>
    <w:p w:rsidR="001246B0" w:rsidRDefault="001246B0" w:rsidP="001246B0">
      <w:pPr>
        <w:numPr>
          <w:ilvl w:val="0"/>
          <w:numId w:val="4"/>
        </w:numPr>
        <w:spacing w:before="100" w:beforeAutospacing="1" w:after="100" w:afterAutospacing="1" w:line="360" w:lineRule="auto"/>
        <w:ind w:left="1440" w:right="0"/>
        <w:rPr>
          <w:color w:val="auto"/>
          <w:sz w:val="24"/>
          <w:szCs w:val="24"/>
        </w:rPr>
      </w:pPr>
      <w:r>
        <w:rPr>
          <w:b/>
          <w:bCs/>
          <w:color w:val="auto"/>
          <w:sz w:val="24"/>
          <w:szCs w:val="24"/>
        </w:rPr>
        <w:t>Determinação 1.2 –</w:t>
      </w:r>
      <w:r>
        <w:rPr>
          <w:color w:val="auto"/>
          <w:sz w:val="24"/>
          <w:szCs w:val="24"/>
        </w:rPr>
        <w:t xml:space="preserve"> Providenciar a </w:t>
      </w:r>
      <w:r>
        <w:rPr>
          <w:b/>
          <w:bCs/>
          <w:color w:val="auto"/>
          <w:sz w:val="24"/>
          <w:szCs w:val="24"/>
        </w:rPr>
        <w:t>definição da entidade reguladora</w:t>
      </w:r>
      <w:r>
        <w:rPr>
          <w:color w:val="auto"/>
          <w:sz w:val="24"/>
          <w:szCs w:val="24"/>
        </w:rPr>
        <w:t xml:space="preserve"> dos serviços de manejo de resíduos sólidos, conforme </w:t>
      </w:r>
      <w:proofErr w:type="spellStart"/>
      <w:r>
        <w:rPr>
          <w:color w:val="auto"/>
          <w:sz w:val="24"/>
          <w:szCs w:val="24"/>
        </w:rPr>
        <w:t>arts</w:t>
      </w:r>
      <w:proofErr w:type="spellEnd"/>
      <w:r>
        <w:rPr>
          <w:color w:val="auto"/>
          <w:sz w:val="24"/>
          <w:szCs w:val="24"/>
        </w:rPr>
        <w:t>. 8º, §5º, e 21 da Lei nº 11.445/2007 (revogada e sucedida pela Lei nº 14.026/2020) e NR nº 1/2021 da ANA.</w:t>
      </w:r>
    </w:p>
    <w:p w:rsidR="001246B0" w:rsidRDefault="001246B0" w:rsidP="001246B0">
      <w:pPr>
        <w:numPr>
          <w:ilvl w:val="0"/>
          <w:numId w:val="4"/>
        </w:numPr>
        <w:spacing w:before="100" w:beforeAutospacing="1" w:after="100" w:afterAutospacing="1" w:line="360" w:lineRule="auto"/>
        <w:ind w:left="1440" w:right="0"/>
        <w:rPr>
          <w:color w:val="auto"/>
          <w:sz w:val="24"/>
          <w:szCs w:val="24"/>
        </w:rPr>
      </w:pPr>
      <w:r>
        <w:rPr>
          <w:b/>
          <w:bCs/>
          <w:color w:val="auto"/>
          <w:sz w:val="24"/>
          <w:szCs w:val="24"/>
        </w:rPr>
        <w:t>Determinação 1.3 –</w:t>
      </w:r>
      <w:r>
        <w:rPr>
          <w:color w:val="auto"/>
          <w:sz w:val="24"/>
          <w:szCs w:val="24"/>
        </w:rPr>
        <w:t xml:space="preserve"> Realizar </w:t>
      </w:r>
      <w:r>
        <w:rPr>
          <w:b/>
          <w:bCs/>
          <w:color w:val="auto"/>
          <w:sz w:val="24"/>
          <w:szCs w:val="24"/>
        </w:rPr>
        <w:t>adequação normativa para viabilização da cobrança</w:t>
      </w:r>
      <w:r>
        <w:rPr>
          <w:color w:val="auto"/>
          <w:sz w:val="24"/>
          <w:szCs w:val="24"/>
        </w:rPr>
        <w:t xml:space="preserve"> pelos serviços de manejo, em conformidade com o art. 35, §2º, da Lei nº 11.445/2007, a partir de 01/01/2025.</w:t>
      </w:r>
    </w:p>
    <w:p w:rsidR="001246B0" w:rsidRDefault="001246B0" w:rsidP="001246B0">
      <w:pPr>
        <w:spacing w:before="100" w:beforeAutospacing="1" w:after="100" w:afterAutospacing="1" w:line="360" w:lineRule="auto"/>
        <w:ind w:left="0" w:right="0" w:firstLine="0"/>
        <w:rPr>
          <w:color w:val="auto"/>
          <w:szCs w:val="26"/>
        </w:rPr>
      </w:pPr>
      <w:r>
        <w:rPr>
          <w:color w:val="auto"/>
          <w:szCs w:val="26"/>
        </w:rPr>
        <w:t xml:space="preserve">Ambas as determinações foram reiteradas pelo Tribunal, com fixação de </w:t>
      </w:r>
      <w:r>
        <w:rPr>
          <w:b/>
          <w:bCs/>
          <w:color w:val="auto"/>
          <w:szCs w:val="26"/>
        </w:rPr>
        <w:t>novo prazo de 30 dias para atendimento</w:t>
      </w:r>
      <w:r>
        <w:rPr>
          <w:color w:val="auto"/>
          <w:szCs w:val="26"/>
        </w:rPr>
        <w:t>, sob pena de responsabilização dos gestores.</w:t>
      </w:r>
    </w:p>
    <w:p w:rsidR="001246B0" w:rsidRDefault="001246B0" w:rsidP="001246B0">
      <w:pPr>
        <w:spacing w:before="100" w:beforeAutospacing="1" w:after="100" w:afterAutospacing="1" w:line="360" w:lineRule="auto"/>
        <w:ind w:left="0" w:right="0" w:firstLine="0"/>
        <w:rPr>
          <w:color w:val="auto"/>
          <w:sz w:val="24"/>
          <w:szCs w:val="24"/>
        </w:rPr>
      </w:pPr>
      <w:r>
        <w:rPr>
          <w:color w:val="auto"/>
          <w:sz w:val="24"/>
          <w:szCs w:val="24"/>
        </w:rPr>
        <w:t xml:space="preserve">Diante do exposto, </w:t>
      </w:r>
      <w:r>
        <w:rPr>
          <w:b/>
          <w:bCs/>
          <w:color w:val="auto"/>
          <w:sz w:val="24"/>
          <w:szCs w:val="24"/>
        </w:rPr>
        <w:t>reitera-se a necessidade urgente de adoção das providências recomendadas</w:t>
      </w:r>
      <w:r>
        <w:rPr>
          <w:color w:val="auto"/>
          <w:sz w:val="24"/>
          <w:szCs w:val="24"/>
        </w:rPr>
        <w:t xml:space="preserve"> na notificação anterior, com especial atenção às determinações específicas do Tribunal de Contas, conforme a Decisão Plenária nº 1128/2025-5. O não cumprimento poderá implicar </w:t>
      </w:r>
      <w:r>
        <w:rPr>
          <w:b/>
          <w:bCs/>
          <w:color w:val="auto"/>
          <w:sz w:val="24"/>
          <w:szCs w:val="24"/>
        </w:rPr>
        <w:t>responsabilização administrativa e financeira dos gestores</w:t>
      </w:r>
      <w:r>
        <w:rPr>
          <w:color w:val="auto"/>
          <w:sz w:val="24"/>
          <w:szCs w:val="24"/>
        </w:rPr>
        <w:t>, conforme previsão da Lei Complementar Estadual nº 621/2012 e da Constituição Federal.</w:t>
      </w:r>
    </w:p>
    <w:p w:rsidR="001246B0" w:rsidRDefault="001246B0" w:rsidP="001246B0">
      <w:pPr>
        <w:spacing w:before="100" w:beforeAutospacing="1" w:after="100" w:afterAutospacing="1" w:line="240" w:lineRule="auto"/>
        <w:ind w:left="0" w:right="0" w:firstLine="0"/>
        <w:jc w:val="left"/>
        <w:rPr>
          <w:color w:val="auto"/>
          <w:sz w:val="24"/>
          <w:szCs w:val="24"/>
        </w:rPr>
      </w:pPr>
      <w:r>
        <w:rPr>
          <w:color w:val="auto"/>
          <w:sz w:val="24"/>
          <w:szCs w:val="24"/>
        </w:rPr>
        <w:t>Dessa forma, RECOMENDA-SE que esta Secretaria:</w:t>
      </w:r>
    </w:p>
    <w:p w:rsidR="001246B0" w:rsidRDefault="001246B0" w:rsidP="001246B0">
      <w:pPr>
        <w:numPr>
          <w:ilvl w:val="0"/>
          <w:numId w:val="5"/>
        </w:numPr>
        <w:spacing w:before="100" w:beforeAutospacing="1" w:after="100" w:afterAutospacing="1" w:line="360" w:lineRule="auto"/>
        <w:ind w:right="0"/>
        <w:rPr>
          <w:color w:val="auto"/>
          <w:szCs w:val="26"/>
        </w:rPr>
      </w:pPr>
      <w:r>
        <w:rPr>
          <w:color w:val="auto"/>
          <w:szCs w:val="26"/>
        </w:rPr>
        <w:t xml:space="preserve">Adote medidas para a </w:t>
      </w:r>
      <w:r>
        <w:rPr>
          <w:b/>
          <w:bCs/>
          <w:color w:val="auto"/>
          <w:szCs w:val="26"/>
        </w:rPr>
        <w:t>desativação definitiva do lixão</w:t>
      </w:r>
      <w:r>
        <w:rPr>
          <w:color w:val="auto"/>
          <w:szCs w:val="26"/>
        </w:rPr>
        <w:t xml:space="preserve"> e destinação ambientalmente adequada dos resíduos sólidos urbanos;</w:t>
      </w:r>
    </w:p>
    <w:p w:rsidR="001246B0" w:rsidRDefault="001246B0" w:rsidP="001246B0">
      <w:pPr>
        <w:numPr>
          <w:ilvl w:val="0"/>
          <w:numId w:val="5"/>
        </w:numPr>
        <w:spacing w:before="100" w:beforeAutospacing="1" w:after="100" w:afterAutospacing="1" w:line="360" w:lineRule="auto"/>
        <w:ind w:right="0"/>
        <w:rPr>
          <w:color w:val="auto"/>
          <w:szCs w:val="26"/>
        </w:rPr>
      </w:pPr>
      <w:r>
        <w:rPr>
          <w:color w:val="auto"/>
          <w:szCs w:val="26"/>
        </w:rPr>
        <w:t xml:space="preserve">Apresente </w:t>
      </w:r>
      <w:r>
        <w:rPr>
          <w:b/>
          <w:bCs/>
          <w:color w:val="auto"/>
          <w:szCs w:val="26"/>
        </w:rPr>
        <w:t>documentação que comprove a definição de entidade reguladora dos serviços de resíduos sólidos</w:t>
      </w:r>
      <w:r>
        <w:rPr>
          <w:color w:val="auto"/>
          <w:szCs w:val="26"/>
        </w:rPr>
        <w:t>, nos moldes legais;</w:t>
      </w:r>
    </w:p>
    <w:p w:rsidR="001246B0" w:rsidRDefault="001246B0" w:rsidP="001246B0">
      <w:pPr>
        <w:numPr>
          <w:ilvl w:val="0"/>
          <w:numId w:val="5"/>
        </w:numPr>
        <w:spacing w:before="100" w:beforeAutospacing="1" w:after="100" w:afterAutospacing="1" w:line="360" w:lineRule="auto"/>
        <w:ind w:right="0"/>
        <w:rPr>
          <w:color w:val="auto"/>
          <w:szCs w:val="26"/>
        </w:rPr>
      </w:pPr>
      <w:r>
        <w:rPr>
          <w:color w:val="auto"/>
          <w:szCs w:val="26"/>
        </w:rPr>
        <w:lastRenderedPageBreak/>
        <w:t xml:space="preserve">Inicie e regulamente a </w:t>
      </w:r>
      <w:r>
        <w:rPr>
          <w:b/>
          <w:bCs/>
          <w:color w:val="auto"/>
          <w:szCs w:val="26"/>
        </w:rPr>
        <w:t>cobrança pelos serviços de manejo de resíduos sólidos urbanos</w:t>
      </w:r>
      <w:r>
        <w:rPr>
          <w:color w:val="auto"/>
          <w:szCs w:val="26"/>
        </w:rPr>
        <w:t>, conforme as diretrizes da legislação nacional;</w:t>
      </w:r>
    </w:p>
    <w:p w:rsidR="001246B0" w:rsidRDefault="001246B0" w:rsidP="001246B0">
      <w:pPr>
        <w:numPr>
          <w:ilvl w:val="0"/>
          <w:numId w:val="5"/>
        </w:numPr>
        <w:spacing w:before="100" w:beforeAutospacing="1" w:after="100" w:afterAutospacing="1" w:line="360" w:lineRule="auto"/>
        <w:ind w:right="0"/>
        <w:rPr>
          <w:color w:val="auto"/>
          <w:szCs w:val="26"/>
        </w:rPr>
      </w:pPr>
      <w:r>
        <w:rPr>
          <w:color w:val="auto"/>
          <w:szCs w:val="26"/>
        </w:rPr>
        <w:t xml:space="preserve">Encaminhe, no prazo de </w:t>
      </w:r>
      <w:r>
        <w:rPr>
          <w:b/>
          <w:bCs/>
          <w:color w:val="auto"/>
          <w:szCs w:val="26"/>
        </w:rPr>
        <w:t>30 dias</w:t>
      </w:r>
      <w:r>
        <w:rPr>
          <w:color w:val="auto"/>
          <w:szCs w:val="26"/>
        </w:rPr>
        <w:t>, a esta Controladoria os documentos comprobatórios que serão remetidos ao Tribunal de Contas.</w:t>
      </w:r>
    </w:p>
    <w:p w:rsidR="001246B0" w:rsidRDefault="001246B0" w:rsidP="001246B0">
      <w:pPr>
        <w:spacing w:before="100" w:beforeAutospacing="1" w:after="100" w:afterAutospacing="1" w:line="360" w:lineRule="auto"/>
        <w:ind w:left="0" w:right="0" w:firstLine="0"/>
        <w:rPr>
          <w:color w:val="auto"/>
          <w:szCs w:val="26"/>
        </w:rPr>
      </w:pPr>
      <w:r>
        <w:rPr>
          <w:color w:val="auto"/>
          <w:szCs w:val="26"/>
        </w:rPr>
        <w:t>Coloco-me à disposição para auxiliar no encaminhamento das medidas cabíveis e reforço a importância da ação imediata para evitar consequências legais à administração municipal.</w:t>
      </w:r>
    </w:p>
    <w:p w:rsidR="00BF00F2" w:rsidRPr="009111F7" w:rsidRDefault="00BF00F2" w:rsidP="009111F7">
      <w:pPr>
        <w:spacing w:before="100" w:beforeAutospacing="1" w:after="100" w:afterAutospacing="1" w:line="240" w:lineRule="auto"/>
        <w:ind w:left="0" w:right="0" w:firstLine="0"/>
        <w:jc w:val="left"/>
        <w:rPr>
          <w:color w:val="auto"/>
          <w:sz w:val="24"/>
          <w:szCs w:val="24"/>
        </w:rPr>
      </w:pPr>
    </w:p>
    <w:p w:rsidR="009E027A" w:rsidRDefault="009E027A" w:rsidP="009E027A">
      <w:pPr>
        <w:ind w:left="-5" w:right="52"/>
        <w:jc w:val="center"/>
      </w:pPr>
    </w:p>
    <w:p w:rsidR="009E027A" w:rsidRDefault="009E027A" w:rsidP="009E027A">
      <w:pPr>
        <w:ind w:left="-5" w:right="52"/>
        <w:jc w:val="center"/>
      </w:pPr>
    </w:p>
    <w:p w:rsidR="009E027A" w:rsidRDefault="009E027A" w:rsidP="009E027A">
      <w:pPr>
        <w:spacing w:line="360" w:lineRule="auto"/>
        <w:jc w:val="right"/>
        <w:rPr>
          <w:sz w:val="24"/>
          <w:szCs w:val="24"/>
        </w:rPr>
      </w:pPr>
      <w:r>
        <w:rPr>
          <w:sz w:val="24"/>
          <w:szCs w:val="24"/>
        </w:rPr>
        <w:t xml:space="preserve">Ecoporanga–ES, </w:t>
      </w:r>
      <w:r w:rsidR="001246B0">
        <w:rPr>
          <w:sz w:val="24"/>
          <w:szCs w:val="24"/>
        </w:rPr>
        <w:t>14</w:t>
      </w:r>
      <w:r>
        <w:rPr>
          <w:sz w:val="24"/>
          <w:szCs w:val="24"/>
        </w:rPr>
        <w:t xml:space="preserve"> de </w:t>
      </w:r>
      <w:r w:rsidR="001246B0">
        <w:rPr>
          <w:sz w:val="24"/>
          <w:szCs w:val="24"/>
        </w:rPr>
        <w:t xml:space="preserve">abril </w:t>
      </w:r>
      <w:r>
        <w:rPr>
          <w:sz w:val="24"/>
          <w:szCs w:val="24"/>
        </w:rPr>
        <w:t>de 202</w:t>
      </w:r>
      <w:r w:rsidR="001246B0">
        <w:rPr>
          <w:sz w:val="24"/>
          <w:szCs w:val="24"/>
        </w:rPr>
        <w:t>5</w:t>
      </w:r>
      <w:r>
        <w:rPr>
          <w:sz w:val="24"/>
          <w:szCs w:val="24"/>
        </w:rPr>
        <w:t>.</w:t>
      </w:r>
    </w:p>
    <w:p w:rsidR="009E027A" w:rsidRDefault="009E027A" w:rsidP="009E027A">
      <w:pPr>
        <w:spacing w:line="360" w:lineRule="auto"/>
        <w:rPr>
          <w:sz w:val="24"/>
          <w:szCs w:val="24"/>
        </w:rPr>
      </w:pPr>
    </w:p>
    <w:p w:rsidR="009E027A" w:rsidRDefault="009E027A" w:rsidP="009E027A">
      <w:pPr>
        <w:spacing w:line="360" w:lineRule="auto"/>
        <w:rPr>
          <w:sz w:val="24"/>
          <w:szCs w:val="24"/>
        </w:rPr>
      </w:pPr>
    </w:p>
    <w:p w:rsidR="001246B0" w:rsidRDefault="001246B0" w:rsidP="009E027A">
      <w:pPr>
        <w:spacing w:line="360" w:lineRule="auto"/>
        <w:rPr>
          <w:sz w:val="24"/>
          <w:szCs w:val="24"/>
        </w:rPr>
      </w:pPr>
    </w:p>
    <w:p w:rsidR="001246B0" w:rsidRDefault="001246B0" w:rsidP="009E027A">
      <w:pPr>
        <w:spacing w:line="360" w:lineRule="auto"/>
        <w:rPr>
          <w:sz w:val="24"/>
          <w:szCs w:val="24"/>
        </w:rPr>
      </w:pPr>
    </w:p>
    <w:p w:rsidR="001246B0" w:rsidRDefault="001246B0" w:rsidP="009E027A">
      <w:pPr>
        <w:spacing w:line="360" w:lineRule="auto"/>
        <w:rPr>
          <w:sz w:val="24"/>
          <w:szCs w:val="24"/>
        </w:rPr>
      </w:pPr>
    </w:p>
    <w:p w:rsidR="001246B0" w:rsidRDefault="001246B0" w:rsidP="009E027A">
      <w:pPr>
        <w:spacing w:line="360" w:lineRule="auto"/>
        <w:rPr>
          <w:sz w:val="24"/>
          <w:szCs w:val="24"/>
        </w:rPr>
      </w:pPr>
    </w:p>
    <w:p w:rsidR="001246B0" w:rsidRDefault="001246B0" w:rsidP="009E027A">
      <w:pPr>
        <w:spacing w:line="360" w:lineRule="auto"/>
        <w:rPr>
          <w:sz w:val="24"/>
          <w:szCs w:val="24"/>
        </w:rPr>
      </w:pPr>
    </w:p>
    <w:p w:rsidR="009E027A" w:rsidRDefault="009E027A" w:rsidP="009E027A">
      <w:pPr>
        <w:spacing w:line="360" w:lineRule="auto"/>
        <w:rPr>
          <w:sz w:val="24"/>
          <w:szCs w:val="24"/>
        </w:rPr>
      </w:pPr>
    </w:p>
    <w:p w:rsidR="009E027A" w:rsidRDefault="009E027A" w:rsidP="009E027A">
      <w:pPr>
        <w:spacing w:line="240" w:lineRule="auto"/>
        <w:jc w:val="center"/>
        <w:rPr>
          <w:b/>
          <w:sz w:val="24"/>
          <w:szCs w:val="24"/>
        </w:rPr>
      </w:pPr>
      <w:r>
        <w:rPr>
          <w:b/>
          <w:sz w:val="24"/>
          <w:szCs w:val="24"/>
        </w:rPr>
        <w:t>REJANE C. R. PINHEIRO ALMEIDA</w:t>
      </w:r>
    </w:p>
    <w:p w:rsidR="00553C11" w:rsidRPr="009E027A" w:rsidRDefault="009E027A" w:rsidP="009E027A">
      <w:pPr>
        <w:spacing w:line="240" w:lineRule="auto"/>
        <w:jc w:val="center"/>
        <w:rPr>
          <w:b/>
          <w:sz w:val="24"/>
          <w:szCs w:val="24"/>
        </w:rPr>
      </w:pPr>
      <w:r>
        <w:rPr>
          <w:b/>
          <w:sz w:val="24"/>
          <w:szCs w:val="24"/>
        </w:rPr>
        <w:t>Controladora Geral do Município</w:t>
      </w:r>
      <w:r>
        <w:rPr>
          <w:rStyle w:val="Refdenotaderodap"/>
          <w:b/>
          <w:sz w:val="24"/>
          <w:szCs w:val="24"/>
        </w:rPr>
        <w:footnoteReference w:id="1"/>
      </w:r>
    </w:p>
    <w:p w:rsidR="00553C11" w:rsidRPr="00870908" w:rsidRDefault="00553C11" w:rsidP="00553C11"/>
    <w:p w:rsidR="00553C11" w:rsidRDefault="00553C11" w:rsidP="00553C11">
      <w:pPr>
        <w:ind w:left="-5" w:right="52"/>
        <w:jc w:val="center"/>
      </w:pPr>
    </w:p>
    <w:p w:rsidR="000D4237" w:rsidRDefault="000D4237" w:rsidP="000D4237">
      <w:pPr>
        <w:spacing w:after="63" w:line="259" w:lineRule="auto"/>
        <w:ind w:left="0" w:right="0" w:firstLine="0"/>
        <w:jc w:val="left"/>
      </w:pPr>
    </w:p>
    <w:sectPr w:rsidR="000D4237" w:rsidSect="001246B0">
      <w:headerReference w:type="default" r:id="rId8"/>
      <w:footerReference w:type="default" r:id="rId9"/>
      <w:pgSz w:w="11906" w:h="16838"/>
      <w:pgMar w:top="1417" w:right="1701" w:bottom="1417" w:left="1701" w:header="153" w:footer="264"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207" w:rsidRDefault="00427207" w:rsidP="00427207">
      <w:pPr>
        <w:spacing w:line="240" w:lineRule="auto"/>
      </w:pPr>
      <w:r>
        <w:separator/>
      </w:r>
    </w:p>
  </w:endnote>
  <w:endnote w:type="continuationSeparator" w:id="0">
    <w:p w:rsidR="00427207" w:rsidRDefault="00427207" w:rsidP="004272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insideH w:val="single" w:sz="4" w:space="0" w:color="auto"/>
        <w:insideV w:val="single" w:sz="4" w:space="0" w:color="auto"/>
      </w:tblBorders>
      <w:tblLook w:val="04A0" w:firstRow="1" w:lastRow="0" w:firstColumn="1" w:lastColumn="0" w:noHBand="0" w:noVBand="1"/>
    </w:tblPr>
    <w:tblGrid>
      <w:gridCol w:w="6973"/>
      <w:gridCol w:w="1531"/>
    </w:tblGrid>
    <w:tr w:rsidR="009173AE" w:rsidRPr="009173AE" w:rsidTr="009173AE">
      <w:tc>
        <w:tcPr>
          <w:tcW w:w="4100" w:type="pct"/>
          <w:shd w:val="clear" w:color="auto" w:fill="auto"/>
        </w:tcPr>
        <w:p w:rsidR="009173AE" w:rsidRPr="009173AE" w:rsidRDefault="00427207" w:rsidP="009173AE">
          <w:pPr>
            <w:tabs>
              <w:tab w:val="center" w:pos="4252"/>
              <w:tab w:val="right" w:pos="8504"/>
            </w:tabs>
            <w:spacing w:line="240" w:lineRule="auto"/>
            <w:ind w:left="0" w:right="0" w:firstLine="0"/>
            <w:jc w:val="center"/>
            <w:rPr>
              <w:rFonts w:ascii="Verdana" w:eastAsia="Calibri" w:hAnsi="Verdana"/>
              <w:i/>
              <w:color w:val="auto"/>
              <w:sz w:val="16"/>
              <w:szCs w:val="16"/>
              <w:lang w:eastAsia="en-US"/>
            </w:rPr>
          </w:pPr>
          <w:r w:rsidRPr="009173AE">
            <w:rPr>
              <w:rFonts w:ascii="Verdana" w:eastAsia="Calibri" w:hAnsi="Verdana"/>
              <w:i/>
              <w:color w:val="auto"/>
              <w:sz w:val="16"/>
              <w:szCs w:val="16"/>
              <w:lang w:eastAsia="en-US"/>
            </w:rPr>
            <w:t xml:space="preserve">Rua Suelon Dias Mendonça, nº. 20, Centro, Ecoporanga/ES – CEP: 29.850-000 </w:t>
          </w:r>
        </w:p>
        <w:p w:rsidR="009173AE" w:rsidRPr="009173AE" w:rsidRDefault="00427207" w:rsidP="009173AE">
          <w:pPr>
            <w:tabs>
              <w:tab w:val="center" w:pos="4252"/>
              <w:tab w:val="right" w:pos="8504"/>
            </w:tabs>
            <w:spacing w:line="240" w:lineRule="auto"/>
            <w:ind w:left="0" w:right="0" w:firstLine="0"/>
            <w:jc w:val="center"/>
            <w:rPr>
              <w:rFonts w:ascii="Verdana" w:eastAsia="Calibri" w:hAnsi="Verdana"/>
              <w:i/>
              <w:color w:val="auto"/>
              <w:sz w:val="16"/>
              <w:szCs w:val="16"/>
              <w:lang w:eastAsia="en-US"/>
            </w:rPr>
          </w:pPr>
          <w:r w:rsidRPr="009173AE">
            <w:rPr>
              <w:rFonts w:ascii="Verdana" w:eastAsia="Calibri" w:hAnsi="Verdana"/>
              <w:i/>
              <w:color w:val="auto"/>
              <w:sz w:val="16"/>
              <w:szCs w:val="16"/>
              <w:lang w:eastAsia="en-US"/>
            </w:rPr>
            <w:t xml:space="preserve">E-mail: </w:t>
          </w:r>
          <w:r>
            <w:rPr>
              <w:rFonts w:ascii="Verdana" w:eastAsia="Calibri" w:hAnsi="Verdana"/>
              <w:i/>
              <w:color w:val="auto"/>
              <w:sz w:val="16"/>
              <w:szCs w:val="16"/>
              <w:lang w:eastAsia="en-US"/>
            </w:rPr>
            <w:t>controladoria</w:t>
          </w:r>
          <w:r w:rsidRPr="009173AE">
            <w:rPr>
              <w:rFonts w:ascii="Verdana" w:eastAsia="Calibri" w:hAnsi="Verdana"/>
              <w:i/>
              <w:color w:val="auto"/>
              <w:sz w:val="16"/>
              <w:szCs w:val="16"/>
              <w:lang w:eastAsia="en-US"/>
            </w:rPr>
            <w:t>@ecoporanga.es.gov.br</w:t>
          </w:r>
        </w:p>
      </w:tc>
      <w:tc>
        <w:tcPr>
          <w:tcW w:w="900" w:type="pct"/>
          <w:shd w:val="clear" w:color="auto" w:fill="auto"/>
          <w:vAlign w:val="center"/>
        </w:tcPr>
        <w:p w:rsidR="009173AE" w:rsidRPr="009173AE" w:rsidRDefault="00427207" w:rsidP="009173AE">
          <w:pPr>
            <w:tabs>
              <w:tab w:val="center" w:pos="4252"/>
              <w:tab w:val="right" w:pos="8504"/>
            </w:tabs>
            <w:spacing w:line="240" w:lineRule="auto"/>
            <w:ind w:left="0" w:right="0" w:firstLine="0"/>
            <w:jc w:val="left"/>
            <w:rPr>
              <w:rFonts w:ascii="Century Gothic" w:eastAsia="Calibri" w:hAnsi="Century Gothic" w:cs="Aharoni"/>
              <w:sz w:val="16"/>
              <w:szCs w:val="16"/>
              <w:lang w:eastAsia="en-US"/>
            </w:rPr>
          </w:pPr>
          <w:r w:rsidRPr="009173AE">
            <w:rPr>
              <w:rFonts w:ascii="Century Gothic" w:eastAsia="Calibri" w:hAnsi="Century Gothic" w:cs="Aharoni"/>
              <w:sz w:val="16"/>
              <w:szCs w:val="16"/>
              <w:lang w:eastAsia="en-US"/>
            </w:rPr>
            <w:t xml:space="preserve">Página </w:t>
          </w:r>
          <w:r w:rsidRPr="009173AE">
            <w:rPr>
              <w:rFonts w:ascii="Century Gothic" w:eastAsia="Calibri" w:hAnsi="Century Gothic" w:cs="Aharoni"/>
              <w:b/>
              <w:bCs/>
              <w:sz w:val="16"/>
              <w:szCs w:val="16"/>
              <w:lang w:eastAsia="en-US"/>
            </w:rPr>
            <w:fldChar w:fldCharType="begin"/>
          </w:r>
          <w:r w:rsidRPr="009173AE">
            <w:rPr>
              <w:rFonts w:ascii="Century Gothic" w:eastAsia="Calibri" w:hAnsi="Century Gothic" w:cs="Aharoni"/>
              <w:b/>
              <w:bCs/>
              <w:sz w:val="16"/>
              <w:szCs w:val="16"/>
              <w:lang w:eastAsia="en-US"/>
            </w:rPr>
            <w:instrText>PAGE  \* Arabic  \* MERGEFORMAT</w:instrText>
          </w:r>
          <w:r w:rsidRPr="009173AE">
            <w:rPr>
              <w:rFonts w:ascii="Century Gothic" w:eastAsia="Calibri" w:hAnsi="Century Gothic" w:cs="Aharoni"/>
              <w:b/>
              <w:bCs/>
              <w:sz w:val="16"/>
              <w:szCs w:val="16"/>
              <w:lang w:eastAsia="en-US"/>
            </w:rPr>
            <w:fldChar w:fldCharType="separate"/>
          </w:r>
          <w:r>
            <w:rPr>
              <w:rFonts w:ascii="Century Gothic" w:eastAsia="Calibri" w:hAnsi="Century Gothic" w:cs="Aharoni"/>
              <w:b/>
              <w:bCs/>
              <w:noProof/>
              <w:sz w:val="16"/>
              <w:szCs w:val="16"/>
              <w:lang w:eastAsia="en-US"/>
            </w:rPr>
            <w:t>3</w:t>
          </w:r>
          <w:r w:rsidRPr="009173AE">
            <w:rPr>
              <w:rFonts w:ascii="Century Gothic" w:eastAsia="Calibri" w:hAnsi="Century Gothic" w:cs="Aharoni"/>
              <w:b/>
              <w:bCs/>
              <w:sz w:val="16"/>
              <w:szCs w:val="16"/>
              <w:lang w:eastAsia="en-US"/>
            </w:rPr>
            <w:fldChar w:fldCharType="end"/>
          </w:r>
          <w:r w:rsidRPr="009173AE">
            <w:rPr>
              <w:rFonts w:ascii="Century Gothic" w:eastAsia="Calibri" w:hAnsi="Century Gothic" w:cs="Aharoni"/>
              <w:sz w:val="16"/>
              <w:szCs w:val="16"/>
              <w:lang w:eastAsia="en-US"/>
            </w:rPr>
            <w:t xml:space="preserve"> de </w:t>
          </w:r>
          <w:r w:rsidRPr="009173AE">
            <w:rPr>
              <w:rFonts w:ascii="Century Gothic" w:eastAsia="Calibri" w:hAnsi="Century Gothic"/>
              <w:b/>
              <w:color w:val="auto"/>
              <w:sz w:val="16"/>
              <w:szCs w:val="16"/>
              <w:lang w:eastAsia="en-US"/>
            </w:rPr>
            <w:fldChar w:fldCharType="begin"/>
          </w:r>
          <w:r w:rsidRPr="009173AE">
            <w:rPr>
              <w:rFonts w:ascii="Century Gothic" w:eastAsia="Calibri" w:hAnsi="Century Gothic"/>
              <w:b/>
              <w:color w:val="auto"/>
              <w:sz w:val="16"/>
              <w:szCs w:val="16"/>
              <w:lang w:eastAsia="en-US"/>
            </w:rPr>
            <w:instrText>NUMPAGES  \* Arabic  \* MERGEFORMAT</w:instrText>
          </w:r>
          <w:r w:rsidRPr="009173AE">
            <w:rPr>
              <w:rFonts w:ascii="Century Gothic" w:eastAsia="Calibri" w:hAnsi="Century Gothic"/>
              <w:b/>
              <w:color w:val="auto"/>
              <w:sz w:val="16"/>
              <w:szCs w:val="16"/>
              <w:lang w:eastAsia="en-US"/>
            </w:rPr>
            <w:fldChar w:fldCharType="separate"/>
          </w:r>
          <w:r w:rsidRPr="009173AE">
            <w:rPr>
              <w:rFonts w:ascii="Century Gothic" w:eastAsia="Calibri" w:hAnsi="Century Gothic" w:cs="Aharoni"/>
              <w:b/>
              <w:bCs/>
              <w:noProof/>
              <w:sz w:val="16"/>
              <w:szCs w:val="16"/>
              <w:lang w:eastAsia="en-US"/>
            </w:rPr>
            <w:t>3</w:t>
          </w:r>
          <w:r w:rsidRPr="009173AE">
            <w:rPr>
              <w:rFonts w:ascii="Century Gothic" w:eastAsia="Calibri" w:hAnsi="Century Gothic" w:cs="Aharoni"/>
              <w:b/>
              <w:bCs/>
              <w:noProof/>
              <w:sz w:val="16"/>
              <w:szCs w:val="16"/>
              <w:lang w:eastAsia="en-US"/>
            </w:rPr>
            <w:fldChar w:fldCharType="end"/>
          </w:r>
        </w:p>
      </w:tc>
    </w:tr>
  </w:tbl>
  <w:p w:rsidR="00E84B5F" w:rsidRPr="009173AE" w:rsidRDefault="001246B0" w:rsidP="00D64D62">
    <w:pPr>
      <w:pStyle w:val="Rodap"/>
      <w:rPr>
        <w:rFonts w:eastAsia="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207" w:rsidRDefault="00427207" w:rsidP="00427207">
      <w:pPr>
        <w:spacing w:line="240" w:lineRule="auto"/>
      </w:pPr>
      <w:r>
        <w:separator/>
      </w:r>
    </w:p>
  </w:footnote>
  <w:footnote w:type="continuationSeparator" w:id="0">
    <w:p w:rsidR="00427207" w:rsidRDefault="00427207" w:rsidP="00427207">
      <w:pPr>
        <w:spacing w:line="240" w:lineRule="auto"/>
      </w:pPr>
      <w:r>
        <w:continuationSeparator/>
      </w:r>
    </w:p>
  </w:footnote>
  <w:footnote w:id="1">
    <w:p w:rsidR="009E027A" w:rsidRDefault="009E027A" w:rsidP="009E027A">
      <w:pPr>
        <w:pStyle w:val="Textodenotaderodap"/>
      </w:pPr>
      <w:r>
        <w:rPr>
          <w:rStyle w:val="Refdenotaderodap"/>
        </w:rPr>
        <w:footnoteRef/>
      </w:r>
      <w:r>
        <w:t xml:space="preserve"> </w:t>
      </w:r>
      <w:r>
        <w:rPr>
          <w:rFonts w:ascii="Times New Roman" w:hAnsi="Times New Roman" w:cs="Times New Roman"/>
        </w:rPr>
        <w:t>Decreto de Nomeação n.º 9.</w:t>
      </w:r>
      <w:r w:rsidR="001246B0">
        <w:rPr>
          <w:rFonts w:ascii="Times New Roman" w:hAnsi="Times New Roman" w:cs="Times New Roman"/>
        </w:rPr>
        <w:t>913</w:t>
      </w:r>
      <w:r>
        <w:rPr>
          <w:rFonts w:ascii="Times New Roman" w:hAnsi="Times New Roman" w:cs="Times New Roman"/>
        </w:rPr>
        <w:t>/2024.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B5F" w:rsidRDefault="00427207" w:rsidP="00CF0F8B">
    <w:pPr>
      <w:spacing w:line="259" w:lineRule="auto"/>
      <w:ind w:right="16"/>
      <w:jc w:val="center"/>
      <w:rPr>
        <w:rFonts w:ascii="Bookman Old Style" w:eastAsia="Bookman Old Style" w:hAnsi="Bookman Old Style" w:cs="Bookman Old Style"/>
        <w:b/>
        <w:sz w:val="28"/>
      </w:rPr>
    </w:pPr>
    <w:r>
      <w:rPr>
        <w:rFonts w:ascii="Bookman Old Style" w:eastAsia="Bookman Old Style" w:hAnsi="Bookman Old Style" w:cs="Bookman Old Style"/>
        <w:b/>
        <w:noProof/>
        <w:sz w:val="28"/>
      </w:rPr>
      <w:drawing>
        <wp:anchor distT="0" distB="0" distL="114300" distR="114300" simplePos="0" relativeHeight="251659264" behindDoc="1" locked="0" layoutInCell="1" allowOverlap="1" wp14:anchorId="130F8C22" wp14:editId="567FB34A">
          <wp:simplePos x="0" y="0"/>
          <wp:positionH relativeFrom="column">
            <wp:posOffset>195580</wp:posOffset>
          </wp:positionH>
          <wp:positionV relativeFrom="paragraph">
            <wp:posOffset>228600</wp:posOffset>
          </wp:positionV>
          <wp:extent cx="615950" cy="615950"/>
          <wp:effectExtent l="0" t="0" r="0" b="0"/>
          <wp:wrapNone/>
          <wp:docPr id="5" name="Picture 39"/>
          <wp:cNvGraphicFramePr/>
          <a:graphic xmlns:a="http://schemas.openxmlformats.org/drawingml/2006/main">
            <a:graphicData uri="http://schemas.openxmlformats.org/drawingml/2006/picture">
              <pic:pic xmlns:pic="http://schemas.openxmlformats.org/drawingml/2006/picture">
                <pic:nvPicPr>
                  <pic:cNvPr id="3" name="Picture 39"/>
                  <pic:cNvPicPr/>
                </pic:nvPicPr>
                <pic:blipFill>
                  <a:blip r:embed="rId1"/>
                  <a:stretch>
                    <a:fillRect/>
                  </a:stretch>
                </pic:blipFill>
                <pic:spPr>
                  <a:xfrm>
                    <a:off x="0" y="0"/>
                    <a:ext cx="615950" cy="615950"/>
                  </a:xfrm>
                  <a:prstGeom prst="rect">
                    <a:avLst/>
                  </a:prstGeom>
                </pic:spPr>
              </pic:pic>
            </a:graphicData>
          </a:graphic>
        </wp:anchor>
      </w:drawing>
    </w:r>
  </w:p>
  <w:p w:rsidR="00E84B5F" w:rsidRDefault="001246B0" w:rsidP="00E84B5F">
    <w:pPr>
      <w:spacing w:line="259" w:lineRule="auto"/>
      <w:ind w:right="16"/>
      <w:jc w:val="center"/>
    </w:pPr>
    <w:r>
      <w:rPr>
        <w:rFonts w:ascii="Bookman Old Style" w:eastAsia="Bookman Old Style" w:hAnsi="Bookman Old Style" w:cs="Bookman Old Style"/>
        <w:b/>
        <w:sz w:val="28"/>
      </w:rPr>
      <w:t xml:space="preserve">      </w:t>
    </w:r>
    <w:r w:rsidR="00427207">
      <w:rPr>
        <w:rFonts w:ascii="Bookman Old Style" w:eastAsia="Bookman Old Style" w:hAnsi="Bookman Old Style" w:cs="Bookman Old Style"/>
        <w:b/>
        <w:sz w:val="28"/>
      </w:rPr>
      <w:t xml:space="preserve">PREFEITURA MUNICIPAL DE ECOPORANGA </w:t>
    </w:r>
  </w:p>
  <w:p w:rsidR="00E84B5F" w:rsidRDefault="00427207" w:rsidP="00E84B5F">
    <w:pPr>
      <w:spacing w:line="259" w:lineRule="auto"/>
      <w:ind w:right="52"/>
      <w:jc w:val="center"/>
    </w:pPr>
    <w:r>
      <w:rPr>
        <w:rFonts w:ascii="Bookman Old Style" w:eastAsia="Bookman Old Style" w:hAnsi="Bookman Old Style" w:cs="Bookman Old Style"/>
        <w:b/>
        <w:sz w:val="28"/>
      </w:rPr>
      <w:t xml:space="preserve">ESTADO DO ESPÍRITO SANTO </w:t>
    </w:r>
  </w:p>
  <w:p w:rsidR="00E84B5F" w:rsidRPr="00E84B5F" w:rsidRDefault="00427207" w:rsidP="00E84B5F">
    <w:pPr>
      <w:tabs>
        <w:tab w:val="center" w:pos="1274"/>
        <w:tab w:val="center" w:pos="4926"/>
      </w:tabs>
      <w:spacing w:line="259" w:lineRule="auto"/>
      <w:ind w:left="0" w:right="0" w:firstLine="0"/>
      <w:jc w:val="left"/>
      <w:rPr>
        <w:rFonts w:ascii="Bookman Old Style" w:eastAsia="Century Gothic" w:hAnsi="Bookman Old Style" w:cs="Century Gothic"/>
        <w:sz w:val="24"/>
        <w:szCs w:val="24"/>
      </w:rPr>
    </w:pPr>
    <w:r>
      <w:rPr>
        <w:rFonts w:ascii="Calibri" w:eastAsia="Calibri" w:hAnsi="Calibri" w:cs="Calibri"/>
        <w:sz w:val="22"/>
      </w:rPr>
      <w:tab/>
    </w:r>
    <w:r>
      <w:rPr>
        <w:rFonts w:ascii="Century Gothic" w:eastAsia="Century Gothic" w:hAnsi="Century Gothic" w:cs="Century Gothic"/>
        <w:b/>
        <w:sz w:val="28"/>
      </w:rPr>
      <w:t xml:space="preserve"> </w:t>
    </w:r>
    <w:r w:rsidRPr="00E84B5F">
      <w:rPr>
        <w:rFonts w:ascii="Century Gothic" w:eastAsia="Century Gothic" w:hAnsi="Century Gothic" w:cs="Century Gothic"/>
        <w:b/>
        <w:sz w:val="28"/>
      </w:rPr>
      <w:tab/>
    </w:r>
    <w:r w:rsidRPr="00E84B5F">
      <w:rPr>
        <w:rFonts w:ascii="Bookman Old Style" w:eastAsia="Century Gothic" w:hAnsi="Bookman Old Style" w:cs="Century Gothic"/>
        <w:sz w:val="24"/>
        <w:szCs w:val="24"/>
      </w:rPr>
      <w:t xml:space="preserve">GABINETE DA CONTROLADORIA GERAL DO MUNICÍPIO </w:t>
    </w:r>
  </w:p>
  <w:p w:rsidR="00E84B5F" w:rsidRDefault="00427207" w:rsidP="00E84B5F">
    <w:pPr>
      <w:tabs>
        <w:tab w:val="center" w:pos="1274"/>
        <w:tab w:val="center" w:pos="4926"/>
      </w:tabs>
      <w:spacing w:line="259" w:lineRule="auto"/>
      <w:ind w:left="0" w:right="0" w:firstLine="0"/>
      <w:jc w:val="left"/>
      <w:rPr>
        <w:rFonts w:ascii="Bookman Old Style" w:eastAsia="Bookman Old Style" w:hAnsi="Bookman Old Style" w:cs="Bookman Old Style"/>
        <w:b/>
        <w:sz w:val="22"/>
      </w:rPr>
    </w:pPr>
    <w:r w:rsidRPr="00E84B5F">
      <w:rPr>
        <w:rFonts w:ascii="Bookman Old Style" w:eastAsia="Bookman Old Style" w:hAnsi="Bookman Old Style" w:cs="Bookman Old Style"/>
        <w:b/>
        <w:sz w:val="22"/>
      </w:rPr>
      <w:t xml:space="preserve"> 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522D5"/>
    <w:multiLevelType w:val="multilevel"/>
    <w:tmpl w:val="1814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F2BC4"/>
    <w:multiLevelType w:val="multilevel"/>
    <w:tmpl w:val="66286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321149"/>
    <w:multiLevelType w:val="hybridMultilevel"/>
    <w:tmpl w:val="A6905110"/>
    <w:lvl w:ilvl="0" w:tplc="04160001">
      <w:start w:val="1"/>
      <w:numFmt w:val="bullet"/>
      <w:lvlText w:val=""/>
      <w:lvlJc w:val="left"/>
      <w:pPr>
        <w:ind w:left="705" w:hanging="360"/>
      </w:pPr>
      <w:rPr>
        <w:rFonts w:ascii="Symbol" w:hAnsi="Symbol" w:hint="default"/>
      </w:rPr>
    </w:lvl>
    <w:lvl w:ilvl="1" w:tplc="04160003" w:tentative="1">
      <w:start w:val="1"/>
      <w:numFmt w:val="bullet"/>
      <w:lvlText w:val="o"/>
      <w:lvlJc w:val="left"/>
      <w:pPr>
        <w:ind w:left="1425" w:hanging="360"/>
      </w:pPr>
      <w:rPr>
        <w:rFonts w:ascii="Courier New" w:hAnsi="Courier New" w:cs="Courier New" w:hint="default"/>
      </w:rPr>
    </w:lvl>
    <w:lvl w:ilvl="2" w:tplc="04160005" w:tentative="1">
      <w:start w:val="1"/>
      <w:numFmt w:val="bullet"/>
      <w:lvlText w:val=""/>
      <w:lvlJc w:val="left"/>
      <w:pPr>
        <w:ind w:left="2145" w:hanging="360"/>
      </w:pPr>
      <w:rPr>
        <w:rFonts w:ascii="Wingdings" w:hAnsi="Wingdings" w:hint="default"/>
      </w:rPr>
    </w:lvl>
    <w:lvl w:ilvl="3" w:tplc="04160001" w:tentative="1">
      <w:start w:val="1"/>
      <w:numFmt w:val="bullet"/>
      <w:lvlText w:val=""/>
      <w:lvlJc w:val="left"/>
      <w:pPr>
        <w:ind w:left="2865" w:hanging="360"/>
      </w:pPr>
      <w:rPr>
        <w:rFonts w:ascii="Symbol" w:hAnsi="Symbol" w:hint="default"/>
      </w:rPr>
    </w:lvl>
    <w:lvl w:ilvl="4" w:tplc="04160003" w:tentative="1">
      <w:start w:val="1"/>
      <w:numFmt w:val="bullet"/>
      <w:lvlText w:val="o"/>
      <w:lvlJc w:val="left"/>
      <w:pPr>
        <w:ind w:left="3585" w:hanging="360"/>
      </w:pPr>
      <w:rPr>
        <w:rFonts w:ascii="Courier New" w:hAnsi="Courier New" w:cs="Courier New" w:hint="default"/>
      </w:rPr>
    </w:lvl>
    <w:lvl w:ilvl="5" w:tplc="04160005" w:tentative="1">
      <w:start w:val="1"/>
      <w:numFmt w:val="bullet"/>
      <w:lvlText w:val=""/>
      <w:lvlJc w:val="left"/>
      <w:pPr>
        <w:ind w:left="4305" w:hanging="360"/>
      </w:pPr>
      <w:rPr>
        <w:rFonts w:ascii="Wingdings" w:hAnsi="Wingdings" w:hint="default"/>
      </w:rPr>
    </w:lvl>
    <w:lvl w:ilvl="6" w:tplc="04160001" w:tentative="1">
      <w:start w:val="1"/>
      <w:numFmt w:val="bullet"/>
      <w:lvlText w:val=""/>
      <w:lvlJc w:val="left"/>
      <w:pPr>
        <w:ind w:left="5025" w:hanging="360"/>
      </w:pPr>
      <w:rPr>
        <w:rFonts w:ascii="Symbol" w:hAnsi="Symbol" w:hint="default"/>
      </w:rPr>
    </w:lvl>
    <w:lvl w:ilvl="7" w:tplc="04160003" w:tentative="1">
      <w:start w:val="1"/>
      <w:numFmt w:val="bullet"/>
      <w:lvlText w:val="o"/>
      <w:lvlJc w:val="left"/>
      <w:pPr>
        <w:ind w:left="5745" w:hanging="360"/>
      </w:pPr>
      <w:rPr>
        <w:rFonts w:ascii="Courier New" w:hAnsi="Courier New" w:cs="Courier New" w:hint="default"/>
      </w:rPr>
    </w:lvl>
    <w:lvl w:ilvl="8" w:tplc="04160005" w:tentative="1">
      <w:start w:val="1"/>
      <w:numFmt w:val="bullet"/>
      <w:lvlText w:val=""/>
      <w:lvlJc w:val="left"/>
      <w:pPr>
        <w:ind w:left="6465" w:hanging="360"/>
      </w:pPr>
      <w:rPr>
        <w:rFonts w:ascii="Wingdings" w:hAnsi="Wingdings" w:hint="default"/>
      </w:rPr>
    </w:lvl>
  </w:abstractNum>
  <w:num w:numId="1">
    <w:abstractNumId w:val="2"/>
  </w:num>
  <w:num w:numId="2">
    <w:abstractNumId w:val="0"/>
  </w:num>
  <w:num w:numId="3">
    <w:abstractNumId w:val="1"/>
  </w:num>
  <w:num w:numId="4">
    <w:abstractNumId w:val="0"/>
    <w:lvlOverride w:ilvl="0"/>
    <w:lvlOverride w:ilvl="1"/>
    <w:lvlOverride w:ilvl="2"/>
    <w:lvlOverride w:ilvl="3"/>
    <w:lvlOverride w:ilvl="4"/>
    <w:lvlOverride w:ilvl="5"/>
    <w:lvlOverride w:ilvl="6"/>
    <w:lvlOverride w:ilvl="7"/>
    <w:lvlOverride w:ilv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37"/>
    <w:rsid w:val="00046549"/>
    <w:rsid w:val="000D4237"/>
    <w:rsid w:val="001246B0"/>
    <w:rsid w:val="00157A09"/>
    <w:rsid w:val="003003A8"/>
    <w:rsid w:val="00306D8B"/>
    <w:rsid w:val="003114D1"/>
    <w:rsid w:val="003D5D4C"/>
    <w:rsid w:val="00427207"/>
    <w:rsid w:val="004A2B47"/>
    <w:rsid w:val="00553C11"/>
    <w:rsid w:val="0079091B"/>
    <w:rsid w:val="00805431"/>
    <w:rsid w:val="008507F9"/>
    <w:rsid w:val="008F680B"/>
    <w:rsid w:val="009111F7"/>
    <w:rsid w:val="00934BAB"/>
    <w:rsid w:val="009E027A"/>
    <w:rsid w:val="00A46CB4"/>
    <w:rsid w:val="00AD1B74"/>
    <w:rsid w:val="00B14D69"/>
    <w:rsid w:val="00B4607B"/>
    <w:rsid w:val="00B72D57"/>
    <w:rsid w:val="00B8388C"/>
    <w:rsid w:val="00BF00F2"/>
    <w:rsid w:val="00DA3BB2"/>
    <w:rsid w:val="00DD75B6"/>
    <w:rsid w:val="00E358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C97C5"/>
  <w15:chartTrackingRefBased/>
  <w15:docId w15:val="{81D4F7BE-DF7B-4190-BE47-0D6B0A294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237"/>
    <w:pPr>
      <w:spacing w:after="0" w:line="358" w:lineRule="auto"/>
      <w:ind w:left="10" w:right="603" w:hanging="10"/>
      <w:jc w:val="both"/>
    </w:pPr>
    <w:rPr>
      <w:rFonts w:ascii="Times New Roman" w:eastAsia="Times New Roman" w:hAnsi="Times New Roman" w:cs="Times New Roman"/>
      <w:color w:val="000000"/>
      <w:sz w:val="26"/>
      <w:lang w:eastAsia="pt-BR"/>
    </w:rPr>
  </w:style>
  <w:style w:type="paragraph" w:styleId="Ttulo1">
    <w:name w:val="heading 1"/>
    <w:next w:val="Normal"/>
    <w:link w:val="Ttulo1Char"/>
    <w:uiPriority w:val="9"/>
    <w:qFormat/>
    <w:rsid w:val="000D4237"/>
    <w:pPr>
      <w:keepNext/>
      <w:keepLines/>
      <w:spacing w:after="25"/>
      <w:ind w:left="1344" w:right="52"/>
      <w:outlineLvl w:val="0"/>
    </w:pPr>
    <w:rPr>
      <w:rFonts w:ascii="Times New Roman" w:eastAsia="Times New Roman" w:hAnsi="Times New Roman" w:cs="Times New Roman"/>
      <w:b/>
      <w:color w:val="000000"/>
      <w:sz w:val="32"/>
      <w:lang w:eastAsia="pt-BR"/>
    </w:rPr>
  </w:style>
  <w:style w:type="paragraph" w:styleId="Ttulo2">
    <w:name w:val="heading 2"/>
    <w:basedOn w:val="Normal"/>
    <w:next w:val="Normal"/>
    <w:link w:val="Ttulo2Char"/>
    <w:uiPriority w:val="9"/>
    <w:semiHidden/>
    <w:unhideWhenUsed/>
    <w:qFormat/>
    <w:rsid w:val="009111F7"/>
    <w:pPr>
      <w:keepNext/>
      <w:keepLines/>
      <w:spacing w:before="40"/>
      <w:outlineLvl w:val="1"/>
    </w:pPr>
    <w:rPr>
      <w:rFonts w:asciiTheme="majorHAnsi" w:eastAsiaTheme="majorEastAsia" w:hAnsiTheme="majorHAnsi" w:cstheme="majorBidi"/>
      <w:color w:val="2F5496" w:themeColor="accent1" w:themeShade="BF"/>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D4237"/>
    <w:rPr>
      <w:rFonts w:ascii="Times New Roman" w:eastAsia="Times New Roman" w:hAnsi="Times New Roman" w:cs="Times New Roman"/>
      <w:b/>
      <w:color w:val="000000"/>
      <w:sz w:val="32"/>
      <w:lang w:eastAsia="pt-BR"/>
    </w:rPr>
  </w:style>
  <w:style w:type="paragraph" w:styleId="Rodap">
    <w:name w:val="footer"/>
    <w:basedOn w:val="Normal"/>
    <w:link w:val="RodapChar"/>
    <w:uiPriority w:val="99"/>
    <w:unhideWhenUsed/>
    <w:rsid w:val="000D4237"/>
    <w:pPr>
      <w:tabs>
        <w:tab w:val="center" w:pos="4252"/>
        <w:tab w:val="right" w:pos="8504"/>
      </w:tabs>
      <w:spacing w:line="240" w:lineRule="auto"/>
    </w:pPr>
  </w:style>
  <w:style w:type="character" w:customStyle="1" w:styleId="RodapChar">
    <w:name w:val="Rodapé Char"/>
    <w:basedOn w:val="Fontepargpadro"/>
    <w:link w:val="Rodap"/>
    <w:uiPriority w:val="99"/>
    <w:rsid w:val="000D4237"/>
    <w:rPr>
      <w:rFonts w:ascii="Times New Roman" w:eastAsia="Times New Roman" w:hAnsi="Times New Roman" w:cs="Times New Roman"/>
      <w:color w:val="000000"/>
      <w:sz w:val="26"/>
      <w:lang w:eastAsia="pt-BR"/>
    </w:rPr>
  </w:style>
  <w:style w:type="character" w:styleId="Hyperlink">
    <w:name w:val="Hyperlink"/>
    <w:basedOn w:val="Fontepargpadro"/>
    <w:uiPriority w:val="99"/>
    <w:unhideWhenUsed/>
    <w:rsid w:val="00B72D57"/>
    <w:rPr>
      <w:color w:val="0563C1" w:themeColor="hyperlink"/>
      <w:u w:val="single"/>
    </w:rPr>
  </w:style>
  <w:style w:type="character" w:styleId="MenoPendente">
    <w:name w:val="Unresolved Mention"/>
    <w:basedOn w:val="Fontepargpadro"/>
    <w:uiPriority w:val="99"/>
    <w:semiHidden/>
    <w:unhideWhenUsed/>
    <w:rsid w:val="00B72D57"/>
    <w:rPr>
      <w:color w:val="605E5C"/>
      <w:shd w:val="clear" w:color="auto" w:fill="E1DFDD"/>
    </w:rPr>
  </w:style>
  <w:style w:type="paragraph" w:styleId="Cabealho">
    <w:name w:val="header"/>
    <w:basedOn w:val="Normal"/>
    <w:link w:val="CabealhoChar"/>
    <w:uiPriority w:val="99"/>
    <w:unhideWhenUsed/>
    <w:rsid w:val="00427207"/>
    <w:pPr>
      <w:tabs>
        <w:tab w:val="center" w:pos="4252"/>
        <w:tab w:val="right" w:pos="8504"/>
      </w:tabs>
      <w:spacing w:line="240" w:lineRule="auto"/>
    </w:pPr>
  </w:style>
  <w:style w:type="character" w:customStyle="1" w:styleId="CabealhoChar">
    <w:name w:val="Cabeçalho Char"/>
    <w:basedOn w:val="Fontepargpadro"/>
    <w:link w:val="Cabealho"/>
    <w:uiPriority w:val="99"/>
    <w:rsid w:val="00427207"/>
    <w:rPr>
      <w:rFonts w:ascii="Times New Roman" w:eastAsia="Times New Roman" w:hAnsi="Times New Roman" w:cs="Times New Roman"/>
      <w:color w:val="000000"/>
      <w:sz w:val="26"/>
      <w:lang w:eastAsia="pt-BR"/>
    </w:rPr>
  </w:style>
  <w:style w:type="paragraph" w:styleId="Textodenotaderodap">
    <w:name w:val="footnote text"/>
    <w:basedOn w:val="Normal"/>
    <w:link w:val="TextodenotaderodapChar"/>
    <w:uiPriority w:val="99"/>
    <w:semiHidden/>
    <w:unhideWhenUsed/>
    <w:rsid w:val="00553C11"/>
    <w:pPr>
      <w:spacing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TextodenotaderodapChar">
    <w:name w:val="Texto de nota de rodapé Char"/>
    <w:basedOn w:val="Fontepargpadro"/>
    <w:link w:val="Textodenotaderodap"/>
    <w:uiPriority w:val="99"/>
    <w:semiHidden/>
    <w:rsid w:val="00553C11"/>
    <w:rPr>
      <w:sz w:val="20"/>
      <w:szCs w:val="20"/>
    </w:rPr>
  </w:style>
  <w:style w:type="character" w:styleId="Refdenotaderodap">
    <w:name w:val="footnote reference"/>
    <w:basedOn w:val="Fontepargpadro"/>
    <w:uiPriority w:val="99"/>
    <w:semiHidden/>
    <w:unhideWhenUsed/>
    <w:rsid w:val="00553C11"/>
    <w:rPr>
      <w:vertAlign w:val="superscript"/>
    </w:rPr>
  </w:style>
  <w:style w:type="paragraph" w:styleId="PargrafodaLista">
    <w:name w:val="List Paragraph"/>
    <w:basedOn w:val="Normal"/>
    <w:uiPriority w:val="34"/>
    <w:qFormat/>
    <w:rsid w:val="008F680B"/>
    <w:pPr>
      <w:ind w:left="720"/>
      <w:contextualSpacing/>
    </w:pPr>
  </w:style>
  <w:style w:type="paragraph" w:customStyle="1" w:styleId="Default">
    <w:name w:val="Default"/>
    <w:rsid w:val="008507F9"/>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157A09"/>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57A09"/>
    <w:rPr>
      <w:rFonts w:ascii="Segoe UI" w:eastAsia="Times New Roman" w:hAnsi="Segoe UI" w:cs="Segoe UI"/>
      <w:color w:val="000000"/>
      <w:sz w:val="18"/>
      <w:szCs w:val="18"/>
      <w:lang w:eastAsia="pt-BR"/>
    </w:rPr>
  </w:style>
  <w:style w:type="character" w:customStyle="1" w:styleId="Ttulo2Char">
    <w:name w:val="Título 2 Char"/>
    <w:basedOn w:val="Fontepargpadro"/>
    <w:link w:val="Ttulo2"/>
    <w:uiPriority w:val="9"/>
    <w:semiHidden/>
    <w:rsid w:val="009111F7"/>
    <w:rPr>
      <w:rFonts w:asciiTheme="majorHAnsi" w:eastAsiaTheme="majorEastAsia" w:hAnsiTheme="majorHAnsi" w:cstheme="majorBidi"/>
      <w:color w:val="2F5496" w:themeColor="accent1" w:themeShade="BF"/>
      <w:sz w:val="26"/>
      <w:szCs w:val="26"/>
      <w:lang w:eastAsia="pt-BR"/>
    </w:rPr>
  </w:style>
  <w:style w:type="character" w:styleId="Forte">
    <w:name w:val="Strong"/>
    <w:basedOn w:val="Fontepargpadro"/>
    <w:uiPriority w:val="22"/>
    <w:qFormat/>
    <w:rsid w:val="009111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71250">
      <w:bodyDiv w:val="1"/>
      <w:marLeft w:val="0"/>
      <w:marRight w:val="0"/>
      <w:marTop w:val="0"/>
      <w:marBottom w:val="0"/>
      <w:divBdr>
        <w:top w:val="none" w:sz="0" w:space="0" w:color="auto"/>
        <w:left w:val="none" w:sz="0" w:space="0" w:color="auto"/>
        <w:bottom w:val="none" w:sz="0" w:space="0" w:color="auto"/>
        <w:right w:val="none" w:sz="0" w:space="0" w:color="auto"/>
      </w:divBdr>
    </w:div>
    <w:div w:id="849686023">
      <w:bodyDiv w:val="1"/>
      <w:marLeft w:val="0"/>
      <w:marRight w:val="0"/>
      <w:marTop w:val="0"/>
      <w:marBottom w:val="0"/>
      <w:divBdr>
        <w:top w:val="none" w:sz="0" w:space="0" w:color="auto"/>
        <w:left w:val="none" w:sz="0" w:space="0" w:color="auto"/>
        <w:bottom w:val="none" w:sz="0" w:space="0" w:color="auto"/>
        <w:right w:val="none" w:sz="0" w:space="0" w:color="auto"/>
      </w:divBdr>
    </w:div>
    <w:div w:id="1014650956">
      <w:bodyDiv w:val="1"/>
      <w:marLeft w:val="0"/>
      <w:marRight w:val="0"/>
      <w:marTop w:val="0"/>
      <w:marBottom w:val="0"/>
      <w:divBdr>
        <w:top w:val="none" w:sz="0" w:space="0" w:color="auto"/>
        <w:left w:val="none" w:sz="0" w:space="0" w:color="auto"/>
        <w:bottom w:val="none" w:sz="0" w:space="0" w:color="auto"/>
        <w:right w:val="none" w:sz="0" w:space="0" w:color="auto"/>
      </w:divBdr>
    </w:div>
    <w:div w:id="1430930607">
      <w:bodyDiv w:val="1"/>
      <w:marLeft w:val="0"/>
      <w:marRight w:val="0"/>
      <w:marTop w:val="0"/>
      <w:marBottom w:val="0"/>
      <w:divBdr>
        <w:top w:val="none" w:sz="0" w:space="0" w:color="auto"/>
        <w:left w:val="none" w:sz="0" w:space="0" w:color="auto"/>
        <w:bottom w:val="none" w:sz="0" w:space="0" w:color="auto"/>
        <w:right w:val="none" w:sz="0" w:space="0" w:color="auto"/>
      </w:divBdr>
    </w:div>
    <w:div w:id="1659576453">
      <w:bodyDiv w:val="1"/>
      <w:marLeft w:val="0"/>
      <w:marRight w:val="0"/>
      <w:marTop w:val="0"/>
      <w:marBottom w:val="0"/>
      <w:divBdr>
        <w:top w:val="none" w:sz="0" w:space="0" w:color="auto"/>
        <w:left w:val="none" w:sz="0" w:space="0" w:color="auto"/>
        <w:bottom w:val="none" w:sz="0" w:space="0" w:color="auto"/>
        <w:right w:val="none" w:sz="0" w:space="0" w:color="auto"/>
      </w:divBdr>
    </w:div>
    <w:div w:id="1810784562">
      <w:bodyDiv w:val="1"/>
      <w:marLeft w:val="0"/>
      <w:marRight w:val="0"/>
      <w:marTop w:val="0"/>
      <w:marBottom w:val="0"/>
      <w:divBdr>
        <w:top w:val="none" w:sz="0" w:space="0" w:color="auto"/>
        <w:left w:val="none" w:sz="0" w:space="0" w:color="auto"/>
        <w:bottom w:val="none" w:sz="0" w:space="0" w:color="auto"/>
        <w:right w:val="none" w:sz="0" w:space="0" w:color="auto"/>
      </w:divBdr>
    </w:div>
    <w:div w:id="1882397301">
      <w:bodyDiv w:val="1"/>
      <w:marLeft w:val="0"/>
      <w:marRight w:val="0"/>
      <w:marTop w:val="0"/>
      <w:marBottom w:val="0"/>
      <w:divBdr>
        <w:top w:val="none" w:sz="0" w:space="0" w:color="auto"/>
        <w:left w:val="none" w:sz="0" w:space="0" w:color="auto"/>
        <w:bottom w:val="none" w:sz="0" w:space="0" w:color="auto"/>
        <w:right w:val="none" w:sz="0" w:space="0" w:color="auto"/>
      </w:divBdr>
    </w:div>
    <w:div w:id="1895582153">
      <w:bodyDiv w:val="1"/>
      <w:marLeft w:val="0"/>
      <w:marRight w:val="0"/>
      <w:marTop w:val="0"/>
      <w:marBottom w:val="0"/>
      <w:divBdr>
        <w:top w:val="none" w:sz="0" w:space="0" w:color="auto"/>
        <w:left w:val="none" w:sz="0" w:space="0" w:color="auto"/>
        <w:bottom w:val="none" w:sz="0" w:space="0" w:color="auto"/>
        <w:right w:val="none" w:sz="0" w:space="0" w:color="auto"/>
      </w:divBdr>
    </w:div>
    <w:div w:id="212954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059C3-4EA9-4545-8C37-9DE623596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627</Words>
  <Characters>3391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gregorio</dc:creator>
  <cp:keywords/>
  <dc:description/>
  <cp:lastModifiedBy>Rejane Rodrigues</cp:lastModifiedBy>
  <cp:revision>2</cp:revision>
  <cp:lastPrinted>2024-11-19T18:58:00Z</cp:lastPrinted>
  <dcterms:created xsi:type="dcterms:W3CDTF">2025-04-14T13:11:00Z</dcterms:created>
  <dcterms:modified xsi:type="dcterms:W3CDTF">2025-04-14T13:11:00Z</dcterms:modified>
</cp:coreProperties>
</file>