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D693" w14:textId="77777777" w:rsidR="002B43D5" w:rsidRPr="00FA62AE" w:rsidRDefault="002B43D5" w:rsidP="002B43D5">
      <w:pPr>
        <w:spacing w:line="276" w:lineRule="auto"/>
        <w:jc w:val="center"/>
        <w:rPr>
          <w:rFonts w:ascii="Arial" w:hAnsi="Arial" w:cs="Arial"/>
          <w:b/>
          <w:bCs/>
        </w:rPr>
      </w:pPr>
      <w:r w:rsidRPr="00FA62AE">
        <w:rPr>
          <w:rFonts w:ascii="Arial" w:hAnsi="Arial" w:cs="Arial"/>
          <w:b/>
          <w:bCs/>
        </w:rPr>
        <w:t>ANEXO II - MODELO DE PROPOSTA COMERCIAL</w:t>
      </w:r>
    </w:p>
    <w:p w14:paraId="3F8B9E6B" w14:textId="77777777" w:rsidR="002B43D5" w:rsidRPr="00FA62AE" w:rsidRDefault="002B43D5" w:rsidP="002B43D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A49409E" w14:textId="77777777" w:rsidR="002B43D5" w:rsidRPr="00FA62AE" w:rsidRDefault="002B43D5" w:rsidP="002B43D5">
      <w:pPr>
        <w:spacing w:line="276" w:lineRule="auto"/>
        <w:ind w:right="2"/>
        <w:rPr>
          <w:rFonts w:ascii="Arial" w:hAnsi="Arial" w:cs="Arial"/>
          <w:b/>
        </w:rPr>
      </w:pPr>
      <w:r w:rsidRPr="00FA62AE">
        <w:rPr>
          <w:rFonts w:ascii="Arial" w:hAnsi="Arial" w:cs="Arial"/>
          <w:b/>
        </w:rPr>
        <w:t>Processo Licitatório nº 077/2025</w:t>
      </w:r>
    </w:p>
    <w:p w14:paraId="1740CDC2" w14:textId="77777777" w:rsidR="002B43D5" w:rsidRPr="00FA62AE" w:rsidRDefault="002B43D5" w:rsidP="002B43D5">
      <w:pPr>
        <w:spacing w:line="276" w:lineRule="auto"/>
        <w:ind w:right="2"/>
        <w:rPr>
          <w:rFonts w:ascii="Arial" w:hAnsi="Arial" w:cs="Arial"/>
          <w:b/>
        </w:rPr>
      </w:pPr>
      <w:r w:rsidRPr="00FA62AE">
        <w:rPr>
          <w:rFonts w:ascii="Arial" w:hAnsi="Arial" w:cs="Arial"/>
          <w:b/>
        </w:rPr>
        <w:t xml:space="preserve">Dispensa de licitação nº </w:t>
      </w:r>
      <w:r w:rsidRPr="00FA62AE">
        <w:rPr>
          <w:rFonts w:ascii="Arial" w:hAnsi="Arial" w:cs="Arial"/>
          <w:b/>
          <w:spacing w:val="-2"/>
        </w:rPr>
        <w:t>032/2025</w:t>
      </w:r>
    </w:p>
    <w:p w14:paraId="2C225595" w14:textId="77777777" w:rsidR="002B43D5" w:rsidRPr="00FA62AE" w:rsidRDefault="002B43D5" w:rsidP="002B43D5">
      <w:pPr>
        <w:spacing w:line="276" w:lineRule="auto"/>
        <w:ind w:right="2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3C3A0142" w14:textId="77777777" w:rsidR="002B43D5" w:rsidRPr="00FA62AE" w:rsidRDefault="002B43D5" w:rsidP="002B43D5">
      <w:pPr>
        <w:spacing w:line="276" w:lineRule="auto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Cliente:</w:t>
      </w:r>
      <w:r w:rsidRPr="00FA62AE">
        <w:rPr>
          <w:rFonts w:ascii="Arial" w:hAnsi="Arial" w:cs="Arial"/>
          <w:shd w:val="clear" w:color="auto" w:fill="FFFFFF"/>
        </w:rPr>
        <w:t> Câmara Municipal de Vitória da Conquista/BA</w:t>
      </w:r>
    </w:p>
    <w:p w14:paraId="184F096F" w14:textId="77777777" w:rsidR="002B43D5" w:rsidRPr="00FA62AE" w:rsidRDefault="002B43D5" w:rsidP="002B43D5">
      <w:pPr>
        <w:spacing w:line="276" w:lineRule="auto"/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Prazo de fornecimento do objeto:</w:t>
      </w:r>
      <w:r w:rsidRPr="00FA62AE">
        <w:rPr>
          <w:rFonts w:ascii="Arial" w:hAnsi="Arial" w:cs="Arial"/>
          <w:shd w:val="clear" w:color="auto" w:fill="FFFFFF"/>
        </w:rPr>
        <w:t> Conforme solicitação da contratante.</w:t>
      </w:r>
    </w:p>
    <w:p w14:paraId="2B29B39A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Vencimento: </w:t>
      </w:r>
      <w:r w:rsidRPr="00FA62AE">
        <w:rPr>
          <w:rFonts w:ascii="Arial" w:hAnsi="Arial" w:cs="Arial"/>
          <w:shd w:val="clear" w:color="auto" w:fill="FFFFFF"/>
        </w:rPr>
        <w:t xml:space="preserve">Até </w:t>
      </w:r>
      <w:r w:rsidRPr="00FA62AE">
        <w:rPr>
          <w:rFonts w:ascii="Arial" w:hAnsi="Arial" w:cs="Arial"/>
        </w:rPr>
        <w:t>10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(dez)</w:t>
      </w:r>
      <w:r w:rsidRPr="00FA62AE">
        <w:rPr>
          <w:rFonts w:ascii="Arial" w:hAnsi="Arial" w:cs="Arial"/>
          <w:spacing w:val="-2"/>
        </w:rPr>
        <w:t xml:space="preserve"> dias após a emissão da nota fiscal </w:t>
      </w:r>
      <w:r w:rsidRPr="00FA62AE">
        <w:rPr>
          <w:rFonts w:ascii="Arial" w:hAnsi="Arial" w:cs="Arial"/>
        </w:rPr>
        <w:t>do fornecimento do objeto.</w:t>
      </w:r>
      <w:r w:rsidRPr="00FA62AE">
        <w:rPr>
          <w:rFonts w:ascii="Arial" w:hAnsi="Arial" w:cs="Arial"/>
          <w:shd w:val="clear" w:color="auto" w:fill="FFFFFF"/>
        </w:rPr>
        <w:br/>
      </w:r>
      <w:r w:rsidRPr="00FA62AE">
        <w:rPr>
          <w:rFonts w:ascii="Arial" w:hAnsi="Arial" w:cs="Arial"/>
          <w:b/>
        </w:rPr>
        <w:t>Prazo de vigência:</w:t>
      </w:r>
      <w:r w:rsidRPr="00FA62AE">
        <w:rPr>
          <w:rFonts w:ascii="Arial" w:hAnsi="Arial" w:cs="Arial"/>
        </w:rPr>
        <w:t xml:space="preserve">  Inicialmente de </w:t>
      </w:r>
      <w:r w:rsidRPr="00FA62AE">
        <w:rPr>
          <w:rFonts w:ascii="Arial" w:hAnsi="Arial" w:cs="Arial"/>
          <w:b/>
          <w:highlight w:val="yellow"/>
        </w:rPr>
        <w:t>06 (seis) meses</w:t>
      </w:r>
      <w:r w:rsidRPr="00FA62AE">
        <w:rPr>
          <w:rFonts w:ascii="Arial" w:hAnsi="Arial" w:cs="Arial"/>
        </w:rPr>
        <w:t>, com a possibilidade de prorrogações, até atingir o limite máximo estipulado na Lei 14.133/2021.</w:t>
      </w:r>
    </w:p>
    <w:p w14:paraId="79DBF156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Forma de julgamento dos preços:</w:t>
      </w:r>
      <w:r w:rsidRPr="00FA62AE">
        <w:rPr>
          <w:rFonts w:ascii="Arial" w:hAnsi="Arial" w:cs="Arial"/>
          <w:shd w:val="clear" w:color="auto" w:fill="FFFFFF"/>
        </w:rPr>
        <w:t> Menor preço por global.</w:t>
      </w:r>
    </w:p>
    <w:p w14:paraId="05C65AA5" w14:textId="77777777" w:rsidR="002B43D5" w:rsidRPr="00FA62AE" w:rsidRDefault="002B43D5" w:rsidP="002B43D5">
      <w:pPr>
        <w:spacing w:line="276" w:lineRule="auto"/>
        <w:rPr>
          <w:rStyle w:val="Forte"/>
          <w:rFonts w:ascii="Arial" w:hAnsi="Arial" w:cs="Arial"/>
          <w:shd w:val="clear" w:color="auto" w:fill="FFFFFF"/>
        </w:rPr>
      </w:pPr>
      <w:r w:rsidRPr="00FA62AE">
        <w:rPr>
          <w:rFonts w:ascii="Arial" w:hAnsi="Arial" w:cs="Arial"/>
          <w:shd w:val="clear" w:color="auto" w:fill="FFFFFF"/>
        </w:rPr>
        <w:br/>
      </w:r>
      <w:r w:rsidRPr="00FA62AE">
        <w:rPr>
          <w:rStyle w:val="Forte"/>
          <w:rFonts w:ascii="Arial" w:hAnsi="Arial" w:cs="Arial"/>
          <w:shd w:val="clear" w:color="auto" w:fill="FFFFFF"/>
        </w:rPr>
        <w:t>1. DADOS DA EMPRESA</w:t>
      </w:r>
    </w:p>
    <w:p w14:paraId="25901CB9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  <w:r w:rsidRPr="00FA62AE">
        <w:rPr>
          <w:rFonts w:ascii="Arial" w:hAnsi="Arial" w:cs="Arial"/>
          <w:b/>
          <w:bCs/>
        </w:rPr>
        <w:t>Nome/Razão social da empresa</w:t>
      </w:r>
      <w:r w:rsidRPr="00FA62AE">
        <w:rPr>
          <w:rFonts w:ascii="Arial" w:hAnsi="Arial" w:cs="Arial"/>
        </w:rPr>
        <w:t xml:space="preserve">: </w:t>
      </w:r>
    </w:p>
    <w:p w14:paraId="24AAA233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  <w:r w:rsidRPr="00FA62AE">
        <w:rPr>
          <w:rFonts w:ascii="Arial" w:hAnsi="Arial" w:cs="Arial"/>
          <w:b/>
          <w:bCs/>
        </w:rPr>
        <w:t>CNPJ/CPF</w:t>
      </w:r>
      <w:r w:rsidRPr="00FA62AE">
        <w:rPr>
          <w:rFonts w:ascii="Arial" w:hAnsi="Arial" w:cs="Arial"/>
        </w:rPr>
        <w:t xml:space="preserve">: </w:t>
      </w:r>
    </w:p>
    <w:p w14:paraId="411D52D2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  <w:r w:rsidRPr="00FA62AE">
        <w:rPr>
          <w:rFonts w:ascii="Arial" w:hAnsi="Arial" w:cs="Arial"/>
          <w:b/>
          <w:bCs/>
        </w:rPr>
        <w:t>Telefone</w:t>
      </w:r>
      <w:r w:rsidRPr="00FA62AE">
        <w:rPr>
          <w:rFonts w:ascii="Arial" w:hAnsi="Arial" w:cs="Arial"/>
        </w:rPr>
        <w:t xml:space="preserve">: </w:t>
      </w:r>
    </w:p>
    <w:p w14:paraId="1CFF2965" w14:textId="77777777" w:rsidR="002B43D5" w:rsidRPr="00FA62AE" w:rsidRDefault="002B43D5" w:rsidP="002B43D5">
      <w:pPr>
        <w:spacing w:line="276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FA62AE">
        <w:rPr>
          <w:rFonts w:ascii="Arial" w:hAnsi="Arial" w:cs="Arial"/>
          <w:b/>
          <w:bCs/>
        </w:rPr>
        <w:t>E-mail</w:t>
      </w:r>
      <w:r w:rsidRPr="00FA62AE">
        <w:rPr>
          <w:rFonts w:ascii="Arial" w:hAnsi="Arial" w:cs="Arial"/>
        </w:rPr>
        <w:t xml:space="preserve">: </w:t>
      </w:r>
      <w:r w:rsidRPr="00FA62AE">
        <w:rPr>
          <w:rFonts w:ascii="Arial" w:hAnsi="Arial" w:cs="Arial"/>
        </w:rPr>
        <w:br/>
      </w:r>
    </w:p>
    <w:p w14:paraId="03E3B8C6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b/>
          <w:bCs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 xml:space="preserve">2. OBJETO: </w:t>
      </w:r>
      <w:r w:rsidRPr="00FA62AE">
        <w:rPr>
          <w:rFonts w:ascii="Arial" w:eastAsia="Arial" w:hAnsi="Arial" w:cs="Arial"/>
          <w:b/>
          <w:bCs/>
        </w:rPr>
        <w:t>Contratação de empresa para o fornecimento de material de limpeza e higiene para atender as necessidades da Câmara Municipal.</w:t>
      </w:r>
    </w:p>
    <w:p w14:paraId="5234366E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</w:p>
    <w:p w14:paraId="38190423" w14:textId="77777777" w:rsidR="002B43D5" w:rsidRPr="00FA62AE" w:rsidRDefault="002B43D5" w:rsidP="002B43D5">
      <w:pPr>
        <w:spacing w:line="276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  <w:r w:rsidRPr="00FA62AE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 xml:space="preserve">3. VALORES DA PROPOSTA </w:t>
      </w: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780"/>
        <w:gridCol w:w="722"/>
        <w:gridCol w:w="1047"/>
        <w:gridCol w:w="4116"/>
        <w:gridCol w:w="1416"/>
        <w:gridCol w:w="1413"/>
      </w:tblGrid>
      <w:tr w:rsidR="002B43D5" w:rsidRPr="00FA62AE" w14:paraId="4E11B175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C074F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C537DF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UND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1572C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3E23A81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8EB2F6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18608F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A62AE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2B43D5" w:rsidRPr="00FA62AE" w14:paraId="3ECE4ABF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C04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4CA3769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AC4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300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625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A água sanitária é composta principalmente por hipoclorito de sódio em solução aquosa, com teor de cloro ativo entre 2% e 2,5%. - </w:t>
            </w:r>
            <w:proofErr w:type="gramStart"/>
            <w:r w:rsidRPr="00FA62AE">
              <w:rPr>
                <w:rFonts w:ascii="Arial" w:hAnsi="Arial" w:cs="Arial"/>
              </w:rPr>
              <w:t>com</w:t>
            </w:r>
            <w:proofErr w:type="gramEnd"/>
            <w:r w:rsidRPr="00FA62AE">
              <w:rPr>
                <w:rFonts w:ascii="Arial" w:hAnsi="Arial" w:cs="Arial"/>
              </w:rPr>
              <w:t xml:space="preserve"> registro no Ministério da saúde. O produto deverá apresentar rótulo indicando a data de validade, dados   do   </w:t>
            </w:r>
            <w:proofErr w:type="gramStart"/>
            <w:r w:rsidRPr="00FA62AE">
              <w:rPr>
                <w:rFonts w:ascii="Arial" w:hAnsi="Arial" w:cs="Arial"/>
              </w:rPr>
              <w:t xml:space="preserve">fabricante,   marca,   </w:t>
            </w:r>
            <w:proofErr w:type="gramEnd"/>
            <w:r w:rsidRPr="00FA62AE">
              <w:rPr>
                <w:rFonts w:ascii="Arial" w:hAnsi="Arial" w:cs="Arial"/>
              </w:rPr>
              <w:t>princípio   ativo   e   composição.</w:t>
            </w:r>
            <w:r>
              <w:rPr>
                <w:rFonts w:ascii="Arial" w:hAnsi="Arial" w:cs="Arial"/>
              </w:rPr>
              <w:t xml:space="preserve"> </w:t>
            </w:r>
            <w:r w:rsidRPr="00FA62AE">
              <w:rPr>
                <w:rFonts w:ascii="Arial" w:hAnsi="Arial" w:cs="Arial"/>
              </w:rPr>
              <w:t>Validade máxima de 6 meses, a partir da data de entrega. Embalagem de 2L.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FEF0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FA54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EB15B42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04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7477291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61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110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151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FA62AE">
              <w:rPr>
                <w:rFonts w:ascii="Arial" w:hAnsi="Arial" w:cs="Arial"/>
              </w:rPr>
              <w:t>Álcool  em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gel,  antisséptico,  ação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 xml:space="preserve">bacteriana,  </w:t>
            </w:r>
            <w:proofErr w:type="spellStart"/>
            <w:r w:rsidRPr="00FA62AE">
              <w:rPr>
                <w:rFonts w:ascii="Arial" w:hAnsi="Arial" w:cs="Arial"/>
              </w:rPr>
              <w:t>aloe</w:t>
            </w:r>
            <w:proofErr w:type="spellEnd"/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vera,  70</w:t>
            </w:r>
            <w:proofErr w:type="gramEnd"/>
            <w:r w:rsidRPr="00FA62AE">
              <w:rPr>
                <w:rFonts w:ascii="Arial" w:hAnsi="Arial" w:cs="Arial"/>
              </w:rPr>
              <w:t xml:space="preserve">%, higienizante para as mãos. Frasco com 500mL, com bico dosador (válvula pump). A embalagem deve apresentar rótulo indicando </w:t>
            </w:r>
            <w:proofErr w:type="gramStart"/>
            <w:r w:rsidRPr="00FA62AE">
              <w:rPr>
                <w:rFonts w:ascii="Arial" w:hAnsi="Arial" w:cs="Arial"/>
              </w:rPr>
              <w:t xml:space="preserve">os  </w:t>
            </w:r>
            <w:r w:rsidRPr="00FA62AE">
              <w:rPr>
                <w:rFonts w:ascii="Arial" w:hAnsi="Arial" w:cs="Arial"/>
              </w:rPr>
              <w:lastRenderedPageBreak/>
              <w:t>dados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do  fabricante,  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composição  do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produto  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data  de</w:t>
            </w:r>
            <w:proofErr w:type="gramEnd"/>
            <w:r w:rsidRPr="00FA62AE">
              <w:rPr>
                <w:rFonts w:ascii="Arial" w:hAnsi="Arial" w:cs="Arial"/>
              </w:rPr>
              <w:t xml:space="preserve"> validade.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7CC5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846F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4477FDA1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10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385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3D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0F0B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Álcool etílico hidratado – para uso doméstico – 70° INPM, com registro do responsável químico, registro do In Metro, com data de envasamento, nº de lote e validade na embalagem, com tampa de rosca para facilitar o manuseio, com </w:t>
            </w:r>
            <w:proofErr w:type="spellStart"/>
            <w:r w:rsidRPr="00FA62AE">
              <w:rPr>
                <w:rFonts w:ascii="Arial" w:hAnsi="Arial" w:cs="Arial"/>
              </w:rPr>
              <w:t>sac</w:t>
            </w:r>
            <w:proofErr w:type="spellEnd"/>
            <w:r w:rsidRPr="00FA62AE">
              <w:rPr>
                <w:rFonts w:ascii="Arial" w:hAnsi="Arial" w:cs="Arial"/>
              </w:rPr>
              <w:t xml:space="preserve"> da empresa. Frasco: plástico de 1000ml.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B8FE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C840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67E7037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86D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1F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ECD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60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1CA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FA62AE">
              <w:rPr>
                <w:rFonts w:ascii="Arial" w:hAnsi="Arial" w:cs="Arial"/>
              </w:rPr>
              <w:t>Cera  acrílica,  líquida,  antiderrapante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para  piso,  auto</w:t>
            </w:r>
            <w:proofErr w:type="gramEnd"/>
            <w:r w:rsidRPr="00FA62AE">
              <w:rPr>
                <w:rFonts w:ascii="Arial" w:hAnsi="Arial" w:cs="Arial"/>
              </w:rPr>
              <w:t xml:space="preserve">  brilho, incolor, dispensado o uso de enceradeira, embalagem de 750 ml.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21FC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A747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0A1176D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E0AC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E44C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23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700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61EF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FA62AE">
              <w:rPr>
                <w:rFonts w:ascii="Arial" w:hAnsi="Arial" w:cs="Arial"/>
              </w:rPr>
              <w:t>Copo  plástico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descartável  para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água  em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polietileno  branco</w:t>
            </w:r>
            <w:proofErr w:type="gramEnd"/>
            <w:r w:rsidRPr="00FA62AE">
              <w:rPr>
                <w:rFonts w:ascii="Arial" w:hAnsi="Arial" w:cs="Arial"/>
              </w:rPr>
              <w:t xml:space="preserve">  ou </w:t>
            </w:r>
            <w:proofErr w:type="gramStart"/>
            <w:r w:rsidRPr="00FA62AE">
              <w:rPr>
                <w:rFonts w:ascii="Arial" w:hAnsi="Arial" w:cs="Arial"/>
              </w:rPr>
              <w:t xml:space="preserve">translúcido,   </w:t>
            </w:r>
            <w:proofErr w:type="gramEnd"/>
            <w:r w:rsidRPr="00FA62AE">
              <w:rPr>
                <w:rFonts w:ascii="Arial" w:hAnsi="Arial" w:cs="Arial"/>
              </w:rPr>
              <w:t xml:space="preserve">capacidade   de   200   ml.   Os   copos   devem   ser </w:t>
            </w:r>
            <w:proofErr w:type="gramStart"/>
            <w:r w:rsidRPr="00FA62AE">
              <w:rPr>
                <w:rFonts w:ascii="Arial" w:hAnsi="Arial" w:cs="Arial"/>
              </w:rPr>
              <w:t xml:space="preserve">homogêneos,   </w:t>
            </w:r>
            <w:proofErr w:type="gramEnd"/>
            <w:r w:rsidRPr="00FA62AE">
              <w:rPr>
                <w:rFonts w:ascii="Arial" w:hAnsi="Arial" w:cs="Arial"/>
              </w:rPr>
              <w:t xml:space="preserve">  isentos     de     materiais     </w:t>
            </w:r>
            <w:proofErr w:type="gramStart"/>
            <w:r w:rsidRPr="00FA62AE">
              <w:rPr>
                <w:rFonts w:ascii="Arial" w:hAnsi="Arial" w:cs="Arial"/>
              </w:rPr>
              <w:t xml:space="preserve">estranhos,   </w:t>
            </w:r>
            <w:proofErr w:type="gramEnd"/>
            <w:r w:rsidRPr="00FA62AE">
              <w:rPr>
                <w:rFonts w:ascii="Arial" w:hAnsi="Arial" w:cs="Arial"/>
              </w:rPr>
              <w:t xml:space="preserve">  bolhas, rachaduras, furos, deformações, bordas afiadas ou rebarbas, não devem     apresentar     sujidade     interna     ou     externamente. </w:t>
            </w:r>
            <w:proofErr w:type="gramStart"/>
            <w:r w:rsidRPr="00FA62AE">
              <w:rPr>
                <w:rFonts w:ascii="Arial" w:hAnsi="Arial" w:cs="Arial"/>
              </w:rPr>
              <w:t>Acondicionado  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forma  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garantir  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higiene  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integridade  do</w:t>
            </w:r>
            <w:proofErr w:type="gramEnd"/>
            <w:r w:rsidRPr="00FA62AE">
              <w:rPr>
                <w:rFonts w:ascii="Arial" w:hAnsi="Arial" w:cs="Arial"/>
              </w:rPr>
              <w:t xml:space="preserve"> produto até seu uso. A embalagem deverá conter externamente os   dados   de   </w:t>
            </w:r>
            <w:proofErr w:type="gramStart"/>
            <w:r w:rsidRPr="00FA62AE">
              <w:rPr>
                <w:rFonts w:ascii="Arial" w:hAnsi="Arial" w:cs="Arial"/>
              </w:rPr>
              <w:t xml:space="preserve">identificação,   </w:t>
            </w:r>
            <w:proofErr w:type="gramEnd"/>
            <w:r w:rsidRPr="00FA62AE">
              <w:rPr>
                <w:rFonts w:ascii="Arial" w:hAnsi="Arial" w:cs="Arial"/>
              </w:rPr>
              <w:t xml:space="preserve">procedência   e   quantidade   em </w:t>
            </w:r>
            <w:proofErr w:type="gramStart"/>
            <w:r w:rsidRPr="00FA62AE">
              <w:rPr>
                <w:rFonts w:ascii="Arial" w:hAnsi="Arial" w:cs="Arial"/>
              </w:rPr>
              <w:t>conformidade  com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a  NBR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14865  e</w:t>
            </w:r>
            <w:proofErr w:type="gramEnd"/>
            <w:r w:rsidRPr="00FA62AE">
              <w:rPr>
                <w:rFonts w:ascii="Arial" w:hAnsi="Arial" w:cs="Arial"/>
              </w:rPr>
              <w:t xml:space="preserve">  NBR  </w:t>
            </w:r>
            <w:proofErr w:type="gramStart"/>
            <w:r w:rsidRPr="00FA62AE">
              <w:rPr>
                <w:rFonts w:ascii="Arial" w:hAnsi="Arial" w:cs="Arial"/>
              </w:rPr>
              <w:t>13230  da</w:t>
            </w:r>
            <w:proofErr w:type="gramEnd"/>
            <w:r w:rsidRPr="00FA62AE">
              <w:rPr>
                <w:rFonts w:ascii="Arial" w:hAnsi="Arial" w:cs="Arial"/>
              </w:rPr>
              <w:t xml:space="preserve">  ABNT. Embalagem contendo 100 copos.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E963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5374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1EF11D1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C695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7AB72FF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83C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300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0B7A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FA62AE">
              <w:rPr>
                <w:rFonts w:ascii="Arial" w:hAnsi="Arial" w:cs="Arial"/>
              </w:rPr>
              <w:t>Copo  plástico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descartável  para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café  em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polietileno  branco</w:t>
            </w:r>
            <w:proofErr w:type="gramEnd"/>
            <w:r w:rsidRPr="00FA62AE">
              <w:rPr>
                <w:rFonts w:ascii="Arial" w:hAnsi="Arial" w:cs="Arial"/>
              </w:rPr>
              <w:t xml:space="preserve">  ou </w:t>
            </w:r>
            <w:proofErr w:type="gramStart"/>
            <w:r w:rsidRPr="00FA62AE">
              <w:rPr>
                <w:rFonts w:ascii="Arial" w:hAnsi="Arial" w:cs="Arial"/>
              </w:rPr>
              <w:t xml:space="preserve">translúcido,   </w:t>
            </w:r>
            <w:proofErr w:type="gramEnd"/>
            <w:r w:rsidRPr="00FA62AE">
              <w:rPr>
                <w:rFonts w:ascii="Arial" w:hAnsi="Arial" w:cs="Arial"/>
              </w:rPr>
              <w:t xml:space="preserve">capacidade   de   50   </w:t>
            </w:r>
            <w:proofErr w:type="gramStart"/>
            <w:r w:rsidRPr="00FA62AE">
              <w:rPr>
                <w:rFonts w:ascii="Arial" w:hAnsi="Arial" w:cs="Arial"/>
              </w:rPr>
              <w:t xml:space="preserve">ml,   </w:t>
            </w:r>
            <w:proofErr w:type="gramEnd"/>
            <w:r w:rsidRPr="00FA62AE">
              <w:rPr>
                <w:rFonts w:ascii="Arial" w:hAnsi="Arial" w:cs="Arial"/>
              </w:rPr>
              <w:t xml:space="preserve">os   copos   devem   ser </w:t>
            </w:r>
            <w:proofErr w:type="gramStart"/>
            <w:r w:rsidRPr="00FA62AE">
              <w:rPr>
                <w:rFonts w:ascii="Arial" w:hAnsi="Arial" w:cs="Arial"/>
              </w:rPr>
              <w:t xml:space="preserve">homogêneos,   </w:t>
            </w:r>
            <w:proofErr w:type="gramEnd"/>
            <w:r w:rsidRPr="00FA62AE">
              <w:rPr>
                <w:rFonts w:ascii="Arial" w:hAnsi="Arial" w:cs="Arial"/>
              </w:rPr>
              <w:t xml:space="preserve">  isentos     de     materiais     </w:t>
            </w:r>
            <w:proofErr w:type="gramStart"/>
            <w:r w:rsidRPr="00FA62AE">
              <w:rPr>
                <w:rFonts w:ascii="Arial" w:hAnsi="Arial" w:cs="Arial"/>
              </w:rPr>
              <w:t xml:space="preserve">estranhos,   </w:t>
            </w:r>
            <w:proofErr w:type="gramEnd"/>
            <w:r w:rsidRPr="00FA62AE">
              <w:rPr>
                <w:rFonts w:ascii="Arial" w:hAnsi="Arial" w:cs="Arial"/>
              </w:rPr>
              <w:t xml:space="preserve">  bolhas, rachaduras, furos, deformações, bordas afiadas ou rebarbas, não devem     apresentar     sujidade     interna     ou     externamente. </w:t>
            </w:r>
            <w:proofErr w:type="gramStart"/>
            <w:r w:rsidRPr="00FA62AE">
              <w:rPr>
                <w:rFonts w:ascii="Arial" w:hAnsi="Arial" w:cs="Arial"/>
              </w:rPr>
              <w:t>Acondicionado  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forma  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garantir  a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higiene  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integridade  do</w:t>
            </w:r>
            <w:proofErr w:type="gramEnd"/>
            <w:r w:rsidRPr="00FA62AE">
              <w:rPr>
                <w:rFonts w:ascii="Arial" w:hAnsi="Arial" w:cs="Arial"/>
              </w:rPr>
              <w:t xml:space="preserve"> produto até seu uso. A embalagem deverá conter externamente os   dados   de   </w:t>
            </w:r>
            <w:proofErr w:type="gramStart"/>
            <w:r w:rsidRPr="00FA62AE">
              <w:rPr>
                <w:rFonts w:ascii="Arial" w:hAnsi="Arial" w:cs="Arial"/>
              </w:rPr>
              <w:t xml:space="preserve">identificação,   </w:t>
            </w:r>
            <w:proofErr w:type="gramEnd"/>
            <w:r w:rsidRPr="00FA62AE">
              <w:rPr>
                <w:rFonts w:ascii="Arial" w:hAnsi="Arial" w:cs="Arial"/>
              </w:rPr>
              <w:t xml:space="preserve">procedência   e   quantidade   em </w:t>
            </w:r>
            <w:proofErr w:type="gramStart"/>
            <w:r w:rsidRPr="00FA62AE">
              <w:rPr>
                <w:rFonts w:ascii="Arial" w:hAnsi="Arial" w:cs="Arial"/>
              </w:rPr>
              <w:t>conformidade  com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lastRenderedPageBreak/>
              <w:t>a  NBR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14865  e</w:t>
            </w:r>
            <w:proofErr w:type="gramEnd"/>
            <w:r w:rsidRPr="00FA62AE">
              <w:rPr>
                <w:rFonts w:ascii="Arial" w:hAnsi="Arial" w:cs="Arial"/>
              </w:rPr>
              <w:t xml:space="preserve">  NBR  </w:t>
            </w:r>
            <w:proofErr w:type="gramStart"/>
            <w:r w:rsidRPr="00FA62AE">
              <w:rPr>
                <w:rFonts w:ascii="Arial" w:hAnsi="Arial" w:cs="Arial"/>
              </w:rPr>
              <w:t>13230  da</w:t>
            </w:r>
            <w:proofErr w:type="gramEnd"/>
            <w:r w:rsidRPr="00FA62AE">
              <w:rPr>
                <w:rFonts w:ascii="Arial" w:hAnsi="Arial" w:cs="Arial"/>
              </w:rPr>
              <w:t xml:space="preserve">  ABNT. Embalagem contendo 100 copos.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0D73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F595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642E6EF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41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32569E3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E78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25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7663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  <w:highlight w:val="cyan"/>
              </w:rPr>
            </w:pPr>
            <w:proofErr w:type="gramStart"/>
            <w:r w:rsidRPr="00FA62AE">
              <w:rPr>
                <w:rFonts w:ascii="Arial" w:hAnsi="Arial" w:cs="Arial"/>
              </w:rPr>
              <w:t>Desincrustante  ácido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para  limpeza</w:t>
            </w:r>
            <w:proofErr w:type="gramEnd"/>
            <w:r w:rsidRPr="00FA62AE">
              <w:rPr>
                <w:rFonts w:ascii="Arial" w:hAnsi="Arial" w:cs="Arial"/>
              </w:rPr>
              <w:t xml:space="preserve">  de vasos   sanitários   e   desincrustação   externa   de   autoclave, </w:t>
            </w:r>
            <w:proofErr w:type="gramStart"/>
            <w:r w:rsidRPr="00FA62AE">
              <w:rPr>
                <w:rFonts w:ascii="Arial" w:hAnsi="Arial" w:cs="Arial"/>
              </w:rPr>
              <w:t>composição  química</w:t>
            </w:r>
            <w:proofErr w:type="gramEnd"/>
            <w:r w:rsidRPr="00FA62AE">
              <w:rPr>
                <w:rFonts w:ascii="Arial" w:hAnsi="Arial" w:cs="Arial"/>
              </w:rPr>
              <w:t xml:space="preserve">:  </w:t>
            </w:r>
            <w:proofErr w:type="gramStart"/>
            <w:r w:rsidRPr="00FA62AE">
              <w:rPr>
                <w:rFonts w:ascii="Arial" w:hAnsi="Arial" w:cs="Arial"/>
              </w:rPr>
              <w:t>tensoativo,  agente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removedor,  corante</w:t>
            </w:r>
            <w:proofErr w:type="gramEnd"/>
            <w:r w:rsidRPr="00FA62AE">
              <w:rPr>
                <w:rFonts w:ascii="Arial" w:hAnsi="Arial" w:cs="Arial"/>
              </w:rPr>
              <w:t xml:space="preserve">, inibidor de corrosão, conservantes, física: </w:t>
            </w:r>
            <w:proofErr w:type="spellStart"/>
            <w:r w:rsidRPr="00FA62AE">
              <w:rPr>
                <w:rFonts w:ascii="Arial" w:hAnsi="Arial" w:cs="Arial"/>
              </w:rPr>
              <w:t>ph</w:t>
            </w:r>
            <w:proofErr w:type="spellEnd"/>
            <w:r w:rsidRPr="00FA62AE">
              <w:rPr>
                <w:rFonts w:ascii="Arial" w:hAnsi="Arial" w:cs="Arial"/>
              </w:rPr>
              <w:t xml:space="preserve"> entre 3,00 - 4,00, perfume, acondicionado em embalagem apropriada, com registro na ANVISA. Frasco contendo 1L.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A016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49F4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F7A9DA2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621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8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139A3BE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49F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300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6EB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FA62AE">
              <w:rPr>
                <w:rFonts w:ascii="Arial" w:hAnsi="Arial" w:cs="Arial"/>
              </w:rPr>
              <w:t xml:space="preserve">Desinfetante superconcentrado para desinfecção e aromatização de ambientes. Ação fungicida e bactericida. A embalagem deve apresentar rótulo indicando os dados do fabricante, composição, e prazo de validade.  Fragrância a escolher no momento do pedido.   Embalagem de 2L.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9C6F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19DA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6CF80373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16B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9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77BAFDB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F8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10C2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Detergente    </w:t>
            </w:r>
            <w:proofErr w:type="gramStart"/>
            <w:r w:rsidRPr="00FA62AE">
              <w:rPr>
                <w:rFonts w:ascii="Arial" w:hAnsi="Arial" w:cs="Arial"/>
              </w:rPr>
              <w:t xml:space="preserve">líquido,   </w:t>
            </w:r>
            <w:proofErr w:type="gramEnd"/>
            <w:r w:rsidRPr="00FA62AE">
              <w:rPr>
                <w:rFonts w:ascii="Arial" w:hAnsi="Arial" w:cs="Arial"/>
              </w:rPr>
              <w:t xml:space="preserve"> </w:t>
            </w:r>
            <w:proofErr w:type="gramStart"/>
            <w:r w:rsidRPr="00FA62AE">
              <w:rPr>
                <w:rFonts w:ascii="Arial" w:hAnsi="Arial" w:cs="Arial"/>
              </w:rPr>
              <w:t xml:space="preserve">biodegradável,   </w:t>
            </w:r>
            <w:proofErr w:type="gramEnd"/>
            <w:r w:rsidRPr="00FA62AE">
              <w:rPr>
                <w:rFonts w:ascii="Arial" w:hAnsi="Arial" w:cs="Arial"/>
              </w:rPr>
              <w:t xml:space="preserve"> com    excelente    ação </w:t>
            </w:r>
            <w:proofErr w:type="gramStart"/>
            <w:r w:rsidRPr="00FA62AE">
              <w:rPr>
                <w:rFonts w:ascii="Arial" w:hAnsi="Arial" w:cs="Arial"/>
              </w:rPr>
              <w:t>desengordurante,  glicerinado,  neutro,  indicado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para  lavagem</w:t>
            </w:r>
            <w:proofErr w:type="gramEnd"/>
            <w:r w:rsidRPr="00FA62AE">
              <w:rPr>
                <w:rFonts w:ascii="Arial" w:hAnsi="Arial" w:cs="Arial"/>
              </w:rPr>
              <w:t xml:space="preserve"> </w:t>
            </w:r>
            <w:proofErr w:type="gramStart"/>
            <w:r w:rsidRPr="00FA62AE">
              <w:rPr>
                <w:rFonts w:ascii="Arial" w:hAnsi="Arial" w:cs="Arial"/>
              </w:rPr>
              <w:t>manual  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louças,  talheres,  copos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  utensílios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em  cozinhas</w:t>
            </w:r>
            <w:proofErr w:type="gramEnd"/>
            <w:r w:rsidRPr="00FA62AE">
              <w:rPr>
                <w:rFonts w:ascii="Arial" w:hAnsi="Arial" w:cs="Arial"/>
              </w:rPr>
              <w:t xml:space="preserve">  e limpeza em geral. O produto deverá apresentar rótulo indicando a data de validade, dados do fabricante, marca, princípio ativo e composição. Embalagem plástica de 500 ml, com bico regulador para uso econômico.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B6D9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6A8A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18B4373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26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9F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3B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63D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Escova sanitária plástica, tipo bola com suporte, com cerdas lisas e formato anatômico que acessa todos os cantos.  Cabo de plástico. Durável e higiênica.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6C14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24C5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899F3F6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13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37A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A9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C63B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Esponja de lã de aço carbono, de textura macia, isenta de sinais de oxidação, pacote c/ 8 Unidades de 45g a 60g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8892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194A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0EB9E8CA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1A8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07D3981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00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250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712C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Esponja dupla face p/ limpeza de utensílios, medindo no mínimo </w:t>
            </w:r>
            <w:r w:rsidRPr="00FA62AE">
              <w:rPr>
                <w:rFonts w:ascii="Arial" w:hAnsi="Arial" w:cs="Arial"/>
              </w:rPr>
              <w:lastRenderedPageBreak/>
              <w:t>110X70x22cm, c/ uma face em espuma de poliuretano e outra c/ fibra abrasiva. Embalagem individual.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7CA6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DA14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D5B76BA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7B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C22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E4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300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EDBE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Guardanapo   de   papel   branco   medindo   aproximadamente 24cmx22cm, com boa capacidade de absorção sem furos, materiais estranhos ou sujidade embalados em pacotes plásticos com 50 unidades. Acondicionado de forma a garantir a higiene e integridade do produto até seu uso. A embalagem deverá conter externamente   os   dados   de   identificação, procedência   e quantidade.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5DEE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2703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20D54AA2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C79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B5D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AAC1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70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ECF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Limpa vidro, vitrines, espelhos telas de TV, para-brisas e acrílicos. Contendo em sua formulação </w:t>
            </w:r>
            <w:proofErr w:type="spellStart"/>
            <w:r w:rsidRPr="00FA62AE">
              <w:rPr>
                <w:rFonts w:ascii="Arial" w:hAnsi="Arial" w:cs="Arial"/>
              </w:rPr>
              <w:t>Lauril</w:t>
            </w:r>
            <w:proofErr w:type="spellEnd"/>
            <w:r w:rsidRPr="00FA62AE">
              <w:rPr>
                <w:rFonts w:ascii="Arial" w:hAnsi="Arial" w:cs="Arial"/>
              </w:rPr>
              <w:t xml:space="preserve"> Éter Sulfato de Sódio.  O produto deverá apresentar rótulo indicando a data de validade, dados do fabricante, princípio ativo e composição.  Validade mínima de 12 meses a partir da entrega. Frascos de 500 ml.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BD18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F8CA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264F4EFE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ECE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C38979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F8A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6634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FA62AE">
              <w:rPr>
                <w:rFonts w:ascii="Arial" w:hAnsi="Arial" w:cs="Arial"/>
              </w:rPr>
              <w:t xml:space="preserve">LIMPADOR    MULTIUSO, para    remoção    das    sujeiras    de superfícies.   Ideal   para   limpar   superfícies   como:   Azulejos, Esmaltados, Fórmica, Paredes, Vidro, Inox, Cerâmica, Espelho, </w:t>
            </w:r>
            <w:proofErr w:type="gramStart"/>
            <w:r w:rsidRPr="00FA62AE">
              <w:rPr>
                <w:rFonts w:ascii="Arial" w:hAnsi="Arial" w:cs="Arial"/>
              </w:rPr>
              <w:t>Plásticos,  Acrílicos</w:t>
            </w:r>
            <w:proofErr w:type="gramEnd"/>
            <w:r w:rsidRPr="00FA62AE">
              <w:rPr>
                <w:rFonts w:ascii="Arial" w:hAnsi="Arial" w:cs="Arial"/>
              </w:rPr>
              <w:t xml:space="preserve">,   </w:t>
            </w:r>
            <w:proofErr w:type="gramStart"/>
            <w:r w:rsidRPr="00FA62AE">
              <w:rPr>
                <w:rFonts w:ascii="Arial" w:hAnsi="Arial" w:cs="Arial"/>
              </w:rPr>
              <w:t xml:space="preserve">Metais,   Ladrilhos,   </w:t>
            </w:r>
            <w:proofErr w:type="gramEnd"/>
            <w:r w:rsidRPr="00FA62AE">
              <w:rPr>
                <w:rFonts w:ascii="Arial" w:hAnsi="Arial" w:cs="Arial"/>
              </w:rPr>
              <w:t>Pisos   e   Superfícies Laváveis; remove sujeiras como Fuligem, Embalagem contendo informações sobre o produto. Embalagem com 500 ml.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A792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34DF" w14:textId="77777777" w:rsidR="002B43D5" w:rsidRPr="00FA62AE" w:rsidRDefault="002B43D5" w:rsidP="001050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01349F27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30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59CB1C6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F1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957E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FA62AE">
              <w:rPr>
                <w:rFonts w:ascii="Arial" w:hAnsi="Arial" w:cs="Arial"/>
              </w:rPr>
              <w:t>LUSTRA MÓVEIS - Frasco com 500ml brilho intenso, perfume de longa duração, proteção contra manchas,</w:t>
            </w:r>
            <w:r>
              <w:rPr>
                <w:rFonts w:ascii="Arial" w:hAnsi="Arial" w:cs="Arial"/>
              </w:rPr>
              <w:t xml:space="preserve"> </w:t>
            </w:r>
            <w:r w:rsidRPr="00FA62AE">
              <w:rPr>
                <w:rFonts w:ascii="Arial" w:hAnsi="Arial" w:cs="Arial"/>
              </w:rPr>
              <w:t xml:space="preserve">composição cera </w:t>
            </w:r>
            <w:proofErr w:type="spellStart"/>
            <w:r w:rsidRPr="00FA62AE">
              <w:rPr>
                <w:rFonts w:ascii="Arial" w:hAnsi="Arial" w:cs="Arial"/>
              </w:rPr>
              <w:t>microcristalina</w:t>
            </w:r>
            <w:proofErr w:type="spellEnd"/>
            <w:r w:rsidRPr="00FA62AE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E635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342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C2439A5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4C9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1DEA451C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DD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38F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FA62AE">
              <w:rPr>
                <w:rFonts w:ascii="Arial" w:hAnsi="Arial" w:cs="Arial"/>
              </w:rPr>
              <w:t>Naftalina 1kg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78B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D04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5E31E9CD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4BB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18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09990D4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BA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1F6A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Odorizador de ambiente aerossol, conteúdo mínimo:  360ml; isento de </w:t>
            </w:r>
            <w:r w:rsidRPr="00FA62AE">
              <w:rPr>
                <w:rFonts w:ascii="Arial" w:hAnsi="Arial" w:cs="Arial"/>
              </w:rPr>
              <w:lastRenderedPageBreak/>
              <w:t>CFC e outros produtos nocivos à camada de ozônio. O produto deverá apresentar rótulo indicando a data de validade, dados do fabricante, princípio ativo e composição.  Validade mínima: 24 meses.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016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678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00E56C1F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5D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4C5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4D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C1C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Pano de prato, 100% algodão, boa qualidade, medindo 60x40cm.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D3A1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AFF0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B92CDA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45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9CD6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311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200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A18E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Pano para chão – saco alvejado, em algodão liso, 100% algodão, na cor branca. Medindo 70x50cm.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77E9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0FBE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14D0D42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738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75A4152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5B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150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156F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Pano para pó – flanela 100% algodão, medindo 30x40, na cor branca.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FD0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7D69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66318138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28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1CF128F9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904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1000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A00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Papel toalha-</w:t>
            </w:r>
            <w:proofErr w:type="spellStart"/>
            <w:proofErr w:type="gramStart"/>
            <w:r w:rsidRPr="00FA62AE">
              <w:rPr>
                <w:rFonts w:ascii="Arial" w:hAnsi="Arial" w:cs="Arial"/>
              </w:rPr>
              <w:t>crepado</w:t>
            </w:r>
            <w:proofErr w:type="spellEnd"/>
            <w:r w:rsidRPr="00FA62AE">
              <w:rPr>
                <w:rFonts w:ascii="Arial" w:hAnsi="Arial" w:cs="Arial"/>
              </w:rPr>
              <w:t xml:space="preserve">  </w:t>
            </w:r>
            <w:proofErr w:type="spellStart"/>
            <w:r w:rsidRPr="00FA62AE">
              <w:rPr>
                <w:rFonts w:ascii="Arial" w:hAnsi="Arial" w:cs="Arial"/>
              </w:rPr>
              <w:t>interfolhado</w:t>
            </w:r>
            <w:proofErr w:type="spellEnd"/>
            <w:proofErr w:type="gramEnd"/>
            <w:r w:rsidRPr="00FA62AE">
              <w:rPr>
                <w:rFonts w:ascii="Arial" w:hAnsi="Arial" w:cs="Arial"/>
              </w:rPr>
              <w:t xml:space="preserve">  c/</w:t>
            </w:r>
            <w:proofErr w:type="gramStart"/>
            <w:r w:rsidRPr="00FA62AE">
              <w:rPr>
                <w:rFonts w:ascii="Arial" w:hAnsi="Arial" w:cs="Arial"/>
              </w:rPr>
              <w:t>2  dobras</w:t>
            </w:r>
            <w:proofErr w:type="gramEnd"/>
            <w:r w:rsidRPr="00FA62AE">
              <w:rPr>
                <w:rFonts w:ascii="Arial" w:hAnsi="Arial" w:cs="Arial"/>
              </w:rPr>
              <w:t xml:space="preserve">  100</w:t>
            </w:r>
            <w:proofErr w:type="gramStart"/>
            <w:r w:rsidRPr="00FA62AE">
              <w:rPr>
                <w:rFonts w:ascii="Arial" w:hAnsi="Arial" w:cs="Arial"/>
              </w:rPr>
              <w:t>%  celulose</w:t>
            </w:r>
            <w:proofErr w:type="gramEnd"/>
            <w:r w:rsidRPr="00FA62AE">
              <w:rPr>
                <w:rFonts w:ascii="Arial" w:hAnsi="Arial" w:cs="Arial"/>
              </w:rPr>
              <w:t>, picotado, folhas simples, medindo 20x21cm, com boa absorção e bom índice de RU (resistência a úmido). Cor Branca. Pacote com 1000 folhas.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DC30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DB0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5E4C64C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2DD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23E66B8C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68D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600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7E02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Papel higiênico tipo especial, sem perfume, papel absorvente de primeira qualidade, 100% celulose virgem de qualidade, na cor branca, picotado e texturizado, medindo 30mx10cm, pacotes de 04 </w:t>
            </w: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  <w:r w:rsidRPr="00FA62AE">
              <w:rPr>
                <w:rFonts w:ascii="Arial" w:hAnsi="Arial" w:cs="Arial"/>
              </w:rPr>
              <w:t xml:space="preserve"> cada, folha dupla. Embalagem deve ter boa visibilidade do produto.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E3F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B73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4C5C6502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B1E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08A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501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0B8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Rodo plástico duplo 60cm, com cabo de madeira plastificado, cabo 1,40 m. Perfil de borracha com acabamento chanfrado. Com borracha natural resistente. Lâmina em EVA.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605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12C3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5181D480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D0F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BE31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  <w:r w:rsidRPr="00FA62AE">
              <w:rPr>
                <w:rFonts w:ascii="Arial" w:hAnsi="Arial" w:cs="Arial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08E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80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DD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 xml:space="preserve">Sabão   </w:t>
            </w:r>
            <w:proofErr w:type="spellStart"/>
            <w:r w:rsidRPr="00FA62AE">
              <w:rPr>
                <w:rFonts w:ascii="Arial" w:hAnsi="Arial" w:cs="Arial"/>
              </w:rPr>
              <w:t>Geléia</w:t>
            </w:r>
            <w:proofErr w:type="spellEnd"/>
            <w:r w:rsidRPr="00FA62AE">
              <w:rPr>
                <w:rFonts w:ascii="Arial" w:hAnsi="Arial" w:cs="Arial"/>
              </w:rPr>
              <w:t xml:space="preserve">.   Produto   bactericida   e   </w:t>
            </w:r>
            <w:proofErr w:type="spellStart"/>
            <w:r w:rsidRPr="00FA62AE">
              <w:rPr>
                <w:rFonts w:ascii="Arial" w:hAnsi="Arial" w:cs="Arial"/>
              </w:rPr>
              <w:t>anti-germes</w:t>
            </w:r>
            <w:proofErr w:type="spellEnd"/>
            <w:r w:rsidRPr="00FA62AE">
              <w:rPr>
                <w:rFonts w:ascii="Arial" w:hAnsi="Arial" w:cs="Arial"/>
              </w:rPr>
              <w:t>, 1L.   A embalagem    deverá    conter    externamente    os    dados    de identificação, procedência, número do lote, validade. Obedecer às    legislações    específicas, ao    código    sanitário    e    às determinações   do   ministério   da   saúde   vigentes.   Prazo   de validade mínimo de 6 meses a contar da data de entrega do produto.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89A2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9EF" w14:textId="77777777" w:rsidR="002B43D5" w:rsidRPr="00FA62AE" w:rsidRDefault="002B43D5" w:rsidP="001050CF">
            <w:pPr>
              <w:pStyle w:val="PargrafodaLista"/>
              <w:tabs>
                <w:tab w:val="left" w:pos="455"/>
              </w:tabs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C7D56CE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01B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09A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BBB5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F482" w14:textId="77777777" w:rsidR="002B43D5" w:rsidRPr="00FA62AE" w:rsidRDefault="002B43D5" w:rsidP="001050C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Sabão em pó de primeira linha, azul, com aparência uniforme, solúvel rapidamente em água sem formar agregados de difícil dissolução.    Biodegradável.    A    embalagem    deverá    conter externamente os dados de identificação, procedência, número do lote, validade. Embalagem de 400 gramas.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EC5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28D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19BEE9D" w14:textId="77777777" w:rsidTr="001050CF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E7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E3577F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Gal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77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50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4460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Sabonete líquido para limpeza das mãos, boa qualidade.  A embalagem    deverá    conter    externamente    os    dados    de identificação, procedência, número do lote, validade. Embalagem em galão de 5 litros.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F009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8F50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5D8702AD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F539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28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CA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287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62AE">
              <w:rPr>
                <w:rFonts w:ascii="Arial" w:hAnsi="Arial" w:cs="Arial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5019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FA62AE">
              <w:rPr>
                <w:rFonts w:ascii="Arial" w:hAnsi="Arial" w:cs="Arial"/>
              </w:rPr>
              <w:t>Saco Coletor Para Carro Multifuncional - Vinil amarelo, capacidade 90L / 50 Kg, zíper frontal.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9404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3B7C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680CF724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FA4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736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BC97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C32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 xml:space="preserve">Saco plástico preto, p/ lixo, 100 litros, medindo aproximadamente: largura 75cm, altura 105cm. Pacotes c/ 100 </w:t>
            </w: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FA62AE">
              <w:rPr>
                <w:rFonts w:ascii="Arial" w:hAnsi="Arial" w:cs="Arial"/>
              </w:rPr>
              <w:t xml:space="preserve">, confeccionado em polietileno (não reciclado), impermeável, resistente, de boa qualidade.  </w:t>
            </w:r>
            <w:proofErr w:type="gramStart"/>
            <w:r w:rsidRPr="00FA62AE">
              <w:rPr>
                <w:rFonts w:ascii="Arial" w:hAnsi="Arial" w:cs="Arial"/>
              </w:rPr>
              <w:t>Deverá  estar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em  conformidade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com  as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normas  da</w:t>
            </w:r>
            <w:proofErr w:type="gramEnd"/>
            <w:r w:rsidRPr="00FA62AE">
              <w:rPr>
                <w:rFonts w:ascii="Arial" w:hAnsi="Arial" w:cs="Arial"/>
              </w:rPr>
              <w:t xml:space="preserve"> ABNT NBR 9190/9191/13055/13056.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6738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AF54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5C8F6E6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00CF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F225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5353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7D8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 xml:space="preserve">Saco plástico preto, p/ lixo, 200 litros, medindo aproximadamente: largura 90 cm, altura 115 cm. Pacotes c/ 100 </w:t>
            </w: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  <w:r w:rsidRPr="00FA62AE">
              <w:rPr>
                <w:rFonts w:ascii="Arial" w:hAnsi="Arial" w:cs="Arial"/>
              </w:rPr>
              <w:t xml:space="preserve">, confeccionado em polietileno (não reciclado), impermeável, resistente, de boa qualidade.  </w:t>
            </w:r>
            <w:proofErr w:type="gramStart"/>
            <w:r w:rsidRPr="00FA62AE">
              <w:rPr>
                <w:rFonts w:ascii="Arial" w:hAnsi="Arial" w:cs="Arial"/>
              </w:rPr>
              <w:t>Deverá  estar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em  conformidade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com  as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normas  da</w:t>
            </w:r>
            <w:proofErr w:type="gramEnd"/>
            <w:r w:rsidRPr="00FA62AE">
              <w:rPr>
                <w:rFonts w:ascii="Arial" w:hAnsi="Arial" w:cs="Arial"/>
              </w:rPr>
              <w:t xml:space="preserve"> ABNT NBR 9190/9191/13055/13056.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4A81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F2F5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EBA31C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79D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31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E9E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FA62AE">
              <w:rPr>
                <w:rFonts w:ascii="Arial" w:hAnsi="Arial" w:cs="Arial"/>
              </w:rPr>
              <w:t>Pct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028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200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9CA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 xml:space="preserve">Saco plástico preto, p/ lixo, 40 litros, medindo aproximadamente: largura 63cm, altura 80cm. Pacotes c/ 100 </w:t>
            </w: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  <w:r w:rsidRPr="00FA62AE">
              <w:rPr>
                <w:rFonts w:ascii="Arial" w:hAnsi="Arial" w:cs="Arial"/>
              </w:rPr>
              <w:t xml:space="preserve">, confeccionado em polietileno (não reciclado), impermeável, resistente, de boa qualidade.  </w:t>
            </w:r>
            <w:proofErr w:type="gramStart"/>
            <w:r w:rsidRPr="00FA62AE">
              <w:rPr>
                <w:rFonts w:ascii="Arial" w:hAnsi="Arial" w:cs="Arial"/>
              </w:rPr>
              <w:lastRenderedPageBreak/>
              <w:t>Deverá  estar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em  conformidade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com  as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normas  da</w:t>
            </w:r>
            <w:proofErr w:type="gramEnd"/>
            <w:r w:rsidRPr="00FA62AE">
              <w:rPr>
                <w:rFonts w:ascii="Arial" w:hAnsi="Arial" w:cs="Arial"/>
              </w:rPr>
              <w:t xml:space="preserve"> ABNT NBR 9190/9191/13055/13056.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EC94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CD91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3C7CF72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941B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32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B08A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B15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C27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gramStart"/>
            <w:r w:rsidRPr="00FA62AE">
              <w:rPr>
                <w:rFonts w:ascii="Arial" w:hAnsi="Arial" w:cs="Arial"/>
              </w:rPr>
              <w:t>Vassoura  de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pelo  sintético,  com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corpo  revestido</w:t>
            </w:r>
            <w:proofErr w:type="gramEnd"/>
            <w:r w:rsidRPr="00FA62AE">
              <w:rPr>
                <w:rFonts w:ascii="Arial" w:hAnsi="Arial" w:cs="Arial"/>
              </w:rPr>
              <w:t xml:space="preserve">  </w:t>
            </w:r>
            <w:proofErr w:type="gramStart"/>
            <w:r w:rsidRPr="00FA62AE">
              <w:rPr>
                <w:rFonts w:ascii="Arial" w:hAnsi="Arial" w:cs="Arial"/>
              </w:rPr>
              <w:t>em  plástico</w:t>
            </w:r>
            <w:proofErr w:type="gramEnd"/>
            <w:r w:rsidRPr="00FA62AE">
              <w:rPr>
                <w:rFonts w:ascii="Arial" w:hAnsi="Arial" w:cs="Arial"/>
              </w:rPr>
              <w:t xml:space="preserve"> rígido com emborrachado na ponta para rosquear com facilidade na base da vassoura e com cabo de 1,40 cm, com gancho na outra ponta do cabo para pendurar, boa qualidade.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E7F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F2B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7CF54277" w14:textId="77777777" w:rsidTr="001050C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679D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33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0B6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FA62AE">
              <w:rPr>
                <w:rFonts w:ascii="Arial" w:hAnsi="Arial" w:cs="Arial"/>
              </w:rPr>
              <w:t>Und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552" w14:textId="77777777" w:rsidR="002B43D5" w:rsidRPr="00FA62AE" w:rsidRDefault="002B43D5" w:rsidP="001050C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>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E0A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A62AE">
              <w:rPr>
                <w:rFonts w:ascii="Arial" w:hAnsi="Arial" w:cs="Arial"/>
              </w:rPr>
              <w:t xml:space="preserve">Vassoura piaçava com corpo revestido em plástico rígido com emborrachado na ponta para rosquear com facilidade na base da vassoura e com cabo de 1,40 cm, </w:t>
            </w:r>
            <w:proofErr w:type="gramStart"/>
            <w:r w:rsidRPr="00FA62AE">
              <w:rPr>
                <w:rFonts w:ascii="Arial" w:hAnsi="Arial" w:cs="Arial"/>
              </w:rPr>
              <w:t>Com</w:t>
            </w:r>
            <w:proofErr w:type="gramEnd"/>
            <w:r w:rsidRPr="00FA62AE">
              <w:rPr>
                <w:rFonts w:ascii="Arial" w:hAnsi="Arial" w:cs="Arial"/>
              </w:rPr>
              <w:t xml:space="preserve"> gancho na outra ponta do cabo para pendurar, boa qualidade.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88C2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8699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0,00</w:t>
            </w:r>
          </w:p>
        </w:tc>
      </w:tr>
      <w:tr w:rsidR="002B43D5" w:rsidRPr="00FA62AE" w14:paraId="20099C92" w14:textId="77777777" w:rsidTr="001050CF"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D9D8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52B" w14:textId="77777777" w:rsidR="002B43D5" w:rsidRPr="00FA62AE" w:rsidRDefault="002B43D5" w:rsidP="001050CF">
            <w:pPr>
              <w:tabs>
                <w:tab w:val="left" w:pos="285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</w:pPr>
            <w:r w:rsidRPr="00FA62AE"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eastAsia="pt-BR"/>
              </w:rPr>
              <w:t>R$</w:t>
            </w:r>
          </w:p>
        </w:tc>
      </w:tr>
    </w:tbl>
    <w:p w14:paraId="2BC860E3" w14:textId="77777777" w:rsidR="002B43D5" w:rsidRPr="00FA62AE" w:rsidRDefault="002B43D5" w:rsidP="002B43D5">
      <w:pPr>
        <w:spacing w:line="276" w:lineRule="auto"/>
        <w:rPr>
          <w:rFonts w:ascii="Arial" w:eastAsia="Times New Roman" w:hAnsi="Arial" w:cs="Arial"/>
          <w:lang w:eastAsia="pt-BR"/>
        </w:rPr>
      </w:pPr>
      <w:r w:rsidRPr="00FA62AE">
        <w:rPr>
          <w:rFonts w:ascii="Arial" w:eastAsia="Times New Roman" w:hAnsi="Arial" w:cs="Arial"/>
          <w:shd w:val="clear" w:color="auto" w:fill="FFFFFF"/>
          <w:lang w:eastAsia="pt-BR"/>
        </w:rPr>
        <w:t xml:space="preserve">Valor total por extenso: </w:t>
      </w:r>
      <w:r w:rsidRPr="00FA62AE">
        <w:rPr>
          <w:rFonts w:ascii="Arial" w:eastAsia="Times New Roman" w:hAnsi="Arial" w:cs="Arial"/>
          <w:b/>
          <w:bCs/>
          <w:i/>
          <w:iCs/>
          <w:highlight w:val="yellow"/>
          <w:lang w:eastAsia="pt-BR"/>
        </w:rPr>
        <w:t>(Valor total por extenso)</w:t>
      </w:r>
    </w:p>
    <w:p w14:paraId="4139A1C2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</w:rPr>
      </w:pPr>
    </w:p>
    <w:p w14:paraId="5AFF5948" w14:textId="77777777" w:rsidR="002B43D5" w:rsidRPr="00FA62AE" w:rsidRDefault="002B43D5" w:rsidP="002B43D5">
      <w:pPr>
        <w:spacing w:line="276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4. OBSERVAÇÕES</w:t>
      </w:r>
    </w:p>
    <w:p w14:paraId="1110F5C7" w14:textId="77777777" w:rsidR="002B43D5" w:rsidRPr="00FA62AE" w:rsidRDefault="002B43D5" w:rsidP="002B43D5">
      <w:pPr>
        <w:spacing w:line="276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 xml:space="preserve">Declaramos que: </w:t>
      </w:r>
    </w:p>
    <w:p w14:paraId="52B185DE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a)</w:t>
      </w:r>
      <w:r w:rsidRPr="00FA62AE">
        <w:rPr>
          <w:rFonts w:ascii="Arial" w:hAnsi="Arial" w:cs="Arial"/>
          <w:shd w:val="clear" w:color="auto" w:fill="FFFFFF"/>
        </w:rPr>
        <w:t> tomamos ciência de todas as informações para o cumprimento do objeto da contratação; </w:t>
      </w:r>
    </w:p>
    <w:p w14:paraId="7F6986C9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b) </w:t>
      </w:r>
      <w:r w:rsidRPr="00FA62AE">
        <w:rPr>
          <w:rFonts w:ascii="Arial" w:hAnsi="Arial" w:cs="Arial"/>
          <w:shd w:val="clear" w:color="auto" w:fill="FFFFFF"/>
        </w:rPr>
        <w:t>a proposta comercial: tem validade de 60 dias; que foi elaborada considerando todos os requisitos e informações previstas no Avido de Contratação Direta e seus anexos; </w:t>
      </w:r>
    </w:p>
    <w:p w14:paraId="0E64D7DD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c) </w:t>
      </w:r>
      <w:r w:rsidRPr="00FA62AE">
        <w:rPr>
          <w:rFonts w:ascii="Arial" w:hAnsi="Arial" w:cs="Arial"/>
          <w:shd w:val="clear" w:color="auto" w:fill="FFFFFF"/>
        </w:rPr>
        <w:t xml:space="preserve">dentro do valor proposto estão inclusas todas as despesas que compõem o preço final, como encargos, provisões, benefícios, impostos, taxas, dentre outras de quaisquer naturezas;  </w:t>
      </w:r>
    </w:p>
    <w:p w14:paraId="4DBA0317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Style w:val="Forte"/>
          <w:rFonts w:ascii="Arial" w:hAnsi="Arial" w:cs="Arial"/>
          <w:shd w:val="clear" w:color="auto" w:fill="FFFFFF"/>
        </w:rPr>
        <w:t>d)</w:t>
      </w:r>
      <w:r w:rsidRPr="00FA62AE">
        <w:rPr>
          <w:rFonts w:ascii="Arial" w:hAnsi="Arial" w:cs="Arial"/>
          <w:shd w:val="clear" w:color="auto" w:fill="FFFFFF"/>
        </w:rPr>
        <w:t xml:space="preserve"> a apresentação das propostas implica na obrigatoriedade do cumprimento das disposições nelas contidas, em conformidade com o que dispõe as exigências do processo, assumindo o proponente o compromisso de executar a entrega nos seus termos; e </w:t>
      </w:r>
    </w:p>
    <w:p w14:paraId="74155FF8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FA62AE">
        <w:rPr>
          <w:rFonts w:ascii="Arial" w:hAnsi="Arial" w:cs="Arial"/>
          <w:b/>
          <w:bCs/>
          <w:shd w:val="clear" w:color="auto" w:fill="FFFFFF"/>
        </w:rPr>
        <w:t xml:space="preserve">e) </w:t>
      </w:r>
      <w:r w:rsidRPr="00FA62AE">
        <w:rPr>
          <w:rFonts w:ascii="Arial" w:hAnsi="Arial" w:cs="Arial"/>
          <w:shd w:val="clear" w:color="auto" w:fill="FFFFFF"/>
        </w:rPr>
        <w:t>temos ciência que haverá direito de cobrança apenas para os quantitativos solicitados/adquiridos pela contratante.</w:t>
      </w:r>
    </w:p>
    <w:p w14:paraId="730FAC65" w14:textId="77777777" w:rsidR="002B43D5" w:rsidRPr="00FA62AE" w:rsidRDefault="002B43D5" w:rsidP="002B43D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B558FE9" w14:textId="77777777" w:rsidR="002B43D5" w:rsidRPr="00FA62AE" w:rsidRDefault="002B43D5" w:rsidP="002B43D5">
      <w:pPr>
        <w:spacing w:line="276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14:paraId="5C7EA2CD" w14:textId="77777777" w:rsidR="002B43D5" w:rsidRPr="00FA62AE" w:rsidRDefault="002B43D5" w:rsidP="002B43D5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lang w:eastAsia="pt-BR"/>
        </w:rPr>
      </w:pPr>
      <w:r w:rsidRPr="00FA62AE">
        <w:rPr>
          <w:rFonts w:ascii="Arial" w:eastAsia="Times New Roman" w:hAnsi="Arial" w:cs="Arial"/>
          <w:lang w:eastAsia="pt-BR"/>
        </w:rPr>
        <w:t xml:space="preserve">Cidade/UF, </w:t>
      </w:r>
      <w:proofErr w:type="spellStart"/>
      <w:r w:rsidRPr="00FA62AE">
        <w:rPr>
          <w:rFonts w:ascii="Arial" w:eastAsia="Times New Roman" w:hAnsi="Arial" w:cs="Arial"/>
          <w:lang w:eastAsia="pt-BR"/>
        </w:rPr>
        <w:t>em</w:t>
      </w:r>
      <w:proofErr w:type="spellEnd"/>
      <w:r w:rsidRPr="00FA62AE">
        <w:rPr>
          <w:rFonts w:ascii="Arial" w:eastAsia="Times New Roman" w:hAnsi="Arial" w:cs="Arial"/>
          <w:lang w:eastAsia="pt-BR"/>
        </w:rPr>
        <w:t>.</w:t>
      </w:r>
      <w:r w:rsidRPr="00FA62AE">
        <w:rPr>
          <w:rFonts w:ascii="Arial" w:eastAsia="Times New Roman" w:hAnsi="Arial" w:cs="Arial"/>
          <w:highlight w:val="yellow"/>
          <w:lang w:eastAsia="pt-BR"/>
        </w:rPr>
        <w:t>.....</w:t>
      </w:r>
      <w:r w:rsidRPr="00FA62AE">
        <w:rPr>
          <w:rFonts w:ascii="Arial" w:eastAsia="Times New Roman" w:hAnsi="Arial" w:cs="Arial"/>
          <w:lang w:eastAsia="pt-BR"/>
        </w:rPr>
        <w:t xml:space="preserve"> de </w:t>
      </w:r>
      <w:r w:rsidRPr="00FA62AE">
        <w:rPr>
          <w:rFonts w:ascii="Arial" w:eastAsia="Times New Roman" w:hAnsi="Arial" w:cs="Arial"/>
          <w:highlight w:val="yellow"/>
          <w:lang w:eastAsia="pt-BR"/>
        </w:rPr>
        <w:t>.............</w:t>
      </w:r>
      <w:r w:rsidRPr="00FA62AE">
        <w:rPr>
          <w:rFonts w:ascii="Arial" w:eastAsia="Times New Roman" w:hAnsi="Arial" w:cs="Arial"/>
          <w:lang w:eastAsia="pt-BR"/>
        </w:rPr>
        <w:t xml:space="preserve"> de 2025.</w:t>
      </w:r>
      <w:r w:rsidRPr="00FA62AE">
        <w:rPr>
          <w:rFonts w:ascii="Arial" w:eastAsia="Times New Roman" w:hAnsi="Arial" w:cs="Arial"/>
          <w:lang w:eastAsia="pt-BR"/>
        </w:rPr>
        <w:br/>
      </w:r>
    </w:p>
    <w:p w14:paraId="423E3AC5" w14:textId="0138856B" w:rsidR="00BE6C7D" w:rsidRDefault="002B43D5" w:rsidP="002B43D5">
      <w:pPr>
        <w:jc w:val="center"/>
      </w:pPr>
      <w:r w:rsidRPr="00FA62AE">
        <w:rPr>
          <w:rFonts w:ascii="Arial" w:eastAsia="Times New Roman" w:hAnsi="Arial" w:cs="Arial"/>
          <w:b/>
          <w:bCs/>
          <w:lang w:eastAsia="pt-BR"/>
        </w:rPr>
        <w:t>[Assinatura digital]</w:t>
      </w:r>
      <w:r w:rsidRPr="00FA62AE">
        <w:rPr>
          <w:rFonts w:ascii="Arial" w:eastAsia="Times New Roman" w:hAnsi="Arial" w:cs="Arial"/>
          <w:lang w:eastAsia="pt-BR"/>
        </w:rPr>
        <w:br/>
      </w:r>
      <w:r w:rsidRPr="00FA62AE">
        <w:rPr>
          <w:rFonts w:ascii="Arial" w:hAnsi="Arial" w:cs="Arial"/>
          <w:b/>
          <w:bCs/>
          <w:highlight w:val="yellow"/>
        </w:rPr>
        <w:t xml:space="preserve">[Nome do responsável que está assinando - </w:t>
      </w:r>
      <w:r w:rsidRPr="00FA62AE">
        <w:rPr>
          <w:rFonts w:ascii="Arial" w:hAnsi="Arial" w:cs="Arial"/>
          <w:b/>
          <w:bCs/>
          <w:highlight w:val="yellow"/>
          <w:u w:val="single"/>
        </w:rPr>
        <w:t>diretor, sócio, titular ou representante legal (através de procuração) da proponente.</w:t>
      </w:r>
      <w:r w:rsidRPr="00FA62AE">
        <w:rPr>
          <w:rFonts w:ascii="Arial" w:hAnsi="Arial" w:cs="Arial"/>
          <w:b/>
          <w:bCs/>
          <w:highlight w:val="yellow"/>
        </w:rPr>
        <w:t>]</w:t>
      </w:r>
      <w:r w:rsidRPr="00FA62AE">
        <w:rPr>
          <w:rFonts w:ascii="Arial" w:hAnsi="Arial" w:cs="Arial"/>
          <w:highlight w:val="yellow"/>
        </w:rPr>
        <w:br/>
        <w:t>[Cargo]</w:t>
      </w:r>
    </w:p>
    <w:sectPr w:rsidR="00BE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5"/>
    <w:rsid w:val="002B43D5"/>
    <w:rsid w:val="003E3A03"/>
    <w:rsid w:val="00534EBA"/>
    <w:rsid w:val="005E00B2"/>
    <w:rsid w:val="008B6D8A"/>
    <w:rsid w:val="00B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10B7"/>
  <w15:chartTrackingRefBased/>
  <w15:docId w15:val="{967306D7-2F20-46FF-B9EA-8BD76415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D5"/>
    <w:pPr>
      <w:suppressAutoHyphens/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43D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3D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3D5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3D5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43D5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43D5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43D5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43D5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43D5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3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43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4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43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4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4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43D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3D5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43D5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2B43D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2B43D5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2B43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43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43D5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2B43D5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2B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9340</Characters>
  <Application>Microsoft Office Word</Application>
  <DocSecurity>0</DocSecurity>
  <Lines>77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2025-11-25T12:37:00Z</dcterms:created>
  <dcterms:modified xsi:type="dcterms:W3CDTF">2025-11-25T12:37:00Z</dcterms:modified>
</cp:coreProperties>
</file>