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38" w:lineRule="auto" w:before="41"/>
        <w:ind w:right="4983"/>
      </w:pPr>
      <w:r>
        <w:rPr/>
        <w:t>VOTAÇÃO NOMINAL 134ª</w:t>
      </w:r>
      <w:r>
        <w:rPr>
          <w:spacing w:val="-14"/>
        </w:rPr>
        <w:t> </w:t>
      </w:r>
      <w:r>
        <w:rPr/>
        <w:t>SESSÃO</w:t>
      </w:r>
      <w:r>
        <w:rPr>
          <w:spacing w:val="-14"/>
        </w:rPr>
        <w:t> </w:t>
      </w:r>
      <w:r>
        <w:rPr/>
        <w:t>ORDINÁRIA</w:t>
      </w:r>
    </w:p>
    <w:p>
      <w:pPr>
        <w:spacing w:line="292" w:lineRule="exact" w:before="0"/>
        <w:ind w:left="1234" w:right="0" w:firstLine="0"/>
        <w:jc w:val="left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(2023)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(2021/2024)</w:t>
      </w:r>
    </w:p>
    <w:p>
      <w:pPr>
        <w:pStyle w:val="BodyText"/>
        <w:spacing w:before="240"/>
        <w:ind w:left="0" w:firstLine="0"/>
        <w:rPr>
          <w:b/>
        </w:rPr>
      </w:pPr>
    </w:p>
    <w:p>
      <w:pPr>
        <w:pStyle w:val="BodyText"/>
        <w:spacing w:before="0"/>
        <w:ind w:left="102" w:firstLine="1132"/>
      </w:pPr>
      <w:r>
        <w:rPr/>
        <w:t>O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Viana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nobres</w:t>
      </w:r>
      <w:r>
        <w:rPr>
          <w:spacing w:val="-3"/>
        </w:rPr>
        <w:t> </w:t>
      </w:r>
      <w:r>
        <w:rPr/>
        <w:t>Edis</w:t>
      </w:r>
      <w:r>
        <w:rPr>
          <w:spacing w:val="-5"/>
        </w:rPr>
        <w:t> </w:t>
      </w:r>
      <w:r>
        <w:rPr/>
        <w:t>informam</w:t>
      </w:r>
      <w:r>
        <w:rPr>
          <w:spacing w:val="-4"/>
        </w:rPr>
        <w:t> </w:t>
      </w:r>
      <w:r>
        <w:rPr/>
        <w:t>que nesta data foi/foram votado(s) nominalmente a(s) seguinte(s) proposições:</w:t>
      </w:r>
    </w:p>
    <w:p>
      <w:pPr>
        <w:pStyle w:val="BodyText"/>
        <w:spacing w:before="23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516" w:val="left" w:leader="none"/>
        </w:tabs>
        <w:spacing w:line="240" w:lineRule="auto" w:before="0" w:after="0"/>
        <w:ind w:left="102" w:right="114" w:firstLine="1132"/>
        <w:jc w:val="both"/>
        <w:rPr>
          <w:sz w:val="24"/>
        </w:rPr>
      </w:pPr>
      <w:r>
        <w:rPr>
          <w:b/>
          <w:sz w:val="24"/>
          <w:u w:val="single"/>
        </w:rPr>
        <w:t>Projeto de Decreto Legislativo nº 04/2023</w:t>
      </w:r>
      <w:r>
        <w:rPr>
          <w:sz w:val="24"/>
          <w:u w:val="none"/>
        </w:rPr>
        <w:t>, que aprova a Prestação de Contas da Prefeitura Municipal de Viana – Exercício de 2021 – de responsabilidade de Gilson Daniel Batista em conformidade com o Parecer Prévio TC-061/2023, objeto dos Processos 06846/2022-2 e 06847/2022-7.</w:t>
      </w:r>
    </w:p>
    <w:p>
      <w:pPr>
        <w:pStyle w:val="BodyText"/>
        <w:spacing w:before="242"/>
        <w:ind w:left="0" w:firstLine="0"/>
      </w:pPr>
    </w:p>
    <w:p>
      <w:pPr>
        <w:pStyle w:val="BodyText"/>
        <w:spacing w:before="0"/>
        <w:ind w:left="102" w:right="84" w:firstLine="1132"/>
      </w:pPr>
      <w:r>
        <w:rPr/>
        <w:t>Os</w:t>
      </w:r>
      <w:r>
        <w:rPr>
          <w:spacing w:val="-5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votaram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forma,</w:t>
      </w:r>
      <w:r>
        <w:rPr>
          <w:spacing w:val="-6"/>
        </w:rPr>
        <w:t> </w:t>
      </w:r>
      <w:r>
        <w:rPr/>
        <w:t>sendo</w:t>
      </w:r>
      <w:r>
        <w:rPr>
          <w:spacing w:val="-3"/>
        </w:rPr>
        <w:t> </w:t>
      </w:r>
      <w:r>
        <w:rPr/>
        <w:t>sim,</w:t>
      </w:r>
      <w:r>
        <w:rPr>
          <w:spacing w:val="-6"/>
        </w:rPr>
        <w:t> </w:t>
      </w:r>
      <w:r>
        <w:rPr/>
        <w:t>pela</w:t>
      </w:r>
      <w:r>
        <w:rPr>
          <w:spacing w:val="-3"/>
        </w:rPr>
        <w:t> </w:t>
      </w:r>
      <w:r>
        <w:rPr/>
        <w:t>aprovação,</w:t>
      </w:r>
      <w:r>
        <w:rPr>
          <w:spacing w:val="-6"/>
        </w:rPr>
        <w:t> </w:t>
      </w:r>
      <w:r>
        <w:rPr/>
        <w:t>e não, pela não aprovação:</w:t>
      </w:r>
    </w:p>
    <w:p>
      <w:pPr>
        <w:pStyle w:val="BodyText"/>
        <w:spacing w:before="240"/>
        <w:ind w:left="0" w:firstLine="0"/>
      </w:pP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0" w:after="0"/>
        <w:ind w:left="1515" w:right="0" w:hanging="281"/>
        <w:jc w:val="left"/>
        <w:rPr>
          <w:sz w:val="24"/>
        </w:rPr>
      </w:pPr>
      <w:r>
        <w:rPr>
          <w:sz w:val="24"/>
        </w:rPr>
        <w:t>Abel</w:t>
      </w:r>
      <w:r>
        <w:rPr>
          <w:spacing w:val="-2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4"/>
          <w:sz w:val="24"/>
        </w:rPr>
        <w:t> </w:t>
      </w:r>
      <w:r>
        <w:rPr>
          <w:sz w:val="24"/>
        </w:rPr>
        <w:t>Broedel: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19" w:after="0"/>
        <w:ind w:left="1515" w:right="0" w:hanging="281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5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ausente.</w:t>
      </w: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40" w:lineRule="auto" w:before="120" w:after="0"/>
        <w:ind w:left="1515" w:right="0" w:hanging="281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605" w:val="left" w:leader="none"/>
        </w:tabs>
        <w:spacing w:line="240" w:lineRule="auto" w:before="120" w:after="0"/>
        <w:ind w:left="1605" w:right="0" w:hanging="371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4"/>
          <w:sz w:val="24"/>
        </w:rPr>
        <w:t> </w:t>
      </w:r>
      <w:r>
        <w:rPr>
          <w:sz w:val="24"/>
        </w:rPr>
        <w:t>Gonçalves: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605" w:val="left" w:leader="none"/>
        </w:tabs>
        <w:spacing w:line="240" w:lineRule="auto" w:before="122" w:after="0"/>
        <w:ind w:left="1605" w:right="0" w:hanging="371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Pires: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240"/>
        <w:ind w:left="0" w:firstLine="0"/>
      </w:pPr>
    </w:p>
    <w:p>
      <w:pPr>
        <w:spacing w:before="0"/>
        <w:ind w:left="102" w:right="177" w:firstLine="1132"/>
        <w:jc w:val="both"/>
        <w:rPr>
          <w:sz w:val="24"/>
        </w:rPr>
      </w:pPr>
      <w:r>
        <w:rPr>
          <w:sz w:val="24"/>
        </w:rPr>
        <w:t>Portanto,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Projeto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Decreto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Legislativo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04/2023</w:t>
      </w:r>
      <w:r>
        <w:rPr>
          <w:b/>
          <w:spacing w:val="-3"/>
          <w:sz w:val="24"/>
          <w:u w:val="none"/>
        </w:rPr>
        <w:t> </w:t>
      </w:r>
      <w:r>
        <w:rPr>
          <w:sz w:val="24"/>
          <w:u w:val="none"/>
        </w:rPr>
        <w:t>foi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aprovado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por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10 (onze) votos a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zero.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Na ocasião, verificou-se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 ausência de apenas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01 (um)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vereador,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o Sr. Valdemir Souza Pereira.</w:t>
      </w:r>
    </w:p>
    <w:p>
      <w:pPr>
        <w:pStyle w:val="BodyText"/>
        <w:spacing w:before="240"/>
        <w:ind w:left="0" w:firstLine="0"/>
      </w:pPr>
    </w:p>
    <w:p>
      <w:pPr>
        <w:pStyle w:val="Heading1"/>
        <w:ind w:left="1116"/>
        <w:jc w:val="center"/>
      </w:pPr>
      <w:r>
        <w:rPr/>
        <w:t>JOILSON</w:t>
      </w:r>
      <w:r>
        <w:rPr>
          <w:spacing w:val="-1"/>
        </w:rPr>
        <w:t> </w:t>
      </w:r>
      <w:r>
        <w:rPr>
          <w:spacing w:val="-2"/>
        </w:rPr>
        <w:t>BROEDEL</w:t>
      </w:r>
    </w:p>
    <w:p>
      <w:pPr>
        <w:pStyle w:val="BodyText"/>
        <w:ind w:left="1116" w:right="4" w:firstLine="0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headerReference w:type="default" r:id="rId5"/>
      <w:footerReference w:type="default" r:id="rId6"/>
      <w:type w:val="continuous"/>
      <w:pgSz w:w="11900" w:h="16850"/>
      <w:pgMar w:header="343" w:footer="389" w:top="1780" w:bottom="580" w:left="1600" w:right="15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1190040</wp:posOffset>
              </wp:positionH>
              <wp:positionV relativeFrom="page">
                <wp:posOffset>10307157</wp:posOffset>
              </wp:positionV>
              <wp:extent cx="525970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5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Century Gothic" w:hAnsi="Century Gothic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Florentino</w:t>
                          </w:r>
                          <w:r>
                            <w:rPr>
                              <w:rFonts w:ascii="Century Gothic" w:hAnsi="Century Gothic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Avidos,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40,</w:t>
                          </w:r>
                          <w:r>
                            <w:rPr>
                              <w:rFonts w:ascii="Century Gothic" w:hAnsi="Century Gothic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entury Gothic" w:hAnsi="Century Gothic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Viana/ES</w:t>
                          </w:r>
                          <w:r>
                            <w:rPr>
                              <w:rFonts w:ascii="Century Gothic" w:hAnsi="Century Gothic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 (27)</w:t>
                          </w:r>
                          <w:r>
                            <w:rPr>
                              <w:rFonts w:ascii="Century Gothic" w:hAnsi="Century Gothic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3255-2955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entury Gothic" w:hAnsi="Century Gothic"/>
                                <w:spacing w:val="-2"/>
                                <w:sz w:val="18"/>
                              </w:rPr>
                              <w:t>www.camaraviana.es.gov.br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704002pt;margin-top:811.587219pt;width:414.15pt;height:13.05pt;mso-position-horizontal-relative:page;mso-position-vertical-relative:page;z-index:-157665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</w:rPr>
                      <w:t>Av.</w:t>
                    </w:r>
                    <w:r>
                      <w:rPr>
                        <w:rFonts w:ascii="Century Gothic" w:hAnsi="Century Gothic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Florentino</w:t>
                    </w:r>
                    <w:r>
                      <w:rPr>
                        <w:rFonts w:ascii="Century Gothic" w:hAnsi="Century Gothic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Avidos,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nº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40,</w:t>
                    </w:r>
                    <w:r>
                      <w:rPr>
                        <w:rFonts w:ascii="Century Gothic" w:hAnsi="Century Gothic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Centro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–</w:t>
                    </w:r>
                    <w:r>
                      <w:rPr>
                        <w:rFonts w:ascii="Century Gothic" w:hAnsi="Century Gothic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Viana/ES</w:t>
                    </w:r>
                    <w:r>
                      <w:rPr>
                        <w:rFonts w:ascii="Century Gothic" w:hAnsi="Century Gothic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 (27)</w:t>
                    </w:r>
                    <w:r>
                      <w:rPr>
                        <w:rFonts w:ascii="Century Gothic" w:hAnsi="Century Gothic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3255-2955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entury Gothic" w:hAnsi="Century Gothic"/>
                        <w:sz w:val="18"/>
                      </w:rPr>
                      <w:t>|</w:t>
                    </w:r>
                    <w:r>
                      <w:rPr>
                        <w:rFonts w:ascii="Century Gothic" w:hAnsi="Century Gothic"/>
                        <w:spacing w:val="-2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Century Gothic" w:hAnsi="Century Gothic"/>
                          <w:spacing w:val="-2"/>
                          <w:sz w:val="18"/>
                        </w:rPr>
                        <w:t>www.camaraviana.es.gov.br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548928">
          <wp:simplePos x="0" y="0"/>
          <wp:positionH relativeFrom="page">
            <wp:posOffset>947615</wp:posOffset>
          </wp:positionH>
          <wp:positionV relativeFrom="page">
            <wp:posOffset>217814</wp:posOffset>
          </wp:positionV>
          <wp:extent cx="721701" cy="7113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1701" cy="711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1791970</wp:posOffset>
              </wp:positionH>
              <wp:positionV relativeFrom="page">
                <wp:posOffset>254630</wp:posOffset>
              </wp:positionV>
              <wp:extent cx="2322830" cy="662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830" cy="662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entury Gothic" w:hAnsi="Century Gothic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b/>
                              <w:spacing w:val="-2"/>
                              <w:sz w:val="24"/>
                            </w:rPr>
                            <w:t>VIANA</w:t>
                          </w:r>
                        </w:p>
                        <w:p>
                          <w:pPr>
                            <w:spacing w:before="33"/>
                            <w:ind w:left="68" w:right="0" w:firstLine="0"/>
                            <w:jc w:val="lef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entury Gothic" w:hAnsi="Century Gothic"/>
                              <w:spacing w:val="19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entury Gothic" w:hAnsi="Century Gothic"/>
                              <w:spacing w:val="1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w w:val="110"/>
                              <w:sz w:val="16"/>
                            </w:rPr>
                            <w:t>ESPÍRITO</w:t>
                          </w:r>
                          <w:r>
                            <w:rPr>
                              <w:rFonts w:ascii="Century Gothic" w:hAnsi="Century Gothic"/>
                              <w:spacing w:val="17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spacing w:val="-2"/>
                              <w:w w:val="110"/>
                              <w:sz w:val="16"/>
                            </w:rPr>
                            <w:t>SANTO</w:t>
                          </w:r>
                        </w:p>
                        <w:p>
                          <w:pPr>
                            <w:spacing w:before="29"/>
                            <w:ind w:left="63" w:right="0" w:firstLine="0"/>
                            <w:jc w:val="left"/>
                            <w:rPr>
                              <w:rFonts w:ascii="Century Gothic" w:hAnsi="Century Gothic"/>
                              <w:i/>
                              <w:sz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</w:rPr>
                            <w:t>Plenário</w:t>
                          </w:r>
                          <w:r>
                            <w:rPr>
                              <w:rFonts w:ascii="Century Gothic" w:hAnsi="Century Gothic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“João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</w:rPr>
                            <w:t>Paulo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 w:hAnsi="Century Gothic"/>
                              <w:i/>
                              <w:spacing w:val="-5"/>
                              <w:w w:val="105"/>
                              <w:sz w:val="17"/>
                            </w:rPr>
                            <w:t>II”</w:t>
                          </w:r>
                        </w:p>
                        <w:p>
                          <w:pPr>
                            <w:spacing w:before="34"/>
                            <w:ind w:left="63" w:right="0" w:firstLine="0"/>
                            <w:jc w:val="left"/>
                            <w:rPr>
                              <w:rFonts w:ascii="Century Gothic"/>
                              <w:sz w:val="17"/>
                            </w:rPr>
                          </w:pPr>
                          <w:r>
                            <w:rPr>
                              <w:rFonts w:ascii="Century Gothic"/>
                              <w:sz w:val="17"/>
                            </w:rPr>
                            <w:t>Secretaria</w:t>
                          </w:r>
                          <w:r>
                            <w:rPr>
                              <w:rFonts w:ascii="Century Gothic"/>
                              <w:spacing w:val="3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  <w:sz w:val="17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1.100006pt;margin-top:20.049665pt;width:182.9pt;height:52.2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entury Gothic" w:hAnsi="Century Gothic"/>
                        <w:b/>
                        <w:sz w:val="24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</w:rPr>
                      <w:t>CÂMARA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MUNICIPAL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z w:val="24"/>
                      </w:rPr>
                      <w:t>DE</w:t>
                    </w:r>
                    <w:r>
                      <w:rPr>
                        <w:rFonts w:ascii="Century Gothic" w:hAnsi="Century Gothic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entury Gothic" w:hAnsi="Century Gothic"/>
                        <w:b/>
                        <w:spacing w:val="-2"/>
                        <w:sz w:val="24"/>
                      </w:rPr>
                      <w:t>VIANA</w:t>
                    </w:r>
                  </w:p>
                  <w:p>
                    <w:pPr>
                      <w:spacing w:before="33"/>
                      <w:ind w:left="68" w:right="0" w:firstLine="0"/>
                      <w:jc w:val="lef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ESTADO</w:t>
                    </w:r>
                    <w:r>
                      <w:rPr>
                        <w:rFonts w:ascii="Century Gothic" w:hAnsi="Century Gothic"/>
                        <w:spacing w:val="1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DO</w:t>
                    </w:r>
                    <w:r>
                      <w:rPr>
                        <w:rFonts w:ascii="Century Gothic" w:hAnsi="Century Gothic"/>
                        <w:spacing w:val="1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w w:val="110"/>
                        <w:sz w:val="16"/>
                      </w:rPr>
                      <w:t>ESPÍRITO</w:t>
                    </w:r>
                    <w:r>
                      <w:rPr>
                        <w:rFonts w:ascii="Century Gothic" w:hAnsi="Century Gothic"/>
                        <w:spacing w:val="1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Century Gothic" w:hAnsi="Century Gothic"/>
                        <w:spacing w:val="-2"/>
                        <w:w w:val="110"/>
                        <w:sz w:val="16"/>
                      </w:rPr>
                      <w:t>SANTO</w:t>
                    </w:r>
                  </w:p>
                  <w:p>
                    <w:pPr>
                      <w:spacing w:before="29"/>
                      <w:ind w:left="63" w:right="0" w:firstLine="0"/>
                      <w:jc w:val="left"/>
                      <w:rPr>
                        <w:rFonts w:ascii="Century Gothic" w:hAnsi="Century Gothic"/>
                        <w:i/>
                        <w:sz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</w:rPr>
                      <w:t>Plenário</w:t>
                    </w:r>
                    <w:r>
                      <w:rPr>
                        <w:rFonts w:ascii="Century Gothic" w:hAnsi="Century Gothic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“João</w:t>
                    </w:r>
                    <w:r>
                      <w:rPr>
                        <w:rFonts w:ascii="Century Gothic" w:hAnsi="Century Gothic"/>
                        <w:i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w w:val="105"/>
                        <w:sz w:val="17"/>
                      </w:rPr>
                      <w:t>Paulo</w:t>
                    </w:r>
                    <w:r>
                      <w:rPr>
                        <w:rFonts w:ascii="Century Gothic" w:hAnsi="Century Gothic"/>
                        <w:i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Century Gothic" w:hAnsi="Century Gothic"/>
                        <w:i/>
                        <w:spacing w:val="-5"/>
                        <w:w w:val="105"/>
                        <w:sz w:val="17"/>
                      </w:rPr>
                      <w:t>II”</w:t>
                    </w:r>
                  </w:p>
                  <w:p>
                    <w:pPr>
                      <w:spacing w:before="34"/>
                      <w:ind w:left="63" w:right="0" w:firstLine="0"/>
                      <w:jc w:val="left"/>
                      <w:rPr>
                        <w:rFonts w:ascii="Century Gothic"/>
                        <w:sz w:val="17"/>
                      </w:rPr>
                    </w:pPr>
                    <w:r>
                      <w:rPr>
                        <w:rFonts w:ascii="Century Gothic"/>
                        <w:sz w:val="17"/>
                      </w:rPr>
                      <w:t>Secretaria</w:t>
                    </w:r>
                    <w:r>
                      <w:rPr>
                        <w:rFonts w:ascii="Century Gothic"/>
                        <w:spacing w:val="36"/>
                        <w:sz w:val="17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  <w:sz w:val="17"/>
                      </w:rPr>
                      <w:t>Legislativa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518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9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9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9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9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2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1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85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7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09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1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3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95" w:hanging="28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515" w:hanging="281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34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515" w:hanging="28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maraviana.es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2025-05-26T17:39:44Z</dcterms:created>
  <dcterms:modified xsi:type="dcterms:W3CDTF">2025-05-26T17:39:44Z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2025-05-26T00:00:00Z</vt:filetime>
  </property>
</Properties>
</file>