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02D2" w:rsidRPr="003802D2" w:rsidRDefault="003802D2" w:rsidP="009025DB">
      <w:pPr>
        <w:rPr>
          <w:b/>
        </w:rPr>
      </w:pPr>
      <w:bookmarkStart w:id="0" w:name="_GoBack"/>
      <w:bookmarkEnd w:id="0"/>
      <w:r w:rsidRPr="003802D2">
        <w:rPr>
          <w:b/>
        </w:rPr>
        <w:t xml:space="preserve">Fire safety </w:t>
      </w:r>
    </w:p>
    <w:p w:rsidR="00E74A62" w:rsidRDefault="00E74A62" w:rsidP="009025DB">
      <w:r>
        <w:t xml:space="preserve">Fire safety requirements in each State </w:t>
      </w:r>
      <w:r w:rsidR="002E33B6">
        <w:t xml:space="preserve">are </w:t>
      </w:r>
      <w:r>
        <w:t xml:space="preserve">different. However, certain requirements are common across most jurisdictions: </w:t>
      </w:r>
    </w:p>
    <w:p w:rsidR="00E74A62" w:rsidRDefault="00E74A62" w:rsidP="002E33B6">
      <w:pPr>
        <w:pStyle w:val="ListParagraph"/>
        <w:numPr>
          <w:ilvl w:val="0"/>
          <w:numId w:val="9"/>
        </w:numPr>
      </w:pPr>
      <w:r>
        <w:t xml:space="preserve">Most States and Territories require fire safety measures to be maintained </w:t>
      </w:r>
      <w:r w:rsidR="002E33B6">
        <w:t xml:space="preserve">at regular intervals, and impose </w:t>
      </w:r>
      <w:r>
        <w:t xml:space="preserve">annual reporting or record management </w:t>
      </w:r>
      <w:r w:rsidR="002E33B6">
        <w:t xml:space="preserve">obligations </w:t>
      </w:r>
      <w:r>
        <w:t xml:space="preserve">in relation to </w:t>
      </w:r>
      <w:r w:rsidR="002E33B6">
        <w:t xml:space="preserve">those </w:t>
      </w:r>
      <w:r>
        <w:t xml:space="preserve">safety measures. </w:t>
      </w:r>
    </w:p>
    <w:p w:rsidR="00A51159" w:rsidRDefault="00E74A62" w:rsidP="00A51159">
      <w:pPr>
        <w:pStyle w:val="ListParagraph"/>
        <w:numPr>
          <w:ilvl w:val="0"/>
          <w:numId w:val="9"/>
        </w:numPr>
      </w:pPr>
      <w:r>
        <w:t xml:space="preserve">Safety maintenance generally must be conducted by qualified professionals. </w:t>
      </w:r>
    </w:p>
    <w:p w:rsidR="002E33B6" w:rsidRDefault="002E33B6" w:rsidP="002E33B6">
      <w:pPr>
        <w:pStyle w:val="ListParagraph"/>
        <w:numPr>
          <w:ilvl w:val="0"/>
          <w:numId w:val="9"/>
        </w:numPr>
      </w:pPr>
      <w:r>
        <w:t>There are inconsistencies among States as to whether the obligation is placed on building owners, occupiers or both.</w:t>
      </w:r>
    </w:p>
    <w:p w:rsidR="00E74A62" w:rsidRDefault="003802D2" w:rsidP="002E33B6">
      <w:r>
        <w:t xml:space="preserve">The specific requirements for each State and Territory </w:t>
      </w:r>
      <w:r w:rsidR="00A51159">
        <w:t xml:space="preserve">are </w:t>
      </w:r>
      <w:r>
        <w:t xml:space="preserve">outlined below. Please note that in Western Australia, Northern Territory and the ACT, there </w:t>
      </w:r>
      <w:proofErr w:type="gramStart"/>
      <w:r>
        <w:t>are no building</w:t>
      </w:r>
      <w:proofErr w:type="gramEnd"/>
      <w:r>
        <w:t xml:space="preserve"> or planning laws which specifically address fire safety. However, fire safety </w:t>
      </w:r>
      <w:r w:rsidR="0068690D">
        <w:t xml:space="preserve">would still be </w:t>
      </w:r>
      <w:r>
        <w:t xml:space="preserve">covered by Workplace Health and Safety laws in those States, </w:t>
      </w:r>
      <w:r w:rsidR="0068690D">
        <w:t xml:space="preserve">which require </w:t>
      </w:r>
      <w:r>
        <w:t xml:space="preserve">the employer </w:t>
      </w:r>
      <w:r w:rsidR="0068690D">
        <w:t xml:space="preserve">or occupier of the premises </w:t>
      </w:r>
      <w:r>
        <w:t xml:space="preserve">(and in some instances the owner) </w:t>
      </w:r>
      <w:r w:rsidR="0068690D">
        <w:t xml:space="preserve">to </w:t>
      </w:r>
      <w:r>
        <w:t xml:space="preserve">ensure that the workplace is safe with respect to fire hazards. </w:t>
      </w:r>
    </w:p>
    <w:p w:rsidR="003802D2" w:rsidRPr="00E74A62" w:rsidRDefault="003802D2" w:rsidP="009025DB"/>
    <w:p w:rsidR="00633A8D" w:rsidRPr="003802D2" w:rsidRDefault="00A65CC0" w:rsidP="003802D2">
      <w:pPr>
        <w:pStyle w:val="ListParagraph"/>
        <w:numPr>
          <w:ilvl w:val="0"/>
          <w:numId w:val="10"/>
        </w:numPr>
        <w:rPr>
          <w:b/>
        </w:rPr>
      </w:pPr>
      <w:r w:rsidRPr="003802D2">
        <w:rPr>
          <w:b/>
        </w:rPr>
        <w:t>NSW</w:t>
      </w:r>
    </w:p>
    <w:p w:rsidR="001079D1" w:rsidRDefault="00A51159" w:rsidP="00A51159">
      <w:r>
        <w:t xml:space="preserve">Under the </w:t>
      </w:r>
      <w:r w:rsidRPr="00A51159">
        <w:rPr>
          <w:i/>
        </w:rPr>
        <w:t>Environmental Planning and Assessment Regulation 2000</w:t>
      </w:r>
      <w:r>
        <w:t xml:space="preserve"> in NSW, </w:t>
      </w:r>
      <w:r w:rsidRPr="00A51159">
        <w:t>a building owner</w:t>
      </w:r>
      <w:r w:rsidR="002E5B20">
        <w:t xml:space="preserve"> must maintain essential fire safety measures.</w:t>
      </w:r>
      <w:r w:rsidRPr="00A51159">
        <w:t xml:space="preserve"> </w:t>
      </w:r>
    </w:p>
    <w:p w:rsidR="00A51159" w:rsidRPr="00A51159" w:rsidRDefault="001079D1" w:rsidP="00A51159">
      <w:r>
        <w:t xml:space="preserve">Additionally, the owner (or agent) </w:t>
      </w:r>
      <w:r w:rsidR="00A51159">
        <w:t xml:space="preserve">must </w:t>
      </w:r>
      <w:r w:rsidR="00A51159" w:rsidRPr="00A51159">
        <w:t xml:space="preserve">submit an Annual Fire Safety Statement (AFSS) to the Local Council and the NSW Fire Brigade, </w:t>
      </w:r>
      <w:r>
        <w:t xml:space="preserve">along with </w:t>
      </w:r>
      <w:r w:rsidR="00A51159">
        <w:t>a Fire Safety Schedule.</w:t>
      </w:r>
      <w:r w:rsidR="00403469">
        <w:rPr>
          <w:rStyle w:val="FootnoteReference"/>
        </w:rPr>
        <w:footnoteReference w:id="1"/>
      </w:r>
      <w:r w:rsidR="00A51159">
        <w:t xml:space="preserve"> The AFSS must certify that </w:t>
      </w:r>
      <w:r w:rsidR="00A51159" w:rsidRPr="00A51159">
        <w:t>all Essential Fire Safety Measures have been inspected, maintained and will operate to the design standards to which they were installed.</w:t>
      </w:r>
      <w:r w:rsidR="002E5B20">
        <w:rPr>
          <w:rStyle w:val="FootnoteReference"/>
        </w:rPr>
        <w:footnoteReference w:id="2"/>
      </w:r>
    </w:p>
    <w:p w:rsidR="00A51159" w:rsidRPr="009025DB" w:rsidRDefault="00A51159" w:rsidP="009025DB"/>
    <w:p w:rsidR="009025DB" w:rsidRPr="003802D2" w:rsidRDefault="009025DB" w:rsidP="003802D2">
      <w:pPr>
        <w:pStyle w:val="ListParagraph"/>
        <w:numPr>
          <w:ilvl w:val="0"/>
          <w:numId w:val="10"/>
        </w:numPr>
        <w:rPr>
          <w:b/>
        </w:rPr>
      </w:pPr>
      <w:r w:rsidRPr="003802D2">
        <w:rPr>
          <w:b/>
        </w:rPr>
        <w:t xml:space="preserve">Victoria </w:t>
      </w:r>
    </w:p>
    <w:p w:rsidR="00FC2834" w:rsidRDefault="008F63D1" w:rsidP="009025DB">
      <w:r>
        <w:t>In Victoria, u</w:t>
      </w:r>
      <w:r w:rsidR="0096645D">
        <w:t xml:space="preserve">nder the </w:t>
      </w:r>
      <w:r w:rsidR="0096645D" w:rsidRPr="00403469">
        <w:rPr>
          <w:i/>
        </w:rPr>
        <w:t>Building Act 1993</w:t>
      </w:r>
      <w:r w:rsidR="0096645D">
        <w:t xml:space="preserve"> and the </w:t>
      </w:r>
      <w:r w:rsidR="0096645D" w:rsidRPr="00403469">
        <w:rPr>
          <w:i/>
        </w:rPr>
        <w:t>Building Regulations 2006</w:t>
      </w:r>
      <w:r w:rsidR="0096645D">
        <w:t>,</w:t>
      </w:r>
      <w:r w:rsidR="00403469">
        <w:rPr>
          <w:rStyle w:val="FootnoteReference"/>
        </w:rPr>
        <w:footnoteReference w:id="3"/>
      </w:r>
      <w:r w:rsidR="0096645D">
        <w:t xml:space="preserve"> a building owner is required to maintain “essential safety measures” (</w:t>
      </w:r>
      <w:r w:rsidR="0096645D" w:rsidRPr="0096645D">
        <w:rPr>
          <w:b/>
        </w:rPr>
        <w:t>ESM</w:t>
      </w:r>
      <w:r w:rsidR="0096645D">
        <w:t>)</w:t>
      </w:r>
      <w:r w:rsidR="00FC2834">
        <w:t>.</w:t>
      </w:r>
      <w:r w:rsidR="00FC2834">
        <w:rPr>
          <w:rStyle w:val="FootnoteReference"/>
        </w:rPr>
        <w:footnoteReference w:id="4"/>
      </w:r>
      <w:r w:rsidR="00FC2834">
        <w:t xml:space="preserve"> ESMs are set out under Schedule 9 of the Regulations, and include a number of building fire integrity measures such as fire doors and windows and sprinklers, and fire-fighting equipment such as extinguishers and fire control centres. </w:t>
      </w:r>
    </w:p>
    <w:p w:rsidR="00FC2834" w:rsidRDefault="00FC2834" w:rsidP="009025DB">
      <w:r>
        <w:t>Compliance requirements for ESMs differ based on when the building was built.</w:t>
      </w:r>
    </w:p>
    <w:p w:rsidR="00FC2834" w:rsidRDefault="00FC2834" w:rsidP="009025DB">
      <w:pPr>
        <w:pStyle w:val="ListParagraph"/>
        <w:numPr>
          <w:ilvl w:val="0"/>
          <w:numId w:val="6"/>
        </w:numPr>
      </w:pPr>
      <w:r w:rsidRPr="00FC2834">
        <w:rPr>
          <w:b/>
        </w:rPr>
        <w:t>For buildings built before 1 July 1994</w:t>
      </w:r>
      <w:r>
        <w:t xml:space="preserve">: the owner is responsible for ensuring that fire safety equipment, fittings or measures are maintained and fulfilling their purpose. </w:t>
      </w:r>
    </w:p>
    <w:p w:rsidR="00560C1F" w:rsidRDefault="00FC2834" w:rsidP="009025DB">
      <w:pPr>
        <w:pStyle w:val="ListParagraph"/>
        <w:numPr>
          <w:ilvl w:val="0"/>
          <w:numId w:val="6"/>
        </w:numPr>
      </w:pPr>
      <w:r w:rsidRPr="00FC2834">
        <w:rPr>
          <w:b/>
        </w:rPr>
        <w:lastRenderedPageBreak/>
        <w:t>For buildings constructed or altered after 1 July 1994</w:t>
      </w:r>
      <w:r>
        <w:t xml:space="preserve">: the list of ESMs, including their respective performance level, frequency and maintenance are included on the occupancy permit or certificate of final inspection. </w:t>
      </w:r>
    </w:p>
    <w:p w:rsidR="00560C1F" w:rsidRDefault="00560C1F" w:rsidP="009758EF">
      <w:r>
        <w:t xml:space="preserve">The owner of a building or commercial premise must comply with annual reporting requirements for ESMs, </w:t>
      </w:r>
      <w:r w:rsidR="009758EF">
        <w:t xml:space="preserve">which should set out confirmation from the owner that ESMs are operating at the performance level required and maintained to fulfil their purposes. </w:t>
      </w:r>
    </w:p>
    <w:p w:rsidR="009758EF" w:rsidRDefault="008F63D1" w:rsidP="009758EF">
      <w:r>
        <w:t xml:space="preserve">A landlord is unable to pass on the cost of ESM compliance to the tenant, and must reimburse the tenant if the tenant has </w:t>
      </w:r>
      <w:r w:rsidR="002A33AB">
        <w:t>carried out the ESMs on the landlord’s behalf.</w:t>
      </w:r>
      <w:r>
        <w:rPr>
          <w:rStyle w:val="FootnoteReference"/>
        </w:rPr>
        <w:footnoteReference w:id="5"/>
      </w:r>
    </w:p>
    <w:p w:rsidR="009025DB" w:rsidRDefault="009025DB" w:rsidP="009025DB"/>
    <w:p w:rsidR="00A65CC0" w:rsidRPr="003802D2" w:rsidRDefault="00A65CC0" w:rsidP="003802D2">
      <w:pPr>
        <w:pStyle w:val="ListParagraph"/>
        <w:numPr>
          <w:ilvl w:val="0"/>
          <w:numId w:val="10"/>
        </w:numPr>
        <w:rPr>
          <w:b/>
        </w:rPr>
      </w:pPr>
      <w:r w:rsidRPr="003802D2">
        <w:rPr>
          <w:b/>
        </w:rPr>
        <w:t xml:space="preserve">Queensland </w:t>
      </w:r>
    </w:p>
    <w:p w:rsidR="00E74A62" w:rsidRDefault="001F1F68" w:rsidP="001F1F68">
      <w:r>
        <w:t xml:space="preserve">In Queensland, </w:t>
      </w:r>
      <w:r w:rsidR="008D4E14">
        <w:t>the occupier of a building must maintain prescribed fire safety installations</w:t>
      </w:r>
      <w:r w:rsidR="00FB5D3E">
        <w:t>, and ensure that fire safety installations are inspected and tested</w:t>
      </w:r>
      <w:r w:rsidR="00E74A62">
        <w:t>.</w:t>
      </w:r>
      <w:r w:rsidR="008D4E14">
        <w:rPr>
          <w:rStyle w:val="FootnoteReference"/>
        </w:rPr>
        <w:footnoteReference w:id="6"/>
      </w:r>
      <w:r w:rsidR="008D4E14">
        <w:t xml:space="preserve"> </w:t>
      </w:r>
    </w:p>
    <w:p w:rsidR="00A6733D" w:rsidRDefault="00A6733D" w:rsidP="00A6733D">
      <w:r>
        <w:t xml:space="preserve">Building occupiers </w:t>
      </w:r>
      <w:r w:rsidRPr="001F1F68">
        <w:t>must ha</w:t>
      </w:r>
      <w:r>
        <w:t xml:space="preserve">ve a current Occupier Statement confirming </w:t>
      </w:r>
      <w:r w:rsidRPr="001F1F68">
        <w:t xml:space="preserve">that </w:t>
      </w:r>
      <w:r>
        <w:t xml:space="preserve">fire safety installations </w:t>
      </w:r>
      <w:r w:rsidRPr="001F1F68">
        <w:t xml:space="preserve">are </w:t>
      </w:r>
      <w:r>
        <w:t>being maintained</w:t>
      </w:r>
      <w:r w:rsidR="00E74A62">
        <w:t xml:space="preserve"> by a qualified person</w:t>
      </w:r>
      <w:r>
        <w:t xml:space="preserve">, </w:t>
      </w:r>
      <w:r w:rsidR="00E74A62">
        <w:t>are in working order, and if not in working order, that corrective action has been taken.</w:t>
      </w:r>
      <w:r w:rsidR="00FB5D3E">
        <w:rPr>
          <w:rStyle w:val="FootnoteReference"/>
        </w:rPr>
        <w:footnoteReference w:id="7"/>
      </w:r>
    </w:p>
    <w:p w:rsidR="00A65CC0" w:rsidRDefault="00A65CC0" w:rsidP="009025DB"/>
    <w:p w:rsidR="002A33AB" w:rsidRPr="003802D2" w:rsidRDefault="002A33AB" w:rsidP="003802D2">
      <w:pPr>
        <w:pStyle w:val="ListParagraph"/>
        <w:numPr>
          <w:ilvl w:val="0"/>
          <w:numId w:val="10"/>
        </w:numPr>
        <w:rPr>
          <w:b/>
        </w:rPr>
      </w:pPr>
      <w:r w:rsidRPr="003802D2">
        <w:rPr>
          <w:b/>
        </w:rPr>
        <w:t xml:space="preserve">South Australia </w:t>
      </w:r>
    </w:p>
    <w:p w:rsidR="002A33AB" w:rsidRDefault="002A33AB" w:rsidP="009025DB">
      <w:r>
        <w:t xml:space="preserve">In South Australia, the </w:t>
      </w:r>
      <w:r w:rsidRPr="002A33AB">
        <w:rPr>
          <w:i/>
        </w:rPr>
        <w:t>Development Act 1993</w:t>
      </w:r>
      <w:r>
        <w:t xml:space="preserve"> provides that an authorised officer </w:t>
      </w:r>
      <w:r w:rsidR="0054091F">
        <w:t xml:space="preserve">(typically a local council) </w:t>
      </w:r>
      <w:r>
        <w:t>under this Act may enter and inspect a building to determine whether the fire safety of a building is adequate.</w:t>
      </w:r>
      <w:r w:rsidR="0054091F">
        <w:rPr>
          <w:rStyle w:val="FootnoteReference"/>
        </w:rPr>
        <w:footnoteReference w:id="8"/>
      </w:r>
      <w:r>
        <w:t xml:space="preserve"> </w:t>
      </w:r>
      <w:r w:rsidR="0054091F">
        <w:t xml:space="preserve">If the officer comes to the view that fire safety is not adequate for the building, the owner has two months to report to the building fire safety committee on the proposed measures to ensure that the building fire safety is adequate. </w:t>
      </w:r>
    </w:p>
    <w:p w:rsidR="0054091F" w:rsidRPr="009025DB" w:rsidRDefault="0054091F" w:rsidP="009025DB">
      <w:r>
        <w:t>Similar to Victoria, when dealing with applications for construction or building works, a local council or relevant authority must issue a schedule outlining the “essential safety provisions” (ESP) for the building. The building owner must not permit use of the building unless maintenance and testing has been carried out for each ESP. Like in Victoria, annual reporting requirements apply for maintenance and testing of ESPs.</w:t>
      </w:r>
      <w:r>
        <w:rPr>
          <w:rStyle w:val="FootnoteReference"/>
        </w:rPr>
        <w:footnoteReference w:id="9"/>
      </w:r>
    </w:p>
    <w:p w:rsidR="00DB4117" w:rsidRDefault="00DB4117" w:rsidP="009025DB"/>
    <w:p w:rsidR="00DB4117" w:rsidRPr="003802D2" w:rsidRDefault="00DB4117" w:rsidP="003802D2">
      <w:pPr>
        <w:pStyle w:val="ListParagraph"/>
        <w:numPr>
          <w:ilvl w:val="0"/>
          <w:numId w:val="10"/>
        </w:numPr>
        <w:rPr>
          <w:b/>
        </w:rPr>
      </w:pPr>
      <w:r w:rsidRPr="003802D2">
        <w:rPr>
          <w:b/>
        </w:rPr>
        <w:t xml:space="preserve">Tasmania </w:t>
      </w:r>
    </w:p>
    <w:p w:rsidR="00DB4117" w:rsidRDefault="0058016C" w:rsidP="00DB4117">
      <w:r>
        <w:t>In Tasmania, the owner or occupier of a building must maintain any prescribed essential safety and health features.</w:t>
      </w:r>
      <w:r>
        <w:rPr>
          <w:rStyle w:val="FootnoteReference"/>
        </w:rPr>
        <w:footnoteReference w:id="10"/>
      </w:r>
      <w:r>
        <w:t xml:space="preserve"> </w:t>
      </w:r>
      <w:r w:rsidR="00DB4117">
        <w:t xml:space="preserve">These may include building fire integrity, fire-fighting services and equipment and </w:t>
      </w:r>
      <w:r w:rsidR="00DB4117">
        <w:lastRenderedPageBreak/>
        <w:t>any other feature designated as an essential safety and health feature. The onus is on both the owner and occupier of the building to ensure that these features and measures are maintained.</w:t>
      </w:r>
      <w:r w:rsidR="00DB4117">
        <w:rPr>
          <w:rStyle w:val="FootnoteReference"/>
        </w:rPr>
        <w:footnoteReference w:id="11"/>
      </w:r>
    </w:p>
    <w:p w:rsidR="00DB4117" w:rsidRDefault="00DB4117" w:rsidP="00DB4117">
      <w:r>
        <w:t>The standard of compliance depends on the age of the building:</w:t>
      </w:r>
    </w:p>
    <w:p w:rsidR="00DB4117" w:rsidRDefault="00DB4117" w:rsidP="00DB4117">
      <w:pPr>
        <w:pStyle w:val="ListParagraph"/>
        <w:numPr>
          <w:ilvl w:val="0"/>
          <w:numId w:val="8"/>
        </w:numPr>
      </w:pPr>
      <w:r w:rsidRPr="0058016C">
        <w:rPr>
          <w:b/>
        </w:rPr>
        <w:t>For buildings completed before 1 July 2004</w:t>
      </w:r>
      <w:r>
        <w:t>:</w:t>
      </w:r>
      <w:r w:rsidR="0058016C">
        <w:t xml:space="preserve"> the essential safety and health features must be performed to a standard not less than the standard to which they were originally required to perform. </w:t>
      </w:r>
    </w:p>
    <w:p w:rsidR="00DB4117" w:rsidRDefault="00DB4117" w:rsidP="00DB4117">
      <w:pPr>
        <w:pStyle w:val="ListParagraph"/>
        <w:numPr>
          <w:ilvl w:val="0"/>
          <w:numId w:val="8"/>
        </w:numPr>
      </w:pPr>
      <w:r w:rsidRPr="0058016C">
        <w:rPr>
          <w:b/>
        </w:rPr>
        <w:t>For buildings completed or altered after 1 July 2004</w:t>
      </w:r>
      <w:r>
        <w:t xml:space="preserve">: </w:t>
      </w:r>
      <w:r w:rsidR="0058016C">
        <w:t xml:space="preserve">the essential safety and health features must be performed to the standard not less than the original standard to which they were required to perform, </w:t>
      </w:r>
      <w:r w:rsidR="0058016C" w:rsidRPr="0058016C">
        <w:rPr>
          <w:i/>
        </w:rPr>
        <w:t>and</w:t>
      </w:r>
      <w:r w:rsidR="0058016C">
        <w:t xml:space="preserve"> the standard specified under the Act by the Director of Building Control.</w:t>
      </w:r>
      <w:r w:rsidR="0058016C">
        <w:rPr>
          <w:rStyle w:val="FootnoteReference"/>
        </w:rPr>
        <w:footnoteReference w:id="12"/>
      </w:r>
    </w:p>
    <w:p w:rsidR="0058016C" w:rsidRDefault="0058016C" w:rsidP="0058016C">
      <w:r>
        <w:t>The owner or occupier of the building must also ensure that an annual statement is publicly displayed setting out the assessments that have been performed on the essential safety and health features and the standards they were originally required to perform to.</w:t>
      </w:r>
      <w:r>
        <w:rPr>
          <w:rStyle w:val="FootnoteReference"/>
        </w:rPr>
        <w:footnoteReference w:id="13"/>
      </w:r>
    </w:p>
    <w:p w:rsidR="00DB4117" w:rsidRPr="009025DB" w:rsidRDefault="00DB4117" w:rsidP="009025DB"/>
    <w:p w:rsidR="00A65CC0" w:rsidRPr="003802D2" w:rsidRDefault="00A65CC0" w:rsidP="003802D2">
      <w:pPr>
        <w:pStyle w:val="ListParagraph"/>
        <w:numPr>
          <w:ilvl w:val="0"/>
          <w:numId w:val="10"/>
        </w:numPr>
        <w:rPr>
          <w:b/>
        </w:rPr>
      </w:pPr>
      <w:r w:rsidRPr="003802D2">
        <w:rPr>
          <w:b/>
        </w:rPr>
        <w:t>Western Australia, Northern Territory and ACT</w:t>
      </w:r>
    </w:p>
    <w:p w:rsidR="00A65CC0" w:rsidRDefault="00A65CC0" w:rsidP="009025DB">
      <w:r>
        <w:t xml:space="preserve">In Western Australia, Northern Territory and the ACT, there is currently </w:t>
      </w:r>
      <w:r w:rsidRPr="00A65CC0">
        <w:t xml:space="preserve">no requirement for essential safety measures </w:t>
      </w:r>
      <w:r>
        <w:t xml:space="preserve">to be </w:t>
      </w:r>
      <w:r w:rsidRPr="00A65CC0">
        <w:t xml:space="preserve">installed </w:t>
      </w:r>
      <w:r>
        <w:t>and reported</w:t>
      </w:r>
      <w:r w:rsidRPr="00A65CC0">
        <w:t xml:space="preserve">. </w:t>
      </w:r>
      <w:r w:rsidR="002E33B6">
        <w:t>However, t</w:t>
      </w:r>
      <w:r w:rsidR="00DB4117">
        <w:t xml:space="preserve">here are </w:t>
      </w:r>
      <w:r w:rsidR="002E33B6">
        <w:t xml:space="preserve">WHS </w:t>
      </w:r>
      <w:r w:rsidR="00DB4117">
        <w:t xml:space="preserve">requirements on employers, occupiers </w:t>
      </w:r>
      <w:r w:rsidR="003802D2">
        <w:t xml:space="preserve">(and in some cases, the owners) </w:t>
      </w:r>
      <w:r w:rsidR="00DB4117">
        <w:t xml:space="preserve">of the buildings to ensure that the premises are safety for the employees who work there. </w:t>
      </w:r>
    </w:p>
    <w:p w:rsidR="002E5B20" w:rsidRDefault="002E5B20" w:rsidP="009025DB"/>
    <w:p w:rsidR="002E33B6" w:rsidRPr="002E33B6" w:rsidRDefault="002E33B6" w:rsidP="009025DB">
      <w:pPr>
        <w:rPr>
          <w:b/>
        </w:rPr>
      </w:pPr>
      <w:r w:rsidRPr="002E33B6">
        <w:rPr>
          <w:b/>
        </w:rPr>
        <w:t xml:space="preserve">Conclusion </w:t>
      </w:r>
    </w:p>
    <w:p w:rsidR="00245471" w:rsidRDefault="002E33B6" w:rsidP="002E33B6">
      <w:r>
        <w:t xml:space="preserve">In most Australian States, building owners and/or occupiers have the obligation to ensure that fire safety measures are installed and maintained regularly. </w:t>
      </w:r>
      <w:r w:rsidR="00245471">
        <w:t xml:space="preserve">In order to comply, it is important that the building owner or agent (or in some cases the occupier) engages a qualified professional to inspect and maintain the essential safety measures in the building. Further, building owners, agents and/or occupiers must comply with any annual reporting obligations in the relevant jurisdiction. </w:t>
      </w:r>
    </w:p>
    <w:p w:rsidR="002E33B6" w:rsidRDefault="002E33B6" w:rsidP="009025DB"/>
    <w:p w:rsidR="002E5B20" w:rsidRDefault="00A95048" w:rsidP="009025DB">
      <w:hyperlink r:id="rId9" w:history="1">
        <w:r w:rsidR="002E5B20" w:rsidRPr="00D6671D">
          <w:rPr>
            <w:rStyle w:val="Hyperlink"/>
          </w:rPr>
          <w:t>http://www.aesc.snspreview6.com.au/index.php</w:t>
        </w:r>
      </w:hyperlink>
    </w:p>
    <w:p w:rsidR="002E5B20" w:rsidRDefault="002E5B20" w:rsidP="009025DB"/>
    <w:p w:rsidR="002E33B6" w:rsidRDefault="002E33B6" w:rsidP="009025DB"/>
    <w:sectPr w:rsidR="002E33B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5048" w:rsidRDefault="00A95048" w:rsidP="0096645D">
      <w:pPr>
        <w:spacing w:after="0" w:line="240" w:lineRule="auto"/>
      </w:pPr>
      <w:r>
        <w:separator/>
      </w:r>
    </w:p>
  </w:endnote>
  <w:endnote w:type="continuationSeparator" w:id="0">
    <w:p w:rsidR="00A95048" w:rsidRDefault="00A95048" w:rsidP="009664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5048" w:rsidRDefault="00A95048" w:rsidP="0096645D">
      <w:pPr>
        <w:spacing w:after="0" w:line="240" w:lineRule="auto"/>
      </w:pPr>
      <w:r>
        <w:separator/>
      </w:r>
    </w:p>
  </w:footnote>
  <w:footnote w:type="continuationSeparator" w:id="0">
    <w:p w:rsidR="00A95048" w:rsidRDefault="00A95048" w:rsidP="0096645D">
      <w:pPr>
        <w:spacing w:after="0" w:line="240" w:lineRule="auto"/>
      </w:pPr>
      <w:r>
        <w:continuationSeparator/>
      </w:r>
    </w:p>
  </w:footnote>
  <w:footnote w:id="1">
    <w:p w:rsidR="00403469" w:rsidRDefault="00403469">
      <w:pPr>
        <w:pStyle w:val="FootnoteText"/>
      </w:pPr>
      <w:r>
        <w:rPr>
          <w:rStyle w:val="FootnoteReference"/>
        </w:rPr>
        <w:footnoteRef/>
      </w:r>
      <w:r>
        <w:t xml:space="preserve"> </w:t>
      </w:r>
      <w:proofErr w:type="gramStart"/>
      <w:r w:rsidRPr="002E5B20">
        <w:rPr>
          <w:i/>
        </w:rPr>
        <w:t>Environment</w:t>
      </w:r>
      <w:r>
        <w:rPr>
          <w:i/>
        </w:rPr>
        <w:t>al</w:t>
      </w:r>
      <w:r w:rsidRPr="002E5B20">
        <w:rPr>
          <w:i/>
        </w:rPr>
        <w:t xml:space="preserve"> Planning and Assessment Regulations 2000</w:t>
      </w:r>
      <w:r>
        <w:t xml:space="preserve"> (NSW) </w:t>
      </w:r>
      <w:proofErr w:type="spellStart"/>
      <w:r>
        <w:t>regs</w:t>
      </w:r>
      <w:proofErr w:type="spellEnd"/>
      <w:r>
        <w:t xml:space="preserve"> 176, 177.</w:t>
      </w:r>
      <w:proofErr w:type="gramEnd"/>
    </w:p>
  </w:footnote>
  <w:footnote w:id="2">
    <w:p w:rsidR="002E5B20" w:rsidRDefault="002E5B20">
      <w:pPr>
        <w:pStyle w:val="FootnoteText"/>
      </w:pPr>
      <w:r>
        <w:rPr>
          <w:rStyle w:val="FootnoteReference"/>
        </w:rPr>
        <w:footnoteRef/>
      </w:r>
      <w:r>
        <w:t xml:space="preserve"> </w:t>
      </w:r>
      <w:proofErr w:type="gramStart"/>
      <w:r w:rsidRPr="002E5B20">
        <w:rPr>
          <w:i/>
        </w:rPr>
        <w:t>Environment</w:t>
      </w:r>
      <w:r>
        <w:rPr>
          <w:i/>
        </w:rPr>
        <w:t>al</w:t>
      </w:r>
      <w:r w:rsidRPr="002E5B20">
        <w:rPr>
          <w:i/>
        </w:rPr>
        <w:t xml:space="preserve"> Planning and Assessment Regulations 2000</w:t>
      </w:r>
      <w:r>
        <w:t xml:space="preserve"> (NSW) </w:t>
      </w:r>
      <w:proofErr w:type="spellStart"/>
      <w:r w:rsidR="00403469">
        <w:t>reg</w:t>
      </w:r>
      <w:proofErr w:type="spellEnd"/>
      <w:r w:rsidR="00403469">
        <w:t xml:space="preserve"> 175.</w:t>
      </w:r>
      <w:proofErr w:type="gramEnd"/>
    </w:p>
  </w:footnote>
  <w:footnote w:id="3">
    <w:p w:rsidR="00403469" w:rsidRDefault="00403469">
      <w:pPr>
        <w:pStyle w:val="FootnoteText"/>
      </w:pPr>
      <w:r>
        <w:rPr>
          <w:rStyle w:val="FootnoteReference"/>
        </w:rPr>
        <w:footnoteRef/>
      </w:r>
      <w:r>
        <w:t xml:space="preserve"> </w:t>
      </w:r>
      <w:r w:rsidRPr="00403469">
        <w:rPr>
          <w:i/>
        </w:rPr>
        <w:t>Building Regulations 2006</w:t>
      </w:r>
      <w:r>
        <w:t xml:space="preserve"> (Vic), Part 12.</w:t>
      </w:r>
    </w:p>
  </w:footnote>
  <w:footnote w:id="4">
    <w:p w:rsidR="00FC2834" w:rsidRDefault="00FC2834">
      <w:pPr>
        <w:pStyle w:val="FootnoteText"/>
      </w:pPr>
      <w:r>
        <w:rPr>
          <w:rStyle w:val="FootnoteReference"/>
        </w:rPr>
        <w:footnoteRef/>
      </w:r>
      <w:r>
        <w:t xml:space="preserve"> </w:t>
      </w:r>
      <w:proofErr w:type="gramStart"/>
      <w:r w:rsidRPr="00FC2834">
        <w:rPr>
          <w:i/>
        </w:rPr>
        <w:t>National Construction Code Series Volume 1, Building Code of Australia</w:t>
      </w:r>
      <w:r w:rsidRPr="00FC2834">
        <w:t>,</w:t>
      </w:r>
      <w:r>
        <w:t xml:space="preserve"> Class 2-9 buildings (BCA).</w:t>
      </w:r>
      <w:proofErr w:type="gramEnd"/>
    </w:p>
  </w:footnote>
  <w:footnote w:id="5">
    <w:p w:rsidR="008F63D1" w:rsidRDefault="008F63D1">
      <w:pPr>
        <w:pStyle w:val="FootnoteText"/>
      </w:pPr>
      <w:r>
        <w:rPr>
          <w:rStyle w:val="FootnoteReference"/>
        </w:rPr>
        <w:footnoteRef/>
      </w:r>
      <w:r>
        <w:t xml:space="preserve"> See </w:t>
      </w:r>
      <w:r w:rsidRPr="008F63D1">
        <w:rPr>
          <w:i/>
        </w:rPr>
        <w:t>Retail Leases Act 2003</w:t>
      </w:r>
      <w:r>
        <w:t xml:space="preserve"> (Vic) s 52, and Chen v Panmure Hotel Pty Ltd. </w:t>
      </w:r>
    </w:p>
  </w:footnote>
  <w:footnote w:id="6">
    <w:p w:rsidR="008D4E14" w:rsidRDefault="008D4E14">
      <w:pPr>
        <w:pStyle w:val="FootnoteText"/>
      </w:pPr>
      <w:r>
        <w:rPr>
          <w:rStyle w:val="FootnoteReference"/>
        </w:rPr>
        <w:footnoteRef/>
      </w:r>
      <w:r>
        <w:t xml:space="preserve"> </w:t>
      </w:r>
      <w:proofErr w:type="gramStart"/>
      <w:r w:rsidRPr="008D4E14">
        <w:rPr>
          <w:i/>
        </w:rPr>
        <w:t>Fire and Rescue Services Act 1990</w:t>
      </w:r>
      <w:r w:rsidR="00FB5D3E">
        <w:t xml:space="preserve"> (Qld) s 104D, </w:t>
      </w:r>
      <w:r w:rsidR="00FB5D3E" w:rsidRPr="00FB5D3E">
        <w:rPr>
          <w:i/>
        </w:rPr>
        <w:t>Building Fire Safety Regulations 2008</w:t>
      </w:r>
      <w:r w:rsidR="00E74A62">
        <w:rPr>
          <w:i/>
        </w:rPr>
        <w:t xml:space="preserve"> </w:t>
      </w:r>
      <w:r w:rsidR="00E74A62" w:rsidRPr="00E74A62">
        <w:t>(QLD)</w:t>
      </w:r>
      <w:r w:rsidR="00E74A62">
        <w:t>,</w:t>
      </w:r>
      <w:r w:rsidR="00FB5D3E">
        <w:t xml:space="preserve"> s 54.</w:t>
      </w:r>
      <w:proofErr w:type="gramEnd"/>
    </w:p>
  </w:footnote>
  <w:footnote w:id="7">
    <w:p w:rsidR="00FB5D3E" w:rsidRDefault="00FB5D3E">
      <w:pPr>
        <w:pStyle w:val="FootnoteText"/>
      </w:pPr>
      <w:r>
        <w:rPr>
          <w:rStyle w:val="FootnoteReference"/>
        </w:rPr>
        <w:footnoteRef/>
      </w:r>
      <w:r>
        <w:t xml:space="preserve"> </w:t>
      </w:r>
      <w:proofErr w:type="gramStart"/>
      <w:r w:rsidR="00E74A62" w:rsidRPr="00FB5D3E">
        <w:rPr>
          <w:i/>
        </w:rPr>
        <w:t>Building Fire Safety Regulations 2008</w:t>
      </w:r>
      <w:r w:rsidR="00E74A62">
        <w:rPr>
          <w:i/>
        </w:rPr>
        <w:t xml:space="preserve"> </w:t>
      </w:r>
      <w:r w:rsidR="00E74A62" w:rsidRPr="00E74A62">
        <w:t>(QLD)</w:t>
      </w:r>
      <w:r w:rsidR="00E74A62">
        <w:t xml:space="preserve"> s 55.</w:t>
      </w:r>
      <w:proofErr w:type="gramEnd"/>
    </w:p>
  </w:footnote>
  <w:footnote w:id="8">
    <w:p w:rsidR="0054091F" w:rsidRDefault="0054091F">
      <w:pPr>
        <w:pStyle w:val="FootnoteText"/>
      </w:pPr>
      <w:r>
        <w:rPr>
          <w:rStyle w:val="FootnoteReference"/>
        </w:rPr>
        <w:footnoteRef/>
      </w:r>
      <w:r>
        <w:t xml:space="preserve"> </w:t>
      </w:r>
      <w:proofErr w:type="gramStart"/>
      <w:r w:rsidRPr="0054091F">
        <w:rPr>
          <w:i/>
        </w:rPr>
        <w:t>Development Act 1993</w:t>
      </w:r>
      <w:r>
        <w:t xml:space="preserve"> (SA) s 71.</w:t>
      </w:r>
      <w:proofErr w:type="gramEnd"/>
      <w:r>
        <w:t xml:space="preserve"> </w:t>
      </w:r>
    </w:p>
  </w:footnote>
  <w:footnote w:id="9">
    <w:p w:rsidR="0054091F" w:rsidRDefault="0054091F">
      <w:pPr>
        <w:pStyle w:val="FootnoteText"/>
      </w:pPr>
      <w:r>
        <w:rPr>
          <w:rStyle w:val="FootnoteReference"/>
        </w:rPr>
        <w:footnoteRef/>
      </w:r>
      <w:r>
        <w:t xml:space="preserve"> </w:t>
      </w:r>
      <w:proofErr w:type="gramStart"/>
      <w:r w:rsidRPr="0054091F">
        <w:rPr>
          <w:i/>
        </w:rPr>
        <w:t>Development Regulations 2008</w:t>
      </w:r>
      <w:r>
        <w:t xml:space="preserve"> (</w:t>
      </w:r>
      <w:r w:rsidR="00DB4117">
        <w:t xml:space="preserve">SA) </w:t>
      </w:r>
      <w:proofErr w:type="spellStart"/>
      <w:r w:rsidR="00DB4117">
        <w:t>reg</w:t>
      </w:r>
      <w:proofErr w:type="spellEnd"/>
      <w:r w:rsidR="00DB4117">
        <w:t xml:space="preserve"> </w:t>
      </w:r>
      <w:r>
        <w:t>76.</w:t>
      </w:r>
      <w:proofErr w:type="gramEnd"/>
    </w:p>
  </w:footnote>
  <w:footnote w:id="10">
    <w:p w:rsidR="0058016C" w:rsidRDefault="0058016C">
      <w:pPr>
        <w:pStyle w:val="FootnoteText"/>
      </w:pPr>
      <w:r>
        <w:rPr>
          <w:rStyle w:val="FootnoteReference"/>
        </w:rPr>
        <w:footnoteRef/>
      </w:r>
      <w:r>
        <w:t xml:space="preserve"> </w:t>
      </w:r>
      <w:r w:rsidRPr="0058016C">
        <w:rPr>
          <w:i/>
        </w:rPr>
        <w:t>Building Act 2000</w:t>
      </w:r>
      <w:r>
        <w:t xml:space="preserve"> (</w:t>
      </w:r>
      <w:proofErr w:type="spellStart"/>
      <w:proofErr w:type="gramStart"/>
      <w:r>
        <w:t>Tas</w:t>
      </w:r>
      <w:proofErr w:type="spellEnd"/>
      <w:proofErr w:type="gramEnd"/>
      <w:r>
        <w:t>) s 120.</w:t>
      </w:r>
    </w:p>
  </w:footnote>
  <w:footnote w:id="11">
    <w:p w:rsidR="00DB4117" w:rsidRDefault="00DB4117">
      <w:pPr>
        <w:pStyle w:val="FootnoteText"/>
      </w:pPr>
      <w:r>
        <w:rPr>
          <w:rStyle w:val="FootnoteReference"/>
        </w:rPr>
        <w:footnoteRef/>
      </w:r>
      <w:r>
        <w:t xml:space="preserve"> </w:t>
      </w:r>
      <w:r w:rsidRPr="00DB4117">
        <w:rPr>
          <w:i/>
        </w:rPr>
        <w:t>Building Regulations 2014</w:t>
      </w:r>
      <w:r>
        <w:t xml:space="preserve"> (</w:t>
      </w:r>
      <w:proofErr w:type="spellStart"/>
      <w:proofErr w:type="gramStart"/>
      <w:r>
        <w:t>Tas</w:t>
      </w:r>
      <w:proofErr w:type="spellEnd"/>
      <w:proofErr w:type="gramEnd"/>
      <w:r>
        <w:t xml:space="preserve">) </w:t>
      </w:r>
      <w:proofErr w:type="spellStart"/>
      <w:r>
        <w:t>reg</w:t>
      </w:r>
      <w:proofErr w:type="spellEnd"/>
      <w:r>
        <w:t xml:space="preserve"> 48.</w:t>
      </w:r>
    </w:p>
  </w:footnote>
  <w:footnote w:id="12">
    <w:p w:rsidR="0058016C" w:rsidRDefault="0058016C">
      <w:pPr>
        <w:pStyle w:val="FootnoteText"/>
      </w:pPr>
      <w:r>
        <w:rPr>
          <w:rStyle w:val="FootnoteReference"/>
        </w:rPr>
        <w:footnoteRef/>
      </w:r>
      <w:r>
        <w:t xml:space="preserve"> </w:t>
      </w:r>
      <w:r w:rsidRPr="00DB4117">
        <w:rPr>
          <w:i/>
        </w:rPr>
        <w:t>Building Regulations 2014</w:t>
      </w:r>
      <w:r>
        <w:t xml:space="preserve"> (</w:t>
      </w:r>
      <w:proofErr w:type="spellStart"/>
      <w:proofErr w:type="gramStart"/>
      <w:r>
        <w:t>Tas</w:t>
      </w:r>
      <w:proofErr w:type="spellEnd"/>
      <w:proofErr w:type="gramEnd"/>
      <w:r>
        <w:t xml:space="preserve">) </w:t>
      </w:r>
      <w:proofErr w:type="spellStart"/>
      <w:r>
        <w:t>reg</w:t>
      </w:r>
      <w:proofErr w:type="spellEnd"/>
      <w:r>
        <w:t xml:space="preserve"> 49.</w:t>
      </w:r>
    </w:p>
  </w:footnote>
  <w:footnote w:id="13">
    <w:p w:rsidR="0058016C" w:rsidRDefault="0058016C">
      <w:pPr>
        <w:pStyle w:val="FootnoteText"/>
      </w:pPr>
      <w:r>
        <w:rPr>
          <w:rStyle w:val="FootnoteReference"/>
        </w:rPr>
        <w:footnoteRef/>
      </w:r>
      <w:r>
        <w:t xml:space="preserve"> </w:t>
      </w:r>
      <w:r w:rsidRPr="0058016C">
        <w:rPr>
          <w:i/>
        </w:rPr>
        <w:t>Building Act 2000</w:t>
      </w:r>
      <w:r>
        <w:t xml:space="preserve"> (</w:t>
      </w:r>
      <w:proofErr w:type="spellStart"/>
      <w:proofErr w:type="gramStart"/>
      <w:r>
        <w:t>Tas</w:t>
      </w:r>
      <w:proofErr w:type="spellEnd"/>
      <w:proofErr w:type="gramEnd"/>
      <w:r>
        <w:t>) section 120.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F15CC"/>
    <w:multiLevelType w:val="multilevel"/>
    <w:tmpl w:val="E4448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1844CB"/>
    <w:multiLevelType w:val="multilevel"/>
    <w:tmpl w:val="C1264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7447A15"/>
    <w:multiLevelType w:val="multilevel"/>
    <w:tmpl w:val="B8505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8776D67"/>
    <w:multiLevelType w:val="hybridMultilevel"/>
    <w:tmpl w:val="AA9A87B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3DBB66FB"/>
    <w:multiLevelType w:val="hybridMultilevel"/>
    <w:tmpl w:val="D47C33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40D6D1A"/>
    <w:multiLevelType w:val="hybridMultilevel"/>
    <w:tmpl w:val="B346FCA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4DB73A56"/>
    <w:multiLevelType w:val="multilevel"/>
    <w:tmpl w:val="5650B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9CA67CB"/>
    <w:multiLevelType w:val="multilevel"/>
    <w:tmpl w:val="3ECA16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B2A1AD2"/>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65F664EA"/>
    <w:multiLevelType w:val="hybridMultilevel"/>
    <w:tmpl w:val="5218EFD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7FEC4B18"/>
    <w:multiLevelType w:val="multilevel"/>
    <w:tmpl w:val="0C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1"/>
  </w:num>
  <w:num w:numId="3">
    <w:abstractNumId w:val="7"/>
  </w:num>
  <w:num w:numId="4">
    <w:abstractNumId w:val="6"/>
  </w:num>
  <w:num w:numId="5">
    <w:abstractNumId w:val="2"/>
  </w:num>
  <w:num w:numId="6">
    <w:abstractNumId w:val="5"/>
  </w:num>
  <w:num w:numId="7">
    <w:abstractNumId w:val="3"/>
  </w:num>
  <w:num w:numId="8">
    <w:abstractNumId w:val="9"/>
  </w:num>
  <w:num w:numId="9">
    <w:abstractNumId w:val="4"/>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3A8D"/>
    <w:rsid w:val="00031662"/>
    <w:rsid w:val="001079D1"/>
    <w:rsid w:val="001F1F68"/>
    <w:rsid w:val="00245471"/>
    <w:rsid w:val="002A33AB"/>
    <w:rsid w:val="002E33B6"/>
    <w:rsid w:val="002E5B20"/>
    <w:rsid w:val="00306C2D"/>
    <w:rsid w:val="003802D2"/>
    <w:rsid w:val="00403469"/>
    <w:rsid w:val="0054091F"/>
    <w:rsid w:val="00541D9F"/>
    <w:rsid w:val="00560C1F"/>
    <w:rsid w:val="0058016C"/>
    <w:rsid w:val="00633A8D"/>
    <w:rsid w:val="0068690D"/>
    <w:rsid w:val="008D4E14"/>
    <w:rsid w:val="008F63D1"/>
    <w:rsid w:val="008F738B"/>
    <w:rsid w:val="009025DB"/>
    <w:rsid w:val="00946052"/>
    <w:rsid w:val="0096645D"/>
    <w:rsid w:val="009758EF"/>
    <w:rsid w:val="00A51159"/>
    <w:rsid w:val="00A65CC0"/>
    <w:rsid w:val="00A6733D"/>
    <w:rsid w:val="00A95048"/>
    <w:rsid w:val="00AE1E76"/>
    <w:rsid w:val="00BD7167"/>
    <w:rsid w:val="00D7262E"/>
    <w:rsid w:val="00DB4117"/>
    <w:rsid w:val="00E74A62"/>
    <w:rsid w:val="00FB5D3E"/>
    <w:rsid w:val="00FC2834"/>
    <w:rsid w:val="00FC40B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33A8D"/>
  </w:style>
  <w:style w:type="character" w:styleId="Emphasis">
    <w:name w:val="Emphasis"/>
    <w:basedOn w:val="DefaultParagraphFont"/>
    <w:uiPriority w:val="20"/>
    <w:qFormat/>
    <w:rsid w:val="00633A8D"/>
    <w:rPr>
      <w:i/>
      <w:iCs/>
    </w:rPr>
  </w:style>
  <w:style w:type="character" w:styleId="Hyperlink">
    <w:name w:val="Hyperlink"/>
    <w:basedOn w:val="DefaultParagraphFont"/>
    <w:uiPriority w:val="99"/>
    <w:unhideWhenUsed/>
    <w:rsid w:val="00633A8D"/>
    <w:rPr>
      <w:color w:val="0000FF"/>
      <w:u w:val="single"/>
    </w:rPr>
  </w:style>
  <w:style w:type="paragraph" w:styleId="NormalWeb">
    <w:name w:val="Normal (Web)"/>
    <w:basedOn w:val="Normal"/>
    <w:uiPriority w:val="99"/>
    <w:semiHidden/>
    <w:unhideWhenUsed/>
    <w:rsid w:val="009025DB"/>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D7262E"/>
    <w:rPr>
      <w:b/>
      <w:bCs/>
    </w:rPr>
  </w:style>
  <w:style w:type="paragraph" w:styleId="FootnoteText">
    <w:name w:val="footnote text"/>
    <w:basedOn w:val="Normal"/>
    <w:link w:val="FootnoteTextChar"/>
    <w:uiPriority w:val="99"/>
    <w:semiHidden/>
    <w:unhideWhenUsed/>
    <w:rsid w:val="0096645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645D"/>
    <w:rPr>
      <w:sz w:val="20"/>
      <w:szCs w:val="20"/>
    </w:rPr>
  </w:style>
  <w:style w:type="character" w:styleId="FootnoteReference">
    <w:name w:val="footnote reference"/>
    <w:basedOn w:val="DefaultParagraphFont"/>
    <w:uiPriority w:val="99"/>
    <w:semiHidden/>
    <w:unhideWhenUsed/>
    <w:rsid w:val="0096645D"/>
    <w:rPr>
      <w:vertAlign w:val="superscript"/>
    </w:rPr>
  </w:style>
  <w:style w:type="paragraph" w:styleId="ListParagraph">
    <w:name w:val="List Paragraph"/>
    <w:basedOn w:val="Normal"/>
    <w:uiPriority w:val="34"/>
    <w:qFormat/>
    <w:rsid w:val="00FC283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33A8D"/>
  </w:style>
  <w:style w:type="character" w:styleId="Emphasis">
    <w:name w:val="Emphasis"/>
    <w:basedOn w:val="DefaultParagraphFont"/>
    <w:uiPriority w:val="20"/>
    <w:qFormat/>
    <w:rsid w:val="00633A8D"/>
    <w:rPr>
      <w:i/>
      <w:iCs/>
    </w:rPr>
  </w:style>
  <w:style w:type="character" w:styleId="Hyperlink">
    <w:name w:val="Hyperlink"/>
    <w:basedOn w:val="DefaultParagraphFont"/>
    <w:uiPriority w:val="99"/>
    <w:unhideWhenUsed/>
    <w:rsid w:val="00633A8D"/>
    <w:rPr>
      <w:color w:val="0000FF"/>
      <w:u w:val="single"/>
    </w:rPr>
  </w:style>
  <w:style w:type="paragraph" w:styleId="NormalWeb">
    <w:name w:val="Normal (Web)"/>
    <w:basedOn w:val="Normal"/>
    <w:uiPriority w:val="99"/>
    <w:semiHidden/>
    <w:unhideWhenUsed/>
    <w:rsid w:val="009025DB"/>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D7262E"/>
    <w:rPr>
      <w:b/>
      <w:bCs/>
    </w:rPr>
  </w:style>
  <w:style w:type="paragraph" w:styleId="FootnoteText">
    <w:name w:val="footnote text"/>
    <w:basedOn w:val="Normal"/>
    <w:link w:val="FootnoteTextChar"/>
    <w:uiPriority w:val="99"/>
    <w:semiHidden/>
    <w:unhideWhenUsed/>
    <w:rsid w:val="0096645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645D"/>
    <w:rPr>
      <w:sz w:val="20"/>
      <w:szCs w:val="20"/>
    </w:rPr>
  </w:style>
  <w:style w:type="character" w:styleId="FootnoteReference">
    <w:name w:val="footnote reference"/>
    <w:basedOn w:val="DefaultParagraphFont"/>
    <w:uiPriority w:val="99"/>
    <w:semiHidden/>
    <w:unhideWhenUsed/>
    <w:rsid w:val="0096645D"/>
    <w:rPr>
      <w:vertAlign w:val="superscript"/>
    </w:rPr>
  </w:style>
  <w:style w:type="paragraph" w:styleId="ListParagraph">
    <w:name w:val="List Paragraph"/>
    <w:basedOn w:val="Normal"/>
    <w:uiPriority w:val="34"/>
    <w:qFormat/>
    <w:rsid w:val="00FC28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9056183">
      <w:bodyDiv w:val="1"/>
      <w:marLeft w:val="0"/>
      <w:marRight w:val="0"/>
      <w:marTop w:val="0"/>
      <w:marBottom w:val="0"/>
      <w:divBdr>
        <w:top w:val="none" w:sz="0" w:space="0" w:color="auto"/>
        <w:left w:val="none" w:sz="0" w:space="0" w:color="auto"/>
        <w:bottom w:val="none" w:sz="0" w:space="0" w:color="auto"/>
        <w:right w:val="none" w:sz="0" w:space="0" w:color="auto"/>
      </w:divBdr>
    </w:div>
    <w:div w:id="662661813">
      <w:bodyDiv w:val="1"/>
      <w:marLeft w:val="0"/>
      <w:marRight w:val="0"/>
      <w:marTop w:val="0"/>
      <w:marBottom w:val="0"/>
      <w:divBdr>
        <w:top w:val="none" w:sz="0" w:space="0" w:color="auto"/>
        <w:left w:val="none" w:sz="0" w:space="0" w:color="auto"/>
        <w:bottom w:val="none" w:sz="0" w:space="0" w:color="auto"/>
        <w:right w:val="none" w:sz="0" w:space="0" w:color="auto"/>
      </w:divBdr>
    </w:div>
    <w:div w:id="676998658">
      <w:bodyDiv w:val="1"/>
      <w:marLeft w:val="0"/>
      <w:marRight w:val="0"/>
      <w:marTop w:val="0"/>
      <w:marBottom w:val="0"/>
      <w:divBdr>
        <w:top w:val="none" w:sz="0" w:space="0" w:color="auto"/>
        <w:left w:val="none" w:sz="0" w:space="0" w:color="auto"/>
        <w:bottom w:val="none" w:sz="0" w:space="0" w:color="auto"/>
        <w:right w:val="none" w:sz="0" w:space="0" w:color="auto"/>
      </w:divBdr>
    </w:div>
    <w:div w:id="712731686">
      <w:bodyDiv w:val="1"/>
      <w:marLeft w:val="0"/>
      <w:marRight w:val="0"/>
      <w:marTop w:val="0"/>
      <w:marBottom w:val="0"/>
      <w:divBdr>
        <w:top w:val="none" w:sz="0" w:space="0" w:color="auto"/>
        <w:left w:val="none" w:sz="0" w:space="0" w:color="auto"/>
        <w:bottom w:val="none" w:sz="0" w:space="0" w:color="auto"/>
        <w:right w:val="none" w:sz="0" w:space="0" w:color="auto"/>
      </w:divBdr>
      <w:divsChild>
        <w:div w:id="2027706387">
          <w:marLeft w:val="0"/>
          <w:marRight w:val="0"/>
          <w:marTop w:val="0"/>
          <w:marBottom w:val="0"/>
          <w:divBdr>
            <w:top w:val="none" w:sz="0" w:space="0" w:color="auto"/>
            <w:left w:val="none" w:sz="0" w:space="0" w:color="auto"/>
            <w:bottom w:val="none" w:sz="0" w:space="0" w:color="auto"/>
            <w:right w:val="none" w:sz="0" w:space="0" w:color="auto"/>
          </w:divBdr>
        </w:div>
        <w:div w:id="1444689851">
          <w:marLeft w:val="0"/>
          <w:marRight w:val="0"/>
          <w:marTop w:val="0"/>
          <w:marBottom w:val="0"/>
          <w:divBdr>
            <w:top w:val="none" w:sz="0" w:space="0" w:color="auto"/>
            <w:left w:val="none" w:sz="0" w:space="0" w:color="auto"/>
            <w:bottom w:val="none" w:sz="0" w:space="0" w:color="auto"/>
            <w:right w:val="none" w:sz="0" w:space="0" w:color="auto"/>
          </w:divBdr>
        </w:div>
      </w:divsChild>
    </w:div>
    <w:div w:id="1479423485">
      <w:bodyDiv w:val="1"/>
      <w:marLeft w:val="0"/>
      <w:marRight w:val="0"/>
      <w:marTop w:val="0"/>
      <w:marBottom w:val="0"/>
      <w:divBdr>
        <w:top w:val="none" w:sz="0" w:space="0" w:color="auto"/>
        <w:left w:val="none" w:sz="0" w:space="0" w:color="auto"/>
        <w:bottom w:val="none" w:sz="0" w:space="0" w:color="auto"/>
        <w:right w:val="none" w:sz="0" w:space="0" w:color="auto"/>
      </w:divBdr>
      <w:divsChild>
        <w:div w:id="803737532">
          <w:marLeft w:val="0"/>
          <w:marRight w:val="0"/>
          <w:marTop w:val="0"/>
          <w:marBottom w:val="0"/>
          <w:divBdr>
            <w:top w:val="none" w:sz="0" w:space="0" w:color="auto"/>
            <w:left w:val="none" w:sz="0" w:space="0" w:color="auto"/>
            <w:bottom w:val="none" w:sz="0" w:space="0" w:color="auto"/>
            <w:right w:val="none" w:sz="0" w:space="0" w:color="auto"/>
          </w:divBdr>
        </w:div>
        <w:div w:id="579995056">
          <w:marLeft w:val="0"/>
          <w:marRight w:val="0"/>
          <w:marTop w:val="0"/>
          <w:marBottom w:val="0"/>
          <w:divBdr>
            <w:top w:val="none" w:sz="0" w:space="0" w:color="auto"/>
            <w:left w:val="none" w:sz="0" w:space="0" w:color="auto"/>
            <w:bottom w:val="none" w:sz="0" w:space="0" w:color="auto"/>
            <w:right w:val="none" w:sz="0" w:space="0" w:color="auto"/>
          </w:divBdr>
        </w:div>
        <w:div w:id="1181436647">
          <w:marLeft w:val="0"/>
          <w:marRight w:val="0"/>
          <w:marTop w:val="0"/>
          <w:marBottom w:val="0"/>
          <w:divBdr>
            <w:top w:val="none" w:sz="0" w:space="0" w:color="auto"/>
            <w:left w:val="none" w:sz="0" w:space="0" w:color="auto"/>
            <w:bottom w:val="none" w:sz="0" w:space="0" w:color="auto"/>
            <w:right w:val="none" w:sz="0" w:space="0" w:color="auto"/>
          </w:divBdr>
        </w:div>
        <w:div w:id="657460811">
          <w:marLeft w:val="0"/>
          <w:marRight w:val="0"/>
          <w:marTop w:val="0"/>
          <w:marBottom w:val="0"/>
          <w:divBdr>
            <w:top w:val="none" w:sz="0" w:space="0" w:color="auto"/>
            <w:left w:val="none" w:sz="0" w:space="0" w:color="auto"/>
            <w:bottom w:val="none" w:sz="0" w:space="0" w:color="auto"/>
            <w:right w:val="none" w:sz="0" w:space="0" w:color="auto"/>
          </w:divBdr>
        </w:div>
      </w:divsChild>
    </w:div>
    <w:div w:id="1487743477">
      <w:bodyDiv w:val="1"/>
      <w:marLeft w:val="0"/>
      <w:marRight w:val="0"/>
      <w:marTop w:val="0"/>
      <w:marBottom w:val="0"/>
      <w:divBdr>
        <w:top w:val="none" w:sz="0" w:space="0" w:color="auto"/>
        <w:left w:val="none" w:sz="0" w:space="0" w:color="auto"/>
        <w:bottom w:val="none" w:sz="0" w:space="0" w:color="auto"/>
        <w:right w:val="none" w:sz="0" w:space="0" w:color="auto"/>
      </w:divBdr>
    </w:div>
    <w:div w:id="1604915444">
      <w:bodyDiv w:val="1"/>
      <w:marLeft w:val="0"/>
      <w:marRight w:val="0"/>
      <w:marTop w:val="0"/>
      <w:marBottom w:val="0"/>
      <w:divBdr>
        <w:top w:val="none" w:sz="0" w:space="0" w:color="auto"/>
        <w:left w:val="none" w:sz="0" w:space="0" w:color="auto"/>
        <w:bottom w:val="none" w:sz="0" w:space="0" w:color="auto"/>
        <w:right w:val="none" w:sz="0" w:space="0" w:color="auto"/>
      </w:divBdr>
      <w:divsChild>
        <w:div w:id="1138037765">
          <w:blockQuote w:val="1"/>
          <w:marLeft w:val="720"/>
          <w:marRight w:val="720"/>
          <w:marTop w:val="100"/>
          <w:marBottom w:val="100"/>
          <w:divBdr>
            <w:top w:val="none" w:sz="0" w:space="0" w:color="auto"/>
            <w:left w:val="none" w:sz="0" w:space="0" w:color="auto"/>
            <w:bottom w:val="none" w:sz="0" w:space="0" w:color="auto"/>
            <w:right w:val="none" w:sz="0" w:space="0" w:color="auto"/>
          </w:divBdr>
        </w:div>
        <w:div w:id="1830052741">
          <w:blockQuote w:val="1"/>
          <w:marLeft w:val="720"/>
          <w:marRight w:val="720"/>
          <w:marTop w:val="100"/>
          <w:marBottom w:val="100"/>
          <w:divBdr>
            <w:top w:val="none" w:sz="0" w:space="0" w:color="auto"/>
            <w:left w:val="none" w:sz="0" w:space="0" w:color="auto"/>
            <w:bottom w:val="none" w:sz="0" w:space="0" w:color="auto"/>
            <w:right w:val="none" w:sz="0" w:space="0" w:color="auto"/>
          </w:divBdr>
        </w:div>
        <w:div w:id="332684625">
          <w:blockQuote w:val="1"/>
          <w:marLeft w:val="720"/>
          <w:marRight w:val="720"/>
          <w:marTop w:val="100"/>
          <w:marBottom w:val="100"/>
          <w:divBdr>
            <w:top w:val="none" w:sz="0" w:space="0" w:color="auto"/>
            <w:left w:val="none" w:sz="0" w:space="0" w:color="auto"/>
            <w:bottom w:val="none" w:sz="0" w:space="0" w:color="auto"/>
            <w:right w:val="none" w:sz="0" w:space="0" w:color="auto"/>
          </w:divBdr>
        </w:div>
        <w:div w:id="4170241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5051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aesc.snspreview6.com.au/index.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CC2398-D527-46CB-8C63-361093F56F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938</Words>
  <Characters>5353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Tarrant</dc:creator>
  <cp:lastModifiedBy>Helen T Wang</cp:lastModifiedBy>
  <cp:revision>2</cp:revision>
  <dcterms:created xsi:type="dcterms:W3CDTF">2016-09-20T10:43:00Z</dcterms:created>
  <dcterms:modified xsi:type="dcterms:W3CDTF">2016-09-20T10:43:00Z</dcterms:modified>
</cp:coreProperties>
</file>