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F2C" w:rsidRPr="00DC10BD" w:rsidRDefault="001F2F2C" w:rsidP="001F2F2C">
      <w:pPr>
        <w:rPr>
          <w:b/>
        </w:rPr>
      </w:pPr>
      <w:r w:rsidRPr="00DC10BD">
        <w:rPr>
          <w:b/>
        </w:rPr>
        <w:t>Asbestos compliance</w:t>
      </w:r>
    </w:p>
    <w:p w:rsidR="00F55A4E" w:rsidRDefault="00F55A4E" w:rsidP="001F2F2C">
      <w:r>
        <w:t>Asbestos compliance for commercial properties is regulated under the respective Workplace Health and Safety (WHS) legislation in each State and Territories. All States and Territories, with the exception of Victoria and Western Australia, have adopted uniform laws with the same requirement for asbestos identification,</w:t>
      </w:r>
      <w:r w:rsidR="00C71893">
        <w:t xml:space="preserve"> management and</w:t>
      </w:r>
      <w:r>
        <w:t xml:space="preserve"> </w:t>
      </w:r>
      <w:r w:rsidR="00C71893">
        <w:t xml:space="preserve">removal. </w:t>
      </w:r>
    </w:p>
    <w:p w:rsidR="00C71893" w:rsidRDefault="00C71893" w:rsidP="001F2F2C">
      <w:r>
        <w:t>This chapter will firstly cover the uniform</w:t>
      </w:r>
      <w:r w:rsidR="004E6CB9">
        <w:t xml:space="preserve"> requirements</w:t>
      </w:r>
      <w:r>
        <w:t xml:space="preserve"> for most Australian jurisdictions, before moving onto the specific requirements in Victoria and Queensland.</w:t>
      </w:r>
    </w:p>
    <w:p w:rsidR="00C71893" w:rsidRPr="001F2F2C" w:rsidRDefault="00C71893" w:rsidP="001F2F2C"/>
    <w:p w:rsidR="00F55A4E" w:rsidRPr="00DC10BD" w:rsidRDefault="00C01DEB" w:rsidP="00DC10BD">
      <w:pPr>
        <w:pStyle w:val="ListParagraph"/>
        <w:numPr>
          <w:ilvl w:val="0"/>
          <w:numId w:val="1"/>
        </w:numPr>
        <w:rPr>
          <w:b/>
        </w:rPr>
      </w:pPr>
      <w:r w:rsidRPr="00DC10BD">
        <w:rPr>
          <w:b/>
        </w:rPr>
        <w:t>Uniform asbestos compliance requirements</w:t>
      </w:r>
    </w:p>
    <w:p w:rsidR="00B362A7" w:rsidRDefault="004E6CB9" w:rsidP="001F2F2C">
      <w:r>
        <w:t>As mentioned, u</w:t>
      </w:r>
      <w:r w:rsidR="00B362A7">
        <w:t xml:space="preserve">niform WHS laws </w:t>
      </w:r>
      <w:r>
        <w:t xml:space="preserve">has meant that asbestos compliance across Australia is consistent in all States and Territories, with the exception of Victoria and Western Australia. </w:t>
      </w:r>
    </w:p>
    <w:p w:rsidR="004E6CB9" w:rsidRDefault="004E6CB9" w:rsidP="001F2F2C">
      <w:r>
        <w:t>Firstly, the owner</w:t>
      </w:r>
      <w:r w:rsidR="00C01DEB">
        <w:t xml:space="preserve"> or property manager</w:t>
      </w:r>
      <w:r>
        <w:t xml:space="preserve"> (</w:t>
      </w:r>
      <w:r w:rsidR="00C01DEB">
        <w:t xml:space="preserve">i.e. </w:t>
      </w:r>
      <w:r>
        <w:t>a person with management or control) of the a commercial property</w:t>
      </w:r>
      <w:r w:rsidR="00C01DEB">
        <w:t xml:space="preserve"> has </w:t>
      </w:r>
      <w:r>
        <w:t>obligation</w:t>
      </w:r>
      <w:r w:rsidR="00C01DEB">
        <w:t>s</w:t>
      </w:r>
      <w:r>
        <w:t xml:space="preserve"> to ensure that asbestos at the workplace is identified,</w:t>
      </w:r>
      <w:r w:rsidR="00CD36BE">
        <w:rPr>
          <w:rStyle w:val="FootnoteReference"/>
        </w:rPr>
        <w:footnoteReference w:id="1"/>
      </w:r>
      <w:r>
        <w:t xml:space="preserve"> that the location of asbestos is clearly indicated,</w:t>
      </w:r>
      <w:r w:rsidR="00CD36BE">
        <w:rPr>
          <w:rStyle w:val="FootnoteReference"/>
        </w:rPr>
        <w:footnoteReference w:id="2"/>
      </w:r>
      <w:r>
        <w:t xml:space="preserve"> </w:t>
      </w:r>
      <w:r w:rsidR="00C01DEB">
        <w:t xml:space="preserve">and that </w:t>
      </w:r>
      <w:r>
        <w:t>an asbestos management plan be maintained and reviewed at least every 5 years.</w:t>
      </w:r>
      <w:r>
        <w:rPr>
          <w:rStyle w:val="FootnoteReference"/>
        </w:rPr>
        <w:footnoteReference w:id="3"/>
      </w:r>
    </w:p>
    <w:p w:rsidR="004E6CB9" w:rsidRDefault="00CD36BE" w:rsidP="001F2F2C">
      <w:r>
        <w:t>In relation to the asbestos register,</w:t>
      </w:r>
      <w:r w:rsidR="004E6CB9">
        <w:rPr>
          <w:rStyle w:val="FootnoteReference"/>
        </w:rPr>
        <w:footnoteReference w:id="4"/>
      </w:r>
      <w:r w:rsidR="004E6CB9">
        <w:t xml:space="preserve"> </w:t>
      </w:r>
      <w:r>
        <w:t xml:space="preserve">the owner or property manager </w:t>
      </w:r>
      <w:r w:rsidR="004E6CB9">
        <w:t>must record any asbestos or asbestos containing material identified at the workplace (or that none has been identified).</w:t>
      </w:r>
      <w:r w:rsidR="00C01DEB">
        <w:t xml:space="preserve"> For all States and Territories under uniform WHS laws, with the exception of Queensland, the requirement to maintain and review an asbestos register applies to buildings constructed before 2004. In Queensland, the requirement applies to buildings constructed before 1990.</w:t>
      </w:r>
    </w:p>
    <w:p w:rsidR="002E180B" w:rsidRDefault="002462CC" w:rsidP="001F2F2C">
      <w:r>
        <w:t xml:space="preserve">Under the uniform WHS laws, a breach of any of the provisions around asbestos identification and management </w:t>
      </w:r>
      <w:r w:rsidR="00DC10BD">
        <w:t xml:space="preserve">may carry criminal offences. Maximum penalties vary in each State and Territory based on penalty units. However, the risk of asbestos exposure, particularly in buildings of a particular age, may be significant, and it is important to ensure that you have insurance coverage for such risks. </w:t>
      </w:r>
    </w:p>
    <w:p w:rsidR="00DC10BD" w:rsidRPr="001F2F2C" w:rsidRDefault="00DC10BD" w:rsidP="001F2F2C"/>
    <w:p w:rsidR="001F2F2C" w:rsidRPr="00DC10BD" w:rsidRDefault="001F2F2C" w:rsidP="00DC10BD">
      <w:pPr>
        <w:pStyle w:val="ListParagraph"/>
        <w:numPr>
          <w:ilvl w:val="0"/>
          <w:numId w:val="1"/>
        </w:numPr>
        <w:rPr>
          <w:b/>
        </w:rPr>
      </w:pPr>
      <w:r w:rsidRPr="00DC10BD">
        <w:rPr>
          <w:b/>
        </w:rPr>
        <w:lastRenderedPageBreak/>
        <w:t xml:space="preserve">Victoria </w:t>
      </w:r>
    </w:p>
    <w:p w:rsidR="00426E68" w:rsidRDefault="00426E68" w:rsidP="001F2F2C">
      <w:r>
        <w:t xml:space="preserve">Although Victoria has not adopted the uniform WHS laws, its provisions around asbestos compliance are substantially similar to the requirements under the uniform laws.  </w:t>
      </w:r>
    </w:p>
    <w:p w:rsidR="001F2F2C" w:rsidRDefault="001F2F2C" w:rsidP="001F2F2C">
      <w:r w:rsidRPr="001F2F2C">
        <w:t>Commercial property owners</w:t>
      </w:r>
      <w:r>
        <w:t xml:space="preserve"> in Victoria have obligations under the </w:t>
      </w:r>
      <w:r w:rsidRPr="0019110C">
        <w:rPr>
          <w:i/>
        </w:rPr>
        <w:t>Occupational Health and Safety Act 2004</w:t>
      </w:r>
      <w:r>
        <w:t xml:space="preserve"> and the </w:t>
      </w:r>
      <w:r w:rsidRPr="0019110C">
        <w:rPr>
          <w:i/>
        </w:rPr>
        <w:t>Occupational Health and Safety Regulations 2007</w:t>
      </w:r>
      <w:r w:rsidRPr="001F2F2C">
        <w:t xml:space="preserve"> </w:t>
      </w:r>
      <w:r>
        <w:t>to find, identify, manage and remove asbestos.</w:t>
      </w:r>
      <w:r>
        <w:rPr>
          <w:rStyle w:val="FootnoteReference"/>
        </w:rPr>
        <w:footnoteReference w:id="5"/>
      </w:r>
    </w:p>
    <w:p w:rsidR="00426E68" w:rsidRDefault="0019110C" w:rsidP="001F2F2C">
      <w:r>
        <w:t xml:space="preserve">The Regulations </w:t>
      </w:r>
      <w:r w:rsidR="00426E68">
        <w:t>r</w:t>
      </w:r>
      <w:r>
        <w:t>equire that the owner or property manager (being a person who manages or controls a workplace) identify all asbestos present.</w:t>
      </w:r>
      <w:r>
        <w:rPr>
          <w:rStyle w:val="FootnoteReference"/>
        </w:rPr>
        <w:footnoteReference w:id="6"/>
      </w:r>
      <w:r>
        <w:t xml:space="preserve"> If asbestos has been identified, the person must record the results in an asbestos register. </w:t>
      </w:r>
    </w:p>
    <w:p w:rsidR="0019110C" w:rsidRDefault="0019110C" w:rsidP="001F2F2C">
      <w:r>
        <w:t>The asbestos register must contain information relating to the presence of asbestos, likely source, and information relating to any asbestos containing material, details of inaccessible areas that contain asbestos, and the date of each identification.</w:t>
      </w:r>
      <w:r>
        <w:rPr>
          <w:rStyle w:val="FootnoteReference"/>
        </w:rPr>
        <w:footnoteReference w:id="7"/>
      </w:r>
      <w:r>
        <w:t xml:space="preserve"> There is a further duty to keep the asbestos register current, and to provide a copy to any employer located at the workplace</w:t>
      </w:r>
      <w:r w:rsidR="00C12467">
        <w:t xml:space="preserve"> or in the event of a sale of the property.</w:t>
      </w:r>
      <w:r>
        <w:rPr>
          <w:rStyle w:val="FootnoteReference"/>
        </w:rPr>
        <w:footnoteReference w:id="8"/>
      </w:r>
    </w:p>
    <w:p w:rsidR="00500D1F" w:rsidRDefault="00500D1F" w:rsidP="001F2F2C">
      <w:r>
        <w:t>A breach of duty in relation to asbestos could result in penalties of up to $280,000 for a person, $1,395,000 for a corporation, and criminal sanctions being pursued.</w:t>
      </w:r>
      <w:r>
        <w:rPr>
          <w:rStyle w:val="FootnoteReference"/>
        </w:rPr>
        <w:footnoteReference w:id="9"/>
      </w:r>
    </w:p>
    <w:p w:rsidR="00500D1F" w:rsidRDefault="00500D1F" w:rsidP="001F2F2C">
      <w:r>
        <w:t>The owner or property manager must also arrange, so far as is reasonably practicable, for the asbestos containing material to be removed from the workplace. If it is not reasonable to remove the asbestos containing material, the person must enclose and seal the material.</w:t>
      </w:r>
      <w:r>
        <w:rPr>
          <w:rStyle w:val="FootnoteReference"/>
        </w:rPr>
        <w:footnoteReference w:id="10"/>
      </w:r>
      <w:r>
        <w:t xml:space="preserve"> </w:t>
      </w:r>
    </w:p>
    <w:p w:rsidR="00F55A4E" w:rsidRDefault="00F55A4E" w:rsidP="001F2F2C"/>
    <w:p w:rsidR="00F55A4E" w:rsidRPr="00DC10BD" w:rsidRDefault="00E73EA9" w:rsidP="00DC10BD">
      <w:pPr>
        <w:pStyle w:val="ListParagraph"/>
        <w:numPr>
          <w:ilvl w:val="0"/>
          <w:numId w:val="1"/>
        </w:numPr>
        <w:rPr>
          <w:b/>
        </w:rPr>
      </w:pPr>
      <w:r w:rsidRPr="00DC10BD">
        <w:rPr>
          <w:b/>
        </w:rPr>
        <w:t xml:space="preserve">Western Australia </w:t>
      </w:r>
    </w:p>
    <w:p w:rsidR="00E73EA9" w:rsidRDefault="00F7433B" w:rsidP="001F2F2C">
      <w:r>
        <w:t>In Western Australia, the owner or property manager (being a person with control of the workplace) must ensure that the presence and location of asbestos is identified, and a hazards assessment be conducted</w:t>
      </w:r>
      <w:r w:rsidR="00772396">
        <w:t xml:space="preserve"> in accordance with the Code of Practice for the Management and Control of Asbestos in Workplaces</w:t>
      </w:r>
      <w:r>
        <w:t>.</w:t>
      </w:r>
      <w:r>
        <w:rPr>
          <w:rStyle w:val="FootnoteReference"/>
        </w:rPr>
        <w:footnoteReference w:id="11"/>
      </w:r>
      <w:r w:rsidR="00772396">
        <w:t xml:space="preserve"> </w:t>
      </w:r>
    </w:p>
    <w:p w:rsidR="00772396" w:rsidRDefault="00F7433B" w:rsidP="001F2F2C">
      <w:r>
        <w:t>The employer has a further duty to ensure that any friable asbestos-containing material in the workplace is removed by a licenced professional in accordance with the Code of Practice for the Safe Removal of Asbestos.</w:t>
      </w:r>
      <w:r>
        <w:rPr>
          <w:rStyle w:val="FootnoteReference"/>
        </w:rPr>
        <w:footnoteReference w:id="12"/>
      </w:r>
      <w:r>
        <w:t xml:space="preserve"> </w:t>
      </w:r>
    </w:p>
    <w:p w:rsidR="00772396" w:rsidRDefault="00772396" w:rsidP="001F2F2C">
      <w:r>
        <w:lastRenderedPageBreak/>
        <w:t>Both of the Codes of Practice mentioned above are national Codes produced by Safe Work Australia and publicly available.</w:t>
      </w:r>
      <w:r>
        <w:rPr>
          <w:rStyle w:val="FootnoteReference"/>
        </w:rPr>
        <w:footnoteReference w:id="13"/>
      </w:r>
    </w:p>
    <w:p w:rsidR="00772396" w:rsidRDefault="00772396" w:rsidP="001F2F2C">
      <w:r>
        <w:t xml:space="preserve">Penalties of up to $31,250 for an individual and $62,500 for a corporation apply. </w:t>
      </w:r>
    </w:p>
    <w:p w:rsidR="00960A71" w:rsidRPr="00960A71" w:rsidRDefault="00960A71" w:rsidP="001F2F2C">
      <w:pPr>
        <w:rPr>
          <w:b/>
        </w:rPr>
      </w:pPr>
      <w:r w:rsidRPr="00960A71">
        <w:rPr>
          <w:b/>
        </w:rPr>
        <w:t>Conclusion: key takeaways</w:t>
      </w:r>
    </w:p>
    <w:p w:rsidR="00960A71" w:rsidRDefault="00960A71" w:rsidP="001F2F2C">
      <w:r>
        <w:t xml:space="preserve">The introduction of uniform WHS laws in most Australian States and Territories have made asbestos compliance consistent across the country. Under the uniform laws, the main obligations of an owner or property manager with respect to asbestos are to: </w:t>
      </w:r>
    </w:p>
    <w:p w:rsidR="00960A71" w:rsidRDefault="00960A71" w:rsidP="00960A71">
      <w:pPr>
        <w:pStyle w:val="ListParagraph"/>
        <w:numPr>
          <w:ilvl w:val="0"/>
          <w:numId w:val="2"/>
        </w:numPr>
      </w:pPr>
      <w:r>
        <w:t>Identify and indicate, to the extent practicable, the presence of asbestos in the workplace;</w:t>
      </w:r>
    </w:p>
    <w:p w:rsidR="00960A71" w:rsidRDefault="00960A71" w:rsidP="00960A71">
      <w:pPr>
        <w:pStyle w:val="ListParagraph"/>
        <w:numPr>
          <w:ilvl w:val="0"/>
          <w:numId w:val="2"/>
        </w:numPr>
      </w:pPr>
      <w:r>
        <w:t>Have a plan in place to manage asbestos; and</w:t>
      </w:r>
    </w:p>
    <w:p w:rsidR="00960A71" w:rsidRDefault="00960A71" w:rsidP="00960A71">
      <w:pPr>
        <w:pStyle w:val="ListParagraph"/>
        <w:numPr>
          <w:ilvl w:val="0"/>
          <w:numId w:val="2"/>
        </w:numPr>
      </w:pPr>
      <w:r>
        <w:t>Maintain and keep up to date an asbestos register.</w:t>
      </w:r>
    </w:p>
    <w:p w:rsidR="00960A71" w:rsidRDefault="00960A71" w:rsidP="00960A71">
      <w:r>
        <w:t>While Victoria and Western Australia have not adopted the uniform WHS laws, the requirement to identify, manage and remove hazardous asbestos found in the workplace remain substantially the same as the other States. Western Australia in particular has incorporated two national Codes of Practice around the management, control and removal of asbestos into their OH&amp;S legislation.</w:t>
      </w:r>
    </w:p>
    <w:p w:rsidR="00960A71" w:rsidRDefault="00960A71" w:rsidP="00960A71">
      <w:r>
        <w:t xml:space="preserve">Serious penalties may apply for a breach of asbestos obligations by the property owner or manager. The level of fines will vary depending on whether the landlord is a person or corporation, and the jurisdiction. It is important to ensure that if you have a property built (in most jurisdictions) before 2004, you maintain an adequate level of insurance to cover any risks associated with asbestos.  </w:t>
      </w:r>
    </w:p>
    <w:p w:rsidR="00E7542B" w:rsidRDefault="00E7542B" w:rsidP="00960A71">
      <w:r>
        <w:t>There are specialist companies that can perform asbestos audits and develop management plans for you. Below is a link to one of the companies.</w:t>
      </w:r>
    </w:p>
    <w:p w:rsidR="00E7542B" w:rsidRDefault="00E7542B" w:rsidP="00960A71">
      <w:hyperlink r:id="rId9" w:tgtFrame="_blank" w:history="1">
        <w:r>
          <w:rPr>
            <w:rStyle w:val="Hyperlink"/>
            <w:rFonts w:ascii="Segoe UI" w:hAnsi="Segoe UI" w:cs="Segoe UI"/>
            <w:color w:val="196AD4"/>
            <w:sz w:val="20"/>
            <w:szCs w:val="20"/>
            <w:shd w:val="clear" w:color="auto" w:fill="FFFFFF"/>
          </w:rPr>
          <w:t>http://www.greencap.com.au/services/property-and-hazardous-materials/asbestos-risk-management/asbestos-and-hazardous-risk-assessment-audits</w:t>
        </w:r>
      </w:hyperlink>
    </w:p>
    <w:p w:rsidR="00E7542B" w:rsidRPr="001F2F2C" w:rsidRDefault="00E7542B" w:rsidP="00960A71">
      <w:bookmarkStart w:id="0" w:name="_GoBack"/>
      <w:bookmarkEnd w:id="0"/>
    </w:p>
    <w:sectPr w:rsidR="00E7542B" w:rsidRPr="001F2F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D43" w:rsidRDefault="00174D43" w:rsidP="001F2F2C">
      <w:pPr>
        <w:spacing w:after="0" w:line="240" w:lineRule="auto"/>
      </w:pPr>
      <w:r>
        <w:separator/>
      </w:r>
    </w:p>
  </w:endnote>
  <w:endnote w:type="continuationSeparator" w:id="0">
    <w:p w:rsidR="00174D43" w:rsidRDefault="00174D43" w:rsidP="001F2F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D43" w:rsidRDefault="00174D43" w:rsidP="001F2F2C">
      <w:pPr>
        <w:spacing w:after="0" w:line="240" w:lineRule="auto"/>
      </w:pPr>
      <w:r>
        <w:separator/>
      </w:r>
    </w:p>
  </w:footnote>
  <w:footnote w:type="continuationSeparator" w:id="0">
    <w:p w:rsidR="00174D43" w:rsidRDefault="00174D43" w:rsidP="001F2F2C">
      <w:pPr>
        <w:spacing w:after="0" w:line="240" w:lineRule="auto"/>
      </w:pPr>
      <w:r>
        <w:continuationSeparator/>
      </w:r>
    </w:p>
  </w:footnote>
  <w:footnote w:id="1">
    <w:p w:rsidR="00CD36BE" w:rsidRDefault="00CD36BE">
      <w:pPr>
        <w:pStyle w:val="FootnoteText"/>
      </w:pPr>
      <w:r>
        <w:rPr>
          <w:rStyle w:val="FootnoteReference"/>
        </w:rPr>
        <w:footnoteRef/>
      </w:r>
      <w:r>
        <w:t xml:space="preserve"> </w:t>
      </w:r>
      <w:r w:rsidRPr="00CD36BE">
        <w:rPr>
          <w:i/>
        </w:rPr>
        <w:t xml:space="preserve">Work Health and Safety Regulations 2011 </w:t>
      </w:r>
      <w:r w:rsidRPr="00587E72">
        <w:t>(NSW)</w:t>
      </w:r>
      <w:r>
        <w:t xml:space="preserve"> </w:t>
      </w:r>
      <w:proofErr w:type="spellStart"/>
      <w:r w:rsidR="00587E72">
        <w:t>reg</w:t>
      </w:r>
      <w:proofErr w:type="spellEnd"/>
      <w:r>
        <w:t xml:space="preserve"> 422; </w:t>
      </w:r>
      <w:r w:rsidRPr="00CD36BE">
        <w:rPr>
          <w:i/>
        </w:rPr>
        <w:t xml:space="preserve">Work Health and Safety Regulations 2011 </w:t>
      </w:r>
      <w:r w:rsidRPr="00587E72">
        <w:t xml:space="preserve">(Qld) </w:t>
      </w:r>
      <w:r>
        <w:t>s 422;</w:t>
      </w:r>
      <w:r w:rsidR="00587E72">
        <w:t xml:space="preserve"> </w:t>
      </w:r>
      <w:r w:rsidR="00587E72" w:rsidRPr="00CD36BE">
        <w:rPr>
          <w:i/>
        </w:rPr>
        <w:t xml:space="preserve">Work Health and Safety Regulations 2011 </w:t>
      </w:r>
      <w:r w:rsidR="00587E72" w:rsidRPr="00587E72">
        <w:t xml:space="preserve">(ACT) </w:t>
      </w:r>
      <w:proofErr w:type="spellStart"/>
      <w:r w:rsidR="00587E72">
        <w:t>reg</w:t>
      </w:r>
      <w:proofErr w:type="spellEnd"/>
      <w:r w:rsidR="00587E72">
        <w:t xml:space="preserve"> 422; </w:t>
      </w:r>
      <w:r w:rsidR="00587E72" w:rsidRPr="00CD36BE">
        <w:rPr>
          <w:i/>
        </w:rPr>
        <w:t>Work H</w:t>
      </w:r>
      <w:r w:rsidR="00587E72">
        <w:rPr>
          <w:i/>
        </w:rPr>
        <w:t>ealth and Safety Regulations 20</w:t>
      </w:r>
      <w:r w:rsidR="00587E72" w:rsidRPr="00CD36BE">
        <w:rPr>
          <w:i/>
        </w:rPr>
        <w:t>1</w:t>
      </w:r>
      <w:r w:rsidR="00587E72">
        <w:rPr>
          <w:i/>
        </w:rPr>
        <w:t>2</w:t>
      </w:r>
      <w:r w:rsidR="00587E72" w:rsidRPr="00CD36BE">
        <w:rPr>
          <w:i/>
        </w:rPr>
        <w:t xml:space="preserve"> </w:t>
      </w:r>
      <w:r w:rsidR="00587E72" w:rsidRPr="00587E72">
        <w:t>(</w:t>
      </w:r>
      <w:r w:rsidR="00587E72">
        <w:t>SA</w:t>
      </w:r>
      <w:r w:rsidR="00587E72" w:rsidRPr="00587E72">
        <w:t>)</w:t>
      </w:r>
      <w:r w:rsidR="00587E72">
        <w:t xml:space="preserve"> </w:t>
      </w:r>
      <w:proofErr w:type="spellStart"/>
      <w:r w:rsidR="00587E72">
        <w:t>reg</w:t>
      </w:r>
      <w:proofErr w:type="spellEnd"/>
      <w:r w:rsidR="00587E72">
        <w:t xml:space="preserve"> 422</w:t>
      </w:r>
      <w:r w:rsidR="00C01DEB">
        <w:t xml:space="preserve">;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TAS</w:t>
      </w:r>
      <w:r w:rsidR="00C01DEB" w:rsidRPr="00587E72">
        <w:t>)</w:t>
      </w:r>
      <w:r w:rsidR="00C01DEB">
        <w:t xml:space="preserve"> </w:t>
      </w:r>
      <w:proofErr w:type="spellStart"/>
      <w:r w:rsidR="00C01DEB">
        <w:t>reg</w:t>
      </w:r>
      <w:proofErr w:type="spellEnd"/>
      <w:r w:rsidR="00C01DEB">
        <w:t xml:space="preserve"> 422; </w:t>
      </w:r>
      <w:r w:rsidR="002462CC" w:rsidRPr="00CD36BE">
        <w:rPr>
          <w:i/>
        </w:rPr>
        <w:t>Work H</w:t>
      </w:r>
      <w:r w:rsidR="002462CC">
        <w:rPr>
          <w:i/>
        </w:rPr>
        <w:t>ealth and Safety Regulations 20</w:t>
      </w:r>
      <w:r w:rsidR="002462CC" w:rsidRPr="00CD36BE">
        <w:rPr>
          <w:i/>
        </w:rPr>
        <w:t>1</w:t>
      </w:r>
      <w:r w:rsidR="002462CC">
        <w:rPr>
          <w:i/>
        </w:rPr>
        <w:t>1</w:t>
      </w:r>
      <w:r w:rsidR="002462CC" w:rsidRPr="00CD36BE">
        <w:rPr>
          <w:i/>
        </w:rPr>
        <w:t xml:space="preserve"> </w:t>
      </w:r>
      <w:r w:rsidR="002462CC" w:rsidRPr="00587E72">
        <w:t>(</w:t>
      </w:r>
      <w:r w:rsidR="002462CC">
        <w:t>NT</w:t>
      </w:r>
      <w:r w:rsidR="002462CC" w:rsidRPr="00587E72">
        <w:t>)</w:t>
      </w:r>
      <w:r w:rsidR="002462CC">
        <w:t xml:space="preserve"> </w:t>
      </w:r>
      <w:proofErr w:type="spellStart"/>
      <w:r w:rsidR="002462CC">
        <w:t>reg</w:t>
      </w:r>
      <w:proofErr w:type="spellEnd"/>
      <w:r w:rsidR="002462CC">
        <w:t xml:space="preserve"> 422.</w:t>
      </w:r>
    </w:p>
  </w:footnote>
  <w:footnote w:id="2">
    <w:p w:rsidR="00CD36BE" w:rsidRPr="00CD36BE" w:rsidRDefault="00CD36BE">
      <w:pPr>
        <w:pStyle w:val="FootnoteText"/>
      </w:pPr>
      <w:r>
        <w:rPr>
          <w:rStyle w:val="FootnoteReference"/>
        </w:rPr>
        <w:footnoteRef/>
      </w:r>
      <w:r>
        <w:t xml:space="preserve"> </w:t>
      </w:r>
      <w:r w:rsidRPr="00CD36BE">
        <w:rPr>
          <w:i/>
        </w:rPr>
        <w:t>Work Health and Safety Regulations 2011 (</w:t>
      </w:r>
      <w:r>
        <w:rPr>
          <w:i/>
        </w:rPr>
        <w:t>NSW</w:t>
      </w:r>
      <w:r w:rsidRPr="00CD36BE">
        <w:rPr>
          <w:i/>
        </w:rPr>
        <w:t>)</w:t>
      </w:r>
      <w:r w:rsidR="00587E72">
        <w:t xml:space="preserve"> </w:t>
      </w:r>
      <w:proofErr w:type="spellStart"/>
      <w:r w:rsidR="00587E72">
        <w:t>reg</w:t>
      </w:r>
      <w:proofErr w:type="spellEnd"/>
      <w:r>
        <w:t xml:space="preserve"> 424; </w:t>
      </w:r>
      <w:r w:rsidRPr="00CD36BE">
        <w:rPr>
          <w:i/>
        </w:rPr>
        <w:t>Work Health and Safety Regulations 2011 (Qld)</w:t>
      </w:r>
      <w:r>
        <w:rPr>
          <w:i/>
        </w:rPr>
        <w:t xml:space="preserve"> </w:t>
      </w:r>
      <w:r>
        <w:t>s 424;</w:t>
      </w:r>
      <w:r w:rsidR="00587E72">
        <w:t xml:space="preserve"> </w:t>
      </w:r>
      <w:r w:rsidR="00587E72" w:rsidRPr="00CD36BE">
        <w:rPr>
          <w:i/>
        </w:rPr>
        <w:t xml:space="preserve">Work Health and Safety Regulations 2011 </w:t>
      </w:r>
      <w:r w:rsidR="00587E72" w:rsidRPr="00587E72">
        <w:t>(ACT)</w:t>
      </w:r>
      <w:r w:rsidR="00587E72">
        <w:t xml:space="preserve"> </w:t>
      </w:r>
      <w:proofErr w:type="spellStart"/>
      <w:r w:rsidR="00587E72">
        <w:t>reg</w:t>
      </w:r>
      <w:proofErr w:type="spellEnd"/>
      <w:r w:rsidR="00587E72">
        <w:t xml:space="preserve"> 424;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SA</w:t>
      </w:r>
      <w:r w:rsidR="00C01DEB" w:rsidRPr="00587E72">
        <w:t>)</w:t>
      </w:r>
      <w:r w:rsidR="00C01DEB">
        <w:t xml:space="preserve"> s 424;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TAS</w:t>
      </w:r>
      <w:r w:rsidR="00C01DEB" w:rsidRPr="00587E72">
        <w:t>)</w:t>
      </w:r>
      <w:r w:rsidR="00C01DEB">
        <w:t xml:space="preserve"> </w:t>
      </w:r>
      <w:proofErr w:type="spellStart"/>
      <w:r w:rsidR="00C01DEB">
        <w:t>reg</w:t>
      </w:r>
      <w:proofErr w:type="spellEnd"/>
      <w:r w:rsidR="00C01DEB">
        <w:t xml:space="preserve"> 424; </w:t>
      </w:r>
      <w:r w:rsidR="002462CC" w:rsidRPr="00CD36BE">
        <w:rPr>
          <w:i/>
        </w:rPr>
        <w:t>Work H</w:t>
      </w:r>
      <w:r w:rsidR="002462CC">
        <w:rPr>
          <w:i/>
        </w:rPr>
        <w:t>ealth and Safety Regulations 20</w:t>
      </w:r>
      <w:r w:rsidR="002462CC" w:rsidRPr="00CD36BE">
        <w:rPr>
          <w:i/>
        </w:rPr>
        <w:t>1</w:t>
      </w:r>
      <w:r w:rsidR="002462CC">
        <w:rPr>
          <w:i/>
        </w:rPr>
        <w:t>1</w:t>
      </w:r>
      <w:r w:rsidR="002462CC" w:rsidRPr="00CD36BE">
        <w:rPr>
          <w:i/>
        </w:rPr>
        <w:t xml:space="preserve"> </w:t>
      </w:r>
      <w:r w:rsidR="002462CC" w:rsidRPr="00587E72">
        <w:t>(</w:t>
      </w:r>
      <w:r w:rsidR="002462CC">
        <w:t>NT</w:t>
      </w:r>
      <w:r w:rsidR="002462CC" w:rsidRPr="00587E72">
        <w:t>)</w:t>
      </w:r>
      <w:r w:rsidR="002462CC">
        <w:t xml:space="preserve"> </w:t>
      </w:r>
      <w:proofErr w:type="spellStart"/>
      <w:r w:rsidR="002462CC">
        <w:t>reg</w:t>
      </w:r>
      <w:proofErr w:type="spellEnd"/>
      <w:r w:rsidR="002462CC">
        <w:t xml:space="preserve"> 424.</w:t>
      </w:r>
    </w:p>
  </w:footnote>
  <w:footnote w:id="3">
    <w:p w:rsidR="004E6CB9" w:rsidRDefault="004E6CB9" w:rsidP="004E6CB9">
      <w:pPr>
        <w:pStyle w:val="FootnoteText"/>
      </w:pPr>
      <w:r>
        <w:rPr>
          <w:rStyle w:val="FootnoteReference"/>
        </w:rPr>
        <w:footnoteRef/>
      </w:r>
      <w:r>
        <w:t xml:space="preserve"> </w:t>
      </w:r>
      <w:r w:rsidR="00CD36BE" w:rsidRPr="00CD36BE">
        <w:rPr>
          <w:i/>
        </w:rPr>
        <w:t>Work Health and Safety Regulations 2011 (</w:t>
      </w:r>
      <w:r w:rsidR="00CD36BE">
        <w:rPr>
          <w:i/>
        </w:rPr>
        <w:t>NSW</w:t>
      </w:r>
      <w:r w:rsidR="00CD36BE" w:rsidRPr="00CD36BE">
        <w:rPr>
          <w:i/>
        </w:rPr>
        <w:t>)</w:t>
      </w:r>
      <w:r w:rsidR="00CD36BE">
        <w:rPr>
          <w:i/>
        </w:rPr>
        <w:t xml:space="preserve"> </w:t>
      </w:r>
      <w:proofErr w:type="spellStart"/>
      <w:r w:rsidR="00587E72">
        <w:t>regs</w:t>
      </w:r>
      <w:proofErr w:type="spellEnd"/>
      <w:r w:rsidR="00CD36BE" w:rsidRPr="00CD36BE">
        <w:t xml:space="preserve"> 429, 430;</w:t>
      </w:r>
      <w:r w:rsidR="00CD36BE">
        <w:rPr>
          <w:i/>
        </w:rPr>
        <w:t xml:space="preserve"> </w:t>
      </w:r>
      <w:r w:rsidRPr="00CD36BE">
        <w:rPr>
          <w:i/>
        </w:rPr>
        <w:t>Work Health and Safety Regulations 2011 (Qld)</w:t>
      </w:r>
      <w:r>
        <w:t xml:space="preserve"> </w:t>
      </w:r>
      <w:proofErr w:type="spellStart"/>
      <w:r>
        <w:t>ss</w:t>
      </w:r>
      <w:proofErr w:type="spellEnd"/>
      <w:r>
        <w:t xml:space="preserve"> 429, 430; </w:t>
      </w:r>
      <w:r w:rsidR="00587E72" w:rsidRPr="00CD36BE">
        <w:rPr>
          <w:i/>
        </w:rPr>
        <w:t xml:space="preserve">Work Health and Safety Regulations 2011 </w:t>
      </w:r>
      <w:r w:rsidR="00587E72" w:rsidRPr="00587E72">
        <w:t>(ACT)</w:t>
      </w:r>
      <w:r w:rsidR="00587E72">
        <w:t xml:space="preserve"> </w:t>
      </w:r>
      <w:proofErr w:type="spellStart"/>
      <w:r w:rsidR="00587E72">
        <w:t>regs</w:t>
      </w:r>
      <w:proofErr w:type="spellEnd"/>
      <w:r w:rsidR="00587E72">
        <w:t xml:space="preserve"> 429, 430;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SA</w:t>
      </w:r>
      <w:r w:rsidR="00C01DEB" w:rsidRPr="00587E72">
        <w:t>)</w:t>
      </w:r>
      <w:r w:rsidR="00C01DEB">
        <w:t xml:space="preserve"> </w:t>
      </w:r>
      <w:proofErr w:type="spellStart"/>
      <w:r w:rsidR="00C01DEB">
        <w:t>regs</w:t>
      </w:r>
      <w:proofErr w:type="spellEnd"/>
      <w:r w:rsidR="00C01DEB">
        <w:t xml:space="preserve"> 429, 430;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TAS</w:t>
      </w:r>
      <w:r w:rsidR="00C01DEB" w:rsidRPr="00587E72">
        <w:t>)</w:t>
      </w:r>
      <w:r w:rsidR="00C01DEB">
        <w:t xml:space="preserve"> </w:t>
      </w:r>
      <w:proofErr w:type="spellStart"/>
      <w:r w:rsidR="00C01DEB">
        <w:t>regs</w:t>
      </w:r>
      <w:proofErr w:type="spellEnd"/>
      <w:r w:rsidR="00C01DEB">
        <w:t xml:space="preserve"> 429, 430; </w:t>
      </w:r>
      <w:r w:rsidR="002462CC" w:rsidRPr="00CD36BE">
        <w:rPr>
          <w:i/>
        </w:rPr>
        <w:t>Work H</w:t>
      </w:r>
      <w:r w:rsidR="002462CC">
        <w:rPr>
          <w:i/>
        </w:rPr>
        <w:t>ealth and Safety Regulations 20</w:t>
      </w:r>
      <w:r w:rsidR="002462CC" w:rsidRPr="00CD36BE">
        <w:rPr>
          <w:i/>
        </w:rPr>
        <w:t>1</w:t>
      </w:r>
      <w:r w:rsidR="002462CC">
        <w:rPr>
          <w:i/>
        </w:rPr>
        <w:t>1</w:t>
      </w:r>
      <w:r w:rsidR="002462CC" w:rsidRPr="00CD36BE">
        <w:rPr>
          <w:i/>
        </w:rPr>
        <w:t xml:space="preserve"> </w:t>
      </w:r>
      <w:r w:rsidR="002462CC" w:rsidRPr="00587E72">
        <w:t>(</w:t>
      </w:r>
      <w:r w:rsidR="002462CC">
        <w:t>NT</w:t>
      </w:r>
      <w:r w:rsidR="002462CC" w:rsidRPr="00587E72">
        <w:t>)</w:t>
      </w:r>
      <w:r w:rsidR="002462CC">
        <w:t xml:space="preserve"> </w:t>
      </w:r>
      <w:proofErr w:type="spellStart"/>
      <w:r w:rsidR="002462CC">
        <w:t>regs</w:t>
      </w:r>
      <w:proofErr w:type="spellEnd"/>
      <w:r w:rsidR="002462CC">
        <w:t xml:space="preserve"> 429, 430.</w:t>
      </w:r>
    </w:p>
  </w:footnote>
  <w:footnote w:id="4">
    <w:p w:rsidR="004E6CB9" w:rsidRDefault="004E6CB9">
      <w:pPr>
        <w:pStyle w:val="FootnoteText"/>
      </w:pPr>
      <w:r>
        <w:rPr>
          <w:rStyle w:val="FootnoteReference"/>
        </w:rPr>
        <w:footnoteRef/>
      </w:r>
      <w:r>
        <w:t xml:space="preserve"> </w:t>
      </w:r>
      <w:r w:rsidR="00CD36BE" w:rsidRPr="00CD36BE">
        <w:rPr>
          <w:i/>
        </w:rPr>
        <w:t>Work Health and Safety Regulations 2011 (</w:t>
      </w:r>
      <w:r w:rsidR="00CD36BE">
        <w:rPr>
          <w:i/>
        </w:rPr>
        <w:t>NSW</w:t>
      </w:r>
      <w:r w:rsidR="00CD36BE" w:rsidRPr="00CD36BE">
        <w:rPr>
          <w:i/>
        </w:rPr>
        <w:t>)</w:t>
      </w:r>
      <w:r w:rsidR="00CD36BE">
        <w:rPr>
          <w:i/>
        </w:rPr>
        <w:t xml:space="preserve"> </w:t>
      </w:r>
      <w:proofErr w:type="spellStart"/>
      <w:r w:rsidR="00587E72">
        <w:t>reg</w:t>
      </w:r>
      <w:proofErr w:type="spellEnd"/>
      <w:r w:rsidR="00CD36BE">
        <w:t xml:space="preserve"> 425; </w:t>
      </w:r>
      <w:r w:rsidRPr="00CD36BE">
        <w:rPr>
          <w:i/>
        </w:rPr>
        <w:t>Work Health and Safety Regulations 2011 (Qld)</w:t>
      </w:r>
      <w:r>
        <w:t xml:space="preserve"> s 425;</w:t>
      </w:r>
      <w:r w:rsidR="00587E72">
        <w:t xml:space="preserve"> </w:t>
      </w:r>
      <w:r w:rsidR="00587E72" w:rsidRPr="00CD36BE">
        <w:rPr>
          <w:i/>
        </w:rPr>
        <w:t xml:space="preserve">Work Health and Safety Regulations 2011 </w:t>
      </w:r>
      <w:r w:rsidR="00587E72" w:rsidRPr="00587E72">
        <w:t>(ACT)</w:t>
      </w:r>
      <w:r w:rsidR="00587E72">
        <w:t xml:space="preserve"> </w:t>
      </w:r>
      <w:proofErr w:type="spellStart"/>
      <w:r w:rsidR="00587E72">
        <w:t>reg</w:t>
      </w:r>
      <w:proofErr w:type="spellEnd"/>
      <w:r w:rsidR="00587E72">
        <w:t xml:space="preserve"> 425;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SA</w:t>
      </w:r>
      <w:r w:rsidR="00C01DEB" w:rsidRPr="00587E72">
        <w:t>)</w:t>
      </w:r>
      <w:r w:rsidR="00C01DEB">
        <w:t xml:space="preserve"> </w:t>
      </w:r>
      <w:proofErr w:type="spellStart"/>
      <w:r w:rsidR="00C01DEB">
        <w:t>reg</w:t>
      </w:r>
      <w:proofErr w:type="spellEnd"/>
      <w:r w:rsidR="00C01DEB">
        <w:t xml:space="preserve"> 425; </w:t>
      </w:r>
      <w:r w:rsidR="00C01DEB" w:rsidRPr="00CD36BE">
        <w:rPr>
          <w:i/>
        </w:rPr>
        <w:t>Work H</w:t>
      </w:r>
      <w:r w:rsidR="00C01DEB">
        <w:rPr>
          <w:i/>
        </w:rPr>
        <w:t>ealth and Safety Regulations 20</w:t>
      </w:r>
      <w:r w:rsidR="00C01DEB" w:rsidRPr="00CD36BE">
        <w:rPr>
          <w:i/>
        </w:rPr>
        <w:t>1</w:t>
      </w:r>
      <w:r w:rsidR="00C01DEB">
        <w:rPr>
          <w:i/>
        </w:rPr>
        <w:t>2</w:t>
      </w:r>
      <w:r w:rsidR="00C01DEB" w:rsidRPr="00CD36BE">
        <w:rPr>
          <w:i/>
        </w:rPr>
        <w:t xml:space="preserve"> </w:t>
      </w:r>
      <w:r w:rsidR="00C01DEB" w:rsidRPr="00587E72">
        <w:t>(</w:t>
      </w:r>
      <w:r w:rsidR="00C01DEB">
        <w:t>TAS</w:t>
      </w:r>
      <w:r w:rsidR="00C01DEB" w:rsidRPr="00587E72">
        <w:t>)</w:t>
      </w:r>
      <w:r w:rsidR="00C01DEB">
        <w:t xml:space="preserve"> </w:t>
      </w:r>
      <w:proofErr w:type="spellStart"/>
      <w:r w:rsidR="00C01DEB">
        <w:t>reg</w:t>
      </w:r>
      <w:proofErr w:type="spellEnd"/>
      <w:r w:rsidR="00C01DEB">
        <w:t xml:space="preserve"> 425; </w:t>
      </w:r>
      <w:r w:rsidR="002462CC" w:rsidRPr="00CD36BE">
        <w:rPr>
          <w:i/>
        </w:rPr>
        <w:t>Work H</w:t>
      </w:r>
      <w:r w:rsidR="002462CC">
        <w:rPr>
          <w:i/>
        </w:rPr>
        <w:t>ealth and Safety Regulations 20</w:t>
      </w:r>
      <w:r w:rsidR="002462CC" w:rsidRPr="00CD36BE">
        <w:rPr>
          <w:i/>
        </w:rPr>
        <w:t>1</w:t>
      </w:r>
      <w:r w:rsidR="002462CC">
        <w:rPr>
          <w:i/>
        </w:rPr>
        <w:t>1</w:t>
      </w:r>
      <w:r w:rsidR="002462CC" w:rsidRPr="00CD36BE">
        <w:rPr>
          <w:i/>
        </w:rPr>
        <w:t xml:space="preserve"> </w:t>
      </w:r>
      <w:r w:rsidR="002462CC" w:rsidRPr="00587E72">
        <w:t>(</w:t>
      </w:r>
      <w:r w:rsidR="002462CC">
        <w:t>NT</w:t>
      </w:r>
      <w:r w:rsidR="002462CC" w:rsidRPr="00587E72">
        <w:t>)</w:t>
      </w:r>
      <w:r w:rsidR="002462CC">
        <w:t xml:space="preserve"> </w:t>
      </w:r>
      <w:proofErr w:type="spellStart"/>
      <w:r w:rsidR="002462CC">
        <w:t>reg</w:t>
      </w:r>
      <w:proofErr w:type="spellEnd"/>
      <w:r w:rsidR="002462CC">
        <w:t xml:space="preserve"> 425.</w:t>
      </w:r>
    </w:p>
  </w:footnote>
  <w:footnote w:id="5">
    <w:p w:rsidR="001F2F2C" w:rsidRDefault="001F2F2C">
      <w:pPr>
        <w:pStyle w:val="FootnoteText"/>
      </w:pPr>
      <w:r>
        <w:rPr>
          <w:rStyle w:val="FootnoteReference"/>
        </w:rPr>
        <w:footnoteRef/>
      </w:r>
      <w:r>
        <w:t xml:space="preserve"> See </w:t>
      </w:r>
      <w:r w:rsidRPr="0019110C">
        <w:rPr>
          <w:i/>
        </w:rPr>
        <w:t>Occupational Health and Safety Act 2004</w:t>
      </w:r>
      <w:r>
        <w:t xml:space="preserve"> </w:t>
      </w:r>
      <w:r w:rsidR="0019110C">
        <w:t xml:space="preserve">(Vic) </w:t>
      </w:r>
      <w:r>
        <w:t xml:space="preserve">s 26 for general obligation to ensure a workplace is </w:t>
      </w:r>
      <w:r w:rsidR="0019110C">
        <w:t xml:space="preserve">safe and without risks to health, and </w:t>
      </w:r>
      <w:r w:rsidR="0019110C" w:rsidRPr="0019110C">
        <w:rPr>
          <w:i/>
        </w:rPr>
        <w:t>Occupational Health and Safety Regulations 2007</w:t>
      </w:r>
      <w:r w:rsidR="0019110C">
        <w:t xml:space="preserve"> (Vic) Divisions 4 and 5 for specific requirements relating to asbestos. </w:t>
      </w:r>
    </w:p>
  </w:footnote>
  <w:footnote w:id="6">
    <w:p w:rsidR="0019110C" w:rsidRDefault="0019110C">
      <w:pPr>
        <w:pStyle w:val="FootnoteText"/>
      </w:pPr>
      <w:r>
        <w:rPr>
          <w:rStyle w:val="FootnoteReference"/>
        </w:rPr>
        <w:footnoteRef/>
      </w:r>
      <w:r>
        <w:t xml:space="preserve"> </w:t>
      </w:r>
      <w:proofErr w:type="gramStart"/>
      <w:r w:rsidRPr="0019110C">
        <w:rPr>
          <w:i/>
        </w:rPr>
        <w:t>Occupational Health and Safety Regulations 2007</w:t>
      </w:r>
      <w:r>
        <w:t xml:space="preserve"> (Vic) </w:t>
      </w:r>
      <w:proofErr w:type="spellStart"/>
      <w:r>
        <w:t>reg</w:t>
      </w:r>
      <w:proofErr w:type="spellEnd"/>
      <w:r>
        <w:t xml:space="preserve"> 4.3.20.</w:t>
      </w:r>
      <w:proofErr w:type="gramEnd"/>
    </w:p>
  </w:footnote>
  <w:footnote w:id="7">
    <w:p w:rsidR="0019110C" w:rsidRDefault="0019110C">
      <w:pPr>
        <w:pStyle w:val="FootnoteText"/>
      </w:pPr>
      <w:r>
        <w:rPr>
          <w:rStyle w:val="FootnoteReference"/>
        </w:rPr>
        <w:footnoteRef/>
      </w:r>
      <w:r>
        <w:t xml:space="preserve"> </w:t>
      </w:r>
      <w:proofErr w:type="gramStart"/>
      <w:r w:rsidRPr="0019110C">
        <w:rPr>
          <w:i/>
        </w:rPr>
        <w:t>Occupational Health and Safety Regulations 2007</w:t>
      </w:r>
      <w:r>
        <w:t xml:space="preserve"> (Vic) </w:t>
      </w:r>
      <w:proofErr w:type="spellStart"/>
      <w:r>
        <w:t>reg</w:t>
      </w:r>
      <w:proofErr w:type="spellEnd"/>
      <w:r>
        <w:t xml:space="preserve"> 4.3.21.</w:t>
      </w:r>
      <w:proofErr w:type="gramEnd"/>
    </w:p>
  </w:footnote>
  <w:footnote w:id="8">
    <w:p w:rsidR="0019110C" w:rsidRDefault="0019110C">
      <w:pPr>
        <w:pStyle w:val="FootnoteText"/>
      </w:pPr>
      <w:r>
        <w:rPr>
          <w:rStyle w:val="FootnoteReference"/>
        </w:rPr>
        <w:footnoteRef/>
      </w:r>
      <w:r>
        <w:t xml:space="preserve"> </w:t>
      </w:r>
      <w:proofErr w:type="gramStart"/>
      <w:r w:rsidRPr="0019110C">
        <w:rPr>
          <w:i/>
        </w:rPr>
        <w:t>Occupational Health and Safety Regulations 2007</w:t>
      </w:r>
      <w:r>
        <w:t xml:space="preserve"> (Vic) </w:t>
      </w:r>
      <w:proofErr w:type="spellStart"/>
      <w:r>
        <w:t>regs</w:t>
      </w:r>
      <w:proofErr w:type="spellEnd"/>
      <w:r>
        <w:t xml:space="preserve"> 4.3.22 and 4.3.23.</w:t>
      </w:r>
      <w:proofErr w:type="gramEnd"/>
      <w:r>
        <w:t xml:space="preserve"> </w:t>
      </w:r>
    </w:p>
  </w:footnote>
  <w:footnote w:id="9">
    <w:p w:rsidR="00500D1F" w:rsidRDefault="00500D1F">
      <w:pPr>
        <w:pStyle w:val="FootnoteText"/>
      </w:pPr>
      <w:r>
        <w:rPr>
          <w:rStyle w:val="FootnoteReference"/>
        </w:rPr>
        <w:footnoteRef/>
      </w:r>
      <w:r>
        <w:t xml:space="preserve"> </w:t>
      </w:r>
      <w:proofErr w:type="gramStart"/>
      <w:r w:rsidRPr="0019110C">
        <w:rPr>
          <w:i/>
        </w:rPr>
        <w:t>Occupational Health and Safety Act 2004</w:t>
      </w:r>
      <w:r>
        <w:t xml:space="preserve"> (Vic) s 26.</w:t>
      </w:r>
      <w:proofErr w:type="gramEnd"/>
    </w:p>
  </w:footnote>
  <w:footnote w:id="10">
    <w:p w:rsidR="00500D1F" w:rsidRDefault="00500D1F">
      <w:pPr>
        <w:pStyle w:val="FootnoteText"/>
      </w:pPr>
      <w:r>
        <w:rPr>
          <w:rStyle w:val="FootnoteReference"/>
        </w:rPr>
        <w:footnoteRef/>
      </w:r>
      <w:r>
        <w:t xml:space="preserve"> </w:t>
      </w:r>
      <w:proofErr w:type="gramStart"/>
      <w:r w:rsidRPr="0019110C">
        <w:rPr>
          <w:i/>
        </w:rPr>
        <w:t>Occupational Health and Safety Regulations 2007</w:t>
      </w:r>
      <w:r>
        <w:t xml:space="preserve"> (Vic) </w:t>
      </w:r>
      <w:proofErr w:type="spellStart"/>
      <w:r>
        <w:t>reg</w:t>
      </w:r>
      <w:proofErr w:type="spellEnd"/>
      <w:r>
        <w:t xml:space="preserve"> 4.3.25.</w:t>
      </w:r>
      <w:proofErr w:type="gramEnd"/>
    </w:p>
  </w:footnote>
  <w:footnote w:id="11">
    <w:p w:rsidR="00F7433B" w:rsidRDefault="00F7433B">
      <w:pPr>
        <w:pStyle w:val="FootnoteText"/>
      </w:pPr>
      <w:r>
        <w:rPr>
          <w:rStyle w:val="FootnoteReference"/>
        </w:rPr>
        <w:footnoteRef/>
      </w:r>
      <w:r>
        <w:t xml:space="preserve"> </w:t>
      </w:r>
      <w:proofErr w:type="gramStart"/>
      <w:r w:rsidRPr="00F7433B">
        <w:rPr>
          <w:i/>
        </w:rPr>
        <w:t>Occupational Safety and Health Regulations 1996</w:t>
      </w:r>
      <w:r>
        <w:t xml:space="preserve"> (WA) </w:t>
      </w:r>
      <w:proofErr w:type="spellStart"/>
      <w:r>
        <w:t>reg</w:t>
      </w:r>
      <w:proofErr w:type="spellEnd"/>
      <w:r>
        <w:t xml:space="preserve"> 5.43.</w:t>
      </w:r>
      <w:proofErr w:type="gramEnd"/>
    </w:p>
  </w:footnote>
  <w:footnote w:id="12">
    <w:p w:rsidR="00F7433B" w:rsidRDefault="00F7433B">
      <w:pPr>
        <w:pStyle w:val="FootnoteText"/>
      </w:pPr>
      <w:r>
        <w:rPr>
          <w:rStyle w:val="FootnoteReference"/>
        </w:rPr>
        <w:footnoteRef/>
      </w:r>
      <w:r>
        <w:t xml:space="preserve"> </w:t>
      </w:r>
      <w:proofErr w:type="gramStart"/>
      <w:r w:rsidRPr="00F7433B">
        <w:rPr>
          <w:i/>
        </w:rPr>
        <w:t>Occupational Safety and Health Regulations 1996</w:t>
      </w:r>
      <w:r>
        <w:t xml:space="preserve"> (WA) </w:t>
      </w:r>
      <w:proofErr w:type="spellStart"/>
      <w:r>
        <w:t>reg</w:t>
      </w:r>
      <w:proofErr w:type="spellEnd"/>
      <w:r>
        <w:t xml:space="preserve"> 5.45.</w:t>
      </w:r>
      <w:proofErr w:type="gramEnd"/>
    </w:p>
  </w:footnote>
  <w:footnote w:id="13">
    <w:p w:rsidR="00772396" w:rsidRDefault="00772396">
      <w:pPr>
        <w:pStyle w:val="FootnoteText"/>
      </w:pPr>
      <w:r>
        <w:rPr>
          <w:rStyle w:val="FootnoteReference"/>
        </w:rPr>
        <w:footnoteRef/>
      </w:r>
      <w:r>
        <w:t xml:space="preserve"> See Safe Work Australia website “Publications and resources”.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016137"/>
    <w:multiLevelType w:val="hybridMultilevel"/>
    <w:tmpl w:val="80223D0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4FD8533A"/>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F2C"/>
    <w:rsid w:val="00174D43"/>
    <w:rsid w:val="0019110C"/>
    <w:rsid w:val="001F2F2C"/>
    <w:rsid w:val="002462CC"/>
    <w:rsid w:val="002E180B"/>
    <w:rsid w:val="00426E68"/>
    <w:rsid w:val="004E6CB9"/>
    <w:rsid w:val="00500D1F"/>
    <w:rsid w:val="00587E72"/>
    <w:rsid w:val="00772396"/>
    <w:rsid w:val="00960A71"/>
    <w:rsid w:val="00B362A7"/>
    <w:rsid w:val="00C01DEB"/>
    <w:rsid w:val="00C12467"/>
    <w:rsid w:val="00C71893"/>
    <w:rsid w:val="00CD36BE"/>
    <w:rsid w:val="00DC10BD"/>
    <w:rsid w:val="00DC4532"/>
    <w:rsid w:val="00E73EA9"/>
    <w:rsid w:val="00E7542B"/>
    <w:rsid w:val="00F355F9"/>
    <w:rsid w:val="00F55A4E"/>
    <w:rsid w:val="00F743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F2F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1F2F2C"/>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F2C"/>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1F2F2C"/>
    <w:rPr>
      <w:rFonts w:ascii="Times New Roman" w:eastAsia="Times New Roman" w:hAnsi="Times New Roman" w:cs="Times New Roman"/>
      <w:b/>
      <w:bCs/>
      <w:sz w:val="36"/>
      <w:szCs w:val="36"/>
      <w:lang w:eastAsia="en-AU"/>
    </w:rPr>
  </w:style>
  <w:style w:type="paragraph" w:styleId="NormalWeb">
    <w:name w:val="Normal (Web)"/>
    <w:basedOn w:val="Normal"/>
    <w:uiPriority w:val="99"/>
    <w:semiHidden/>
    <w:unhideWhenUsed/>
    <w:rsid w:val="001F2F2C"/>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1F2F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2F2C"/>
    <w:rPr>
      <w:sz w:val="20"/>
      <w:szCs w:val="20"/>
    </w:rPr>
  </w:style>
  <w:style w:type="character" w:styleId="FootnoteReference">
    <w:name w:val="footnote reference"/>
    <w:basedOn w:val="DefaultParagraphFont"/>
    <w:uiPriority w:val="99"/>
    <w:semiHidden/>
    <w:unhideWhenUsed/>
    <w:rsid w:val="001F2F2C"/>
    <w:rPr>
      <w:vertAlign w:val="superscript"/>
    </w:rPr>
  </w:style>
  <w:style w:type="paragraph" w:styleId="ListParagraph">
    <w:name w:val="List Paragraph"/>
    <w:basedOn w:val="Normal"/>
    <w:uiPriority w:val="34"/>
    <w:qFormat/>
    <w:rsid w:val="00DC10BD"/>
    <w:pPr>
      <w:ind w:left="720"/>
      <w:contextualSpacing/>
    </w:pPr>
  </w:style>
  <w:style w:type="character" w:styleId="Hyperlink">
    <w:name w:val="Hyperlink"/>
    <w:basedOn w:val="DefaultParagraphFont"/>
    <w:uiPriority w:val="99"/>
    <w:semiHidden/>
    <w:unhideWhenUsed/>
    <w:rsid w:val="00E7542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F2F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1F2F2C"/>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F2C"/>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1F2F2C"/>
    <w:rPr>
      <w:rFonts w:ascii="Times New Roman" w:eastAsia="Times New Roman" w:hAnsi="Times New Roman" w:cs="Times New Roman"/>
      <w:b/>
      <w:bCs/>
      <w:sz w:val="36"/>
      <w:szCs w:val="36"/>
      <w:lang w:eastAsia="en-AU"/>
    </w:rPr>
  </w:style>
  <w:style w:type="paragraph" w:styleId="NormalWeb">
    <w:name w:val="Normal (Web)"/>
    <w:basedOn w:val="Normal"/>
    <w:uiPriority w:val="99"/>
    <w:semiHidden/>
    <w:unhideWhenUsed/>
    <w:rsid w:val="001F2F2C"/>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FootnoteText">
    <w:name w:val="footnote text"/>
    <w:basedOn w:val="Normal"/>
    <w:link w:val="FootnoteTextChar"/>
    <w:uiPriority w:val="99"/>
    <w:semiHidden/>
    <w:unhideWhenUsed/>
    <w:rsid w:val="001F2F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2F2C"/>
    <w:rPr>
      <w:sz w:val="20"/>
      <w:szCs w:val="20"/>
    </w:rPr>
  </w:style>
  <w:style w:type="character" w:styleId="FootnoteReference">
    <w:name w:val="footnote reference"/>
    <w:basedOn w:val="DefaultParagraphFont"/>
    <w:uiPriority w:val="99"/>
    <w:semiHidden/>
    <w:unhideWhenUsed/>
    <w:rsid w:val="001F2F2C"/>
    <w:rPr>
      <w:vertAlign w:val="superscript"/>
    </w:rPr>
  </w:style>
  <w:style w:type="paragraph" w:styleId="ListParagraph">
    <w:name w:val="List Paragraph"/>
    <w:basedOn w:val="Normal"/>
    <w:uiPriority w:val="34"/>
    <w:qFormat/>
    <w:rsid w:val="00DC10BD"/>
    <w:pPr>
      <w:ind w:left="720"/>
      <w:contextualSpacing/>
    </w:pPr>
  </w:style>
  <w:style w:type="character" w:styleId="Hyperlink">
    <w:name w:val="Hyperlink"/>
    <w:basedOn w:val="DefaultParagraphFont"/>
    <w:uiPriority w:val="99"/>
    <w:semiHidden/>
    <w:unhideWhenUsed/>
    <w:rsid w:val="00E754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193062">
      <w:bodyDiv w:val="1"/>
      <w:marLeft w:val="0"/>
      <w:marRight w:val="0"/>
      <w:marTop w:val="0"/>
      <w:marBottom w:val="0"/>
      <w:divBdr>
        <w:top w:val="none" w:sz="0" w:space="0" w:color="auto"/>
        <w:left w:val="none" w:sz="0" w:space="0" w:color="auto"/>
        <w:bottom w:val="none" w:sz="0" w:space="0" w:color="auto"/>
        <w:right w:val="none" w:sz="0" w:space="0" w:color="auto"/>
      </w:divBdr>
    </w:div>
    <w:div w:id="1841503560">
      <w:bodyDiv w:val="1"/>
      <w:marLeft w:val="0"/>
      <w:marRight w:val="0"/>
      <w:marTop w:val="0"/>
      <w:marBottom w:val="0"/>
      <w:divBdr>
        <w:top w:val="none" w:sz="0" w:space="0" w:color="auto"/>
        <w:left w:val="none" w:sz="0" w:space="0" w:color="auto"/>
        <w:bottom w:val="none" w:sz="0" w:space="0" w:color="auto"/>
        <w:right w:val="none" w:sz="0" w:space="0" w:color="auto"/>
      </w:divBdr>
      <w:divsChild>
        <w:div w:id="1256788525">
          <w:marLeft w:val="0"/>
          <w:marRight w:val="0"/>
          <w:marTop w:val="0"/>
          <w:marBottom w:val="0"/>
          <w:divBdr>
            <w:top w:val="none" w:sz="0" w:space="0" w:color="auto"/>
            <w:left w:val="none" w:sz="0" w:space="0" w:color="auto"/>
            <w:bottom w:val="none" w:sz="0" w:space="0" w:color="auto"/>
            <w:right w:val="none" w:sz="0" w:space="0" w:color="auto"/>
          </w:divBdr>
        </w:div>
        <w:div w:id="1567110556">
          <w:marLeft w:val="0"/>
          <w:marRight w:val="0"/>
          <w:marTop w:val="0"/>
          <w:marBottom w:val="0"/>
          <w:divBdr>
            <w:top w:val="none" w:sz="0" w:space="0" w:color="auto"/>
            <w:left w:val="none" w:sz="0" w:space="0" w:color="auto"/>
            <w:bottom w:val="none" w:sz="0" w:space="0" w:color="auto"/>
            <w:right w:val="none" w:sz="0" w:space="0" w:color="auto"/>
          </w:divBdr>
        </w:div>
        <w:div w:id="761491762">
          <w:marLeft w:val="0"/>
          <w:marRight w:val="0"/>
          <w:marTop w:val="0"/>
          <w:marBottom w:val="0"/>
          <w:divBdr>
            <w:top w:val="none" w:sz="0" w:space="0" w:color="auto"/>
            <w:left w:val="none" w:sz="0" w:space="0" w:color="auto"/>
            <w:bottom w:val="none" w:sz="0" w:space="0" w:color="auto"/>
            <w:right w:val="none" w:sz="0" w:space="0" w:color="auto"/>
          </w:divBdr>
        </w:div>
        <w:div w:id="1193106509">
          <w:marLeft w:val="0"/>
          <w:marRight w:val="0"/>
          <w:marTop w:val="0"/>
          <w:marBottom w:val="0"/>
          <w:divBdr>
            <w:top w:val="none" w:sz="0" w:space="0" w:color="auto"/>
            <w:left w:val="none" w:sz="0" w:space="0" w:color="auto"/>
            <w:bottom w:val="none" w:sz="0" w:space="0" w:color="auto"/>
            <w:right w:val="none" w:sz="0" w:space="0" w:color="auto"/>
          </w:divBdr>
        </w:div>
        <w:div w:id="571089600">
          <w:marLeft w:val="0"/>
          <w:marRight w:val="0"/>
          <w:marTop w:val="0"/>
          <w:marBottom w:val="0"/>
          <w:divBdr>
            <w:top w:val="none" w:sz="0" w:space="0" w:color="auto"/>
            <w:left w:val="none" w:sz="0" w:space="0" w:color="auto"/>
            <w:bottom w:val="none" w:sz="0" w:space="0" w:color="auto"/>
            <w:right w:val="none" w:sz="0" w:space="0" w:color="auto"/>
          </w:divBdr>
        </w:div>
        <w:div w:id="8125285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reencap.com.au/services/property-and-hazardous-materials/asbestos-risk-management/asbestos-and-hazardous-risk-assessment-audi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56D372-A0E0-47D7-A9F3-D2988DC03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878</Words>
  <Characters>5007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Tarrant</dc:creator>
  <cp:lastModifiedBy>Helen T Wang</cp:lastModifiedBy>
  <cp:revision>2</cp:revision>
  <dcterms:created xsi:type="dcterms:W3CDTF">2016-09-11T12:16:00Z</dcterms:created>
  <dcterms:modified xsi:type="dcterms:W3CDTF">2016-09-11T12:16:00Z</dcterms:modified>
</cp:coreProperties>
</file>