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7FA4" w:rsidRPr="00A27FA4" w:rsidRDefault="00A27FA4" w:rsidP="00A27FA4">
      <w:pPr>
        <w:rPr>
          <w:b/>
        </w:rPr>
      </w:pPr>
      <w:bookmarkStart w:id="0" w:name="_GoBack"/>
      <w:bookmarkEnd w:id="0"/>
      <w:r w:rsidRPr="00A27FA4">
        <w:rPr>
          <w:b/>
        </w:rPr>
        <w:t xml:space="preserve">Conveyancing </w:t>
      </w:r>
    </w:p>
    <w:p w:rsidR="00A27FA4" w:rsidRDefault="00A27FA4" w:rsidP="00A27FA4">
      <w:r>
        <w:t>The requirements and processes for conveyancing in Australia differ slightly in each State and Territory. This chapter examines the conveyance process for the sale of a commercial property</w:t>
      </w:r>
      <w:r w:rsidR="00605727">
        <w:t>, using</w:t>
      </w:r>
      <w:r>
        <w:t xml:space="preserve"> New South Wales</w:t>
      </w:r>
      <w:r w:rsidR="00605727">
        <w:t xml:space="preserve"> as the default process, before </w:t>
      </w:r>
      <w:r>
        <w:t xml:space="preserve">notes some of the key differences in other States and Territories. </w:t>
      </w:r>
    </w:p>
    <w:p w:rsidR="00A27FA4" w:rsidRPr="00605727" w:rsidRDefault="00CB5ECE" w:rsidP="00A27FA4">
      <w:pPr>
        <w:pStyle w:val="ListParagraph"/>
        <w:numPr>
          <w:ilvl w:val="0"/>
          <w:numId w:val="8"/>
        </w:numPr>
        <w:rPr>
          <w:b/>
        </w:rPr>
      </w:pPr>
      <w:r w:rsidRPr="00605727">
        <w:rPr>
          <w:b/>
        </w:rPr>
        <w:t>New South Wales</w:t>
      </w:r>
    </w:p>
    <w:p w:rsidR="00AE3697" w:rsidRPr="00605727" w:rsidRDefault="00AE3697" w:rsidP="00A27FA4">
      <w:pPr>
        <w:pStyle w:val="ListParagraph"/>
        <w:numPr>
          <w:ilvl w:val="1"/>
          <w:numId w:val="8"/>
        </w:numPr>
        <w:rPr>
          <w:b/>
        </w:rPr>
      </w:pPr>
      <w:r w:rsidRPr="00605727">
        <w:rPr>
          <w:b/>
        </w:rPr>
        <w:t xml:space="preserve">Contract of sale </w:t>
      </w:r>
    </w:p>
    <w:p w:rsidR="005C6ECB" w:rsidRDefault="005C6ECB" w:rsidP="00CB5ECE">
      <w:r>
        <w:t>Most principles of general contract law apply to a contract for the sale of land. That is, the vendor and purchaser must come to an agreement as to an offer, acceptance of the offer, and consideration, i.e. price paid to secure the property. Unlike under general contract law, a contract for the sale of land must be in writing.</w:t>
      </w:r>
      <w:r>
        <w:rPr>
          <w:rStyle w:val="FootnoteReference"/>
        </w:rPr>
        <w:footnoteReference w:id="1"/>
      </w:r>
    </w:p>
    <w:p w:rsidR="00CB5ECE" w:rsidRDefault="00CB5ECE" w:rsidP="00CB5ECE">
      <w:r>
        <w:t>In NSW</w:t>
      </w:r>
      <w:r w:rsidR="0085347D">
        <w:t xml:space="preserve">, </w:t>
      </w:r>
      <w:r w:rsidR="0027755E">
        <w:t>most transactions use the standard Contract for the Sale and Purchase of Land provided by the Law Society of NSW and the Real Estate Institute of NSW. The 2005 and 2014 editions of this contract are frequently used for transactions under the threshold of $2,000,000 where the foreign resident capital gains withholding tax is not relevant. For transactions above $2,000,000 and occurring after 1 July 2016, the 2016 edition of the Contract is recommended.</w:t>
      </w:r>
      <w:r w:rsidR="0027755E">
        <w:rPr>
          <w:rStyle w:val="FootnoteReference"/>
        </w:rPr>
        <w:footnoteReference w:id="2"/>
      </w:r>
      <w:r w:rsidR="0027755E">
        <w:t xml:space="preserve"> </w:t>
      </w:r>
    </w:p>
    <w:p w:rsidR="001779AE" w:rsidRDefault="00CA242D" w:rsidP="00CB5ECE">
      <w:r>
        <w:t>Typically, the Contract will attach a number of documents, a</w:t>
      </w:r>
      <w:r w:rsidR="001779AE">
        <w:t>s applicable. These include (but are not limited to):</w:t>
      </w:r>
    </w:p>
    <w:p w:rsidR="00CA242D" w:rsidRDefault="001779AE" w:rsidP="001779AE">
      <w:pPr>
        <w:pStyle w:val="ListParagraph"/>
        <w:numPr>
          <w:ilvl w:val="0"/>
          <w:numId w:val="6"/>
        </w:numPr>
      </w:pPr>
      <w:r>
        <w:t>property certificate for the land;</w:t>
      </w:r>
    </w:p>
    <w:p w:rsidR="001779AE" w:rsidRDefault="001779AE" w:rsidP="001779AE">
      <w:pPr>
        <w:pStyle w:val="ListParagraph"/>
        <w:numPr>
          <w:ilvl w:val="0"/>
          <w:numId w:val="6"/>
        </w:numPr>
      </w:pPr>
      <w:r>
        <w:t>plan of the land;</w:t>
      </w:r>
    </w:p>
    <w:p w:rsidR="001779AE" w:rsidRDefault="001779AE" w:rsidP="001779AE">
      <w:pPr>
        <w:pStyle w:val="ListParagraph"/>
        <w:numPr>
          <w:ilvl w:val="0"/>
          <w:numId w:val="6"/>
        </w:numPr>
      </w:pPr>
      <w:r>
        <w:t xml:space="preserve">certificate under section 149(2) of the </w:t>
      </w:r>
      <w:r w:rsidRPr="001779AE">
        <w:rPr>
          <w:i/>
        </w:rPr>
        <w:t>Environment Planning and Assessment Act 1979</w:t>
      </w:r>
      <w:r>
        <w:rPr>
          <w:i/>
        </w:rPr>
        <w:t xml:space="preserve"> </w:t>
      </w:r>
      <w:r>
        <w:t>(NSW);</w:t>
      </w:r>
    </w:p>
    <w:p w:rsidR="001779AE" w:rsidRDefault="001779AE" w:rsidP="001779AE">
      <w:pPr>
        <w:pStyle w:val="ListParagraph"/>
        <w:numPr>
          <w:ilvl w:val="0"/>
          <w:numId w:val="6"/>
        </w:numPr>
      </w:pPr>
      <w:r>
        <w:t>survey reports, sewerage diagrams and any positive covenants; and</w:t>
      </w:r>
    </w:p>
    <w:p w:rsidR="001779AE" w:rsidRDefault="001779AE" w:rsidP="001779AE">
      <w:pPr>
        <w:pStyle w:val="ListParagraph"/>
        <w:numPr>
          <w:ilvl w:val="0"/>
          <w:numId w:val="6"/>
        </w:numPr>
      </w:pPr>
      <w:r>
        <w:t xml:space="preserve">lease or any document relevant to tenancies. </w:t>
      </w:r>
    </w:p>
    <w:p w:rsidR="00CA242D" w:rsidRDefault="001779AE" w:rsidP="00CA242D">
      <w:r>
        <w:t>Legislation also prescribes a number of mandatory warnings and notices to be included in the Contract.</w:t>
      </w:r>
      <w:r>
        <w:rPr>
          <w:rStyle w:val="FootnoteReference"/>
        </w:rPr>
        <w:footnoteReference w:id="3"/>
      </w:r>
      <w:r>
        <w:t xml:space="preserve"> </w:t>
      </w:r>
      <w:r w:rsidR="00CA242D">
        <w:t>Please note that the “cooling off” period is only applicable to residential properties and not to commercial properties.</w:t>
      </w:r>
      <w:r w:rsidR="00CA242D">
        <w:rPr>
          <w:rStyle w:val="FootnoteReference"/>
        </w:rPr>
        <w:footnoteReference w:id="4"/>
      </w:r>
      <w:r w:rsidR="00CA242D">
        <w:t xml:space="preserve"> Typically the standard warning as to the cooling off period is deleted in the case of a contract for the sale of </w:t>
      </w:r>
      <w:r>
        <w:t xml:space="preserve">non-residential </w:t>
      </w:r>
      <w:r w:rsidR="00CA242D">
        <w:t>property</w:t>
      </w:r>
      <w:r>
        <w:t>. H</w:t>
      </w:r>
      <w:r w:rsidR="00CA242D">
        <w:t>owever, failure to delete the provision does not mean that a “cooling off” period applies to the transaction.</w:t>
      </w:r>
    </w:p>
    <w:p w:rsidR="00750C6A" w:rsidRDefault="00750C6A" w:rsidP="00CB5ECE">
      <w:r>
        <w:t>While contracts for the sale of land is typically unconditional once signed and exchanged, parties may choose to make the contract or settlement conditional upon an event, i.e. subject to finance. If this is the case, each party must do whatever is reasonably necessary to cause the event to happen before exercising any right to rescind, i.e. back out of, the contract.</w:t>
      </w:r>
      <w:r w:rsidR="00E33B19">
        <w:rPr>
          <w:rStyle w:val="FootnoteReference"/>
        </w:rPr>
        <w:footnoteReference w:id="5"/>
      </w:r>
      <w:r>
        <w:t xml:space="preserve"> A common practice when </w:t>
      </w:r>
      <w:r>
        <w:lastRenderedPageBreak/>
        <w:t xml:space="preserve">dealing with conditional contracts is to include a special condition, which deals in detail with the event that must occur, and the consequences if the event does not occur. </w:t>
      </w:r>
    </w:p>
    <w:p w:rsidR="00CB5ECE" w:rsidRPr="00605727" w:rsidRDefault="00CB5ECE" w:rsidP="00A27FA4">
      <w:pPr>
        <w:pStyle w:val="ListParagraph"/>
        <w:numPr>
          <w:ilvl w:val="1"/>
          <w:numId w:val="8"/>
        </w:numPr>
        <w:rPr>
          <w:b/>
        </w:rPr>
      </w:pPr>
      <w:r w:rsidRPr="00605727">
        <w:rPr>
          <w:b/>
        </w:rPr>
        <w:t>Conveyance process</w:t>
      </w:r>
    </w:p>
    <w:p w:rsidR="00CB5ECE" w:rsidRPr="00605727" w:rsidRDefault="00CB5ECE" w:rsidP="00A27FA4">
      <w:pPr>
        <w:pStyle w:val="ListParagraph"/>
        <w:numPr>
          <w:ilvl w:val="2"/>
          <w:numId w:val="8"/>
        </w:numPr>
        <w:rPr>
          <w:b/>
        </w:rPr>
      </w:pPr>
      <w:r w:rsidRPr="00605727">
        <w:rPr>
          <w:b/>
        </w:rPr>
        <w:t>Deposit and exchange of contract</w:t>
      </w:r>
    </w:p>
    <w:p w:rsidR="001779AE" w:rsidRDefault="001779AE" w:rsidP="001779AE">
      <w:r>
        <w:t>As provided by the standard contract in NSW, the deposit must normally be paid when the contract is signed, and this is an essential component of the contract</w:t>
      </w:r>
      <w:r w:rsidR="000A794A">
        <w:t>. Failure by the purchaser to pay the deposit on time may give rise to a right for the vendor to terminate.</w:t>
      </w:r>
      <w:r w:rsidR="000A794A">
        <w:rPr>
          <w:rStyle w:val="FootnoteReference"/>
        </w:rPr>
        <w:footnoteReference w:id="6"/>
      </w:r>
      <w:r w:rsidR="00AD41F8">
        <w:t xml:space="preserve"> </w:t>
      </w:r>
    </w:p>
    <w:p w:rsidR="00AD41F8" w:rsidRDefault="00AD41F8" w:rsidP="001779AE">
      <w:r>
        <w:t xml:space="preserve">Note that it is common for the purchaser to pay the agent an “expression of interest” deposit (or “holding deposit”). This predates the contract, but can be used to count towards the contract deposit.  </w:t>
      </w:r>
    </w:p>
    <w:p w:rsidR="00750C6A" w:rsidRDefault="00750C6A" w:rsidP="001779AE">
      <w:r>
        <w:t xml:space="preserve">Typically, the contract forms when it is “exchanged”. In </w:t>
      </w:r>
      <w:r w:rsidR="00AD41F8">
        <w:t>NSW</w:t>
      </w:r>
      <w:r>
        <w:t xml:space="preserve"> (and most other States and Territories), typically the vendor and the purchaser each sign one copy of the contract and the copies are swapped so that the vendor has the purchaser signed copy and vice versa. This may occur face-to-face or by mail. </w:t>
      </w:r>
    </w:p>
    <w:p w:rsidR="00CB5ECE" w:rsidRPr="00605727" w:rsidRDefault="00CB5ECE" w:rsidP="00A27FA4">
      <w:pPr>
        <w:pStyle w:val="ListParagraph"/>
        <w:numPr>
          <w:ilvl w:val="2"/>
          <w:numId w:val="8"/>
        </w:numPr>
        <w:rPr>
          <w:b/>
        </w:rPr>
      </w:pPr>
      <w:r w:rsidRPr="00605727">
        <w:rPr>
          <w:b/>
        </w:rPr>
        <w:t>Transfer of property</w:t>
      </w:r>
    </w:p>
    <w:p w:rsidR="001779AE" w:rsidRDefault="00AD41F8" w:rsidP="001779AE">
      <w:r>
        <w:t xml:space="preserve">Once the Contract has been exchanged, the purchaser’s lawyer or conveyancer must prepare the transfer document, and attend to the stamping of the transfer with the payable stamp duty. </w:t>
      </w:r>
      <w:r w:rsidR="00FB3106">
        <w:t>Typically this is done at least 14 days before settlement.</w:t>
      </w:r>
      <w:r w:rsidR="00FB3106">
        <w:rPr>
          <w:rStyle w:val="FootnoteReference"/>
        </w:rPr>
        <w:footnoteReference w:id="7"/>
      </w:r>
    </w:p>
    <w:p w:rsidR="00CB5ECE" w:rsidRPr="00605727" w:rsidRDefault="00CB5ECE" w:rsidP="00A27FA4">
      <w:pPr>
        <w:pStyle w:val="ListParagraph"/>
        <w:numPr>
          <w:ilvl w:val="2"/>
          <w:numId w:val="8"/>
        </w:numPr>
        <w:rPr>
          <w:b/>
        </w:rPr>
      </w:pPr>
      <w:r w:rsidRPr="00605727">
        <w:rPr>
          <w:b/>
        </w:rPr>
        <w:t>Requisitions</w:t>
      </w:r>
    </w:p>
    <w:p w:rsidR="001779AE" w:rsidRDefault="00FB3106" w:rsidP="001779AE">
      <w:r>
        <w:t xml:space="preserve">Requisitions are a formal set of questions which the purchaser’s solicitor or conveyancer asks the vendor about the property. </w:t>
      </w:r>
    </w:p>
    <w:p w:rsidR="00FB3106" w:rsidRDefault="00FB3106" w:rsidP="001779AE">
      <w:r>
        <w:t>In NSW, the purchaser must make requisitions about the property or the title within 21 days of signing the contract. If the requisition arises out of anything served by the vendor, the purchaser must make requisition within 21 days or service, or – in any other case – within a reasonable time.</w:t>
      </w:r>
      <w:r>
        <w:rPr>
          <w:rStyle w:val="FootnoteReference"/>
        </w:rPr>
        <w:footnoteReference w:id="8"/>
      </w:r>
    </w:p>
    <w:p w:rsidR="00CB5ECE" w:rsidRPr="00605727" w:rsidRDefault="00CB5ECE" w:rsidP="00A27FA4">
      <w:pPr>
        <w:pStyle w:val="ListParagraph"/>
        <w:numPr>
          <w:ilvl w:val="2"/>
          <w:numId w:val="8"/>
        </w:numPr>
        <w:rPr>
          <w:b/>
        </w:rPr>
      </w:pPr>
      <w:r w:rsidRPr="00605727">
        <w:rPr>
          <w:b/>
        </w:rPr>
        <w:t>Adjustments</w:t>
      </w:r>
    </w:p>
    <w:p w:rsidR="001779AE" w:rsidRDefault="00FB3106" w:rsidP="001779AE">
      <w:r>
        <w:t>Adjustments are made at settlement. Typically vendor will be entitled to adjust for outgoings such as land tax or strata contributions or rents and profits on the property.</w:t>
      </w:r>
      <w:r>
        <w:rPr>
          <w:rStyle w:val="FootnoteReference"/>
        </w:rPr>
        <w:footnoteReference w:id="9"/>
      </w:r>
    </w:p>
    <w:p w:rsidR="00CB5ECE" w:rsidRPr="00605727" w:rsidRDefault="00CB5ECE" w:rsidP="00A27FA4">
      <w:pPr>
        <w:pStyle w:val="ListParagraph"/>
        <w:numPr>
          <w:ilvl w:val="2"/>
          <w:numId w:val="8"/>
        </w:numPr>
        <w:rPr>
          <w:b/>
        </w:rPr>
      </w:pPr>
      <w:r w:rsidRPr="00605727">
        <w:rPr>
          <w:b/>
        </w:rPr>
        <w:t xml:space="preserve">Settlement </w:t>
      </w:r>
    </w:p>
    <w:p w:rsidR="001779AE" w:rsidRDefault="00FB3106" w:rsidP="001779AE">
      <w:r>
        <w:t xml:space="preserve">Settlement marks the completion of the sale. At settlement, the vendor must give the purchaser (or the mortgagee) a copy of </w:t>
      </w:r>
      <w:r w:rsidR="002E38B3">
        <w:t xml:space="preserve">the title documents. In exchange, the </w:t>
      </w:r>
      <w:r>
        <w:t xml:space="preserve">purchaser must pay the balance of the </w:t>
      </w:r>
      <w:r w:rsidR="002E38B3">
        <w:t>price</w:t>
      </w:r>
      <w:r>
        <w:t>, plus o</w:t>
      </w:r>
      <w:r w:rsidR="002E38B3">
        <w:t>r minus any adjustments.</w:t>
      </w:r>
      <w:r w:rsidR="002E38B3">
        <w:rPr>
          <w:rStyle w:val="FootnoteReference"/>
        </w:rPr>
        <w:footnoteReference w:id="10"/>
      </w:r>
    </w:p>
    <w:p w:rsidR="00CB5ECE" w:rsidRPr="00605727" w:rsidRDefault="00CB5ECE" w:rsidP="00A27FA4">
      <w:pPr>
        <w:pStyle w:val="ListParagraph"/>
        <w:numPr>
          <w:ilvl w:val="1"/>
          <w:numId w:val="8"/>
        </w:numPr>
        <w:rPr>
          <w:b/>
        </w:rPr>
      </w:pPr>
      <w:r w:rsidRPr="00605727">
        <w:rPr>
          <w:b/>
        </w:rPr>
        <w:lastRenderedPageBreak/>
        <w:t>Other issues</w:t>
      </w:r>
    </w:p>
    <w:p w:rsidR="00CB5ECE" w:rsidRPr="00605727" w:rsidRDefault="00CB5ECE" w:rsidP="00A27FA4">
      <w:pPr>
        <w:pStyle w:val="ListParagraph"/>
        <w:numPr>
          <w:ilvl w:val="2"/>
          <w:numId w:val="8"/>
        </w:numPr>
        <w:rPr>
          <w:b/>
        </w:rPr>
      </w:pPr>
      <w:r w:rsidRPr="00605727">
        <w:rPr>
          <w:b/>
        </w:rPr>
        <w:t>Time</w:t>
      </w:r>
    </w:p>
    <w:p w:rsidR="00CB5ECE" w:rsidRDefault="002E38B3" w:rsidP="00CB5ECE">
      <w:r>
        <w:t xml:space="preserve">It is up to the parties to agree on a completion date, although each State has prevailing settlement periods. In NSW, typically the settlement period is 42 days. </w:t>
      </w:r>
    </w:p>
    <w:p w:rsidR="008E70E2" w:rsidRDefault="008E70E2" w:rsidP="00CB5ECE">
      <w:r>
        <w:t xml:space="preserve">Some contracts may specify that time is “of the essence”, meaning that a failure to complete by the nominated settlement date is a fundamental breach of the contract, and may give rise to a right by the other party to terminate the contract and sue for damages. In the standard Contract for Sale and Purchase of Land, time is not specified to be </w:t>
      </w:r>
      <w:r w:rsidRPr="008E70E2">
        <w:rPr>
          <w:i/>
        </w:rPr>
        <w:t>of the essence</w:t>
      </w:r>
      <w:r>
        <w:t>.</w:t>
      </w:r>
      <w:r>
        <w:rPr>
          <w:rStyle w:val="FootnoteReference"/>
        </w:rPr>
        <w:footnoteReference w:id="11"/>
      </w:r>
    </w:p>
    <w:p w:rsidR="00AE3697" w:rsidRPr="00605727" w:rsidRDefault="00CB5ECE" w:rsidP="00A27FA4">
      <w:pPr>
        <w:pStyle w:val="ListParagraph"/>
        <w:numPr>
          <w:ilvl w:val="2"/>
          <w:numId w:val="8"/>
        </w:numPr>
        <w:rPr>
          <w:b/>
        </w:rPr>
      </w:pPr>
      <w:r w:rsidRPr="00605727">
        <w:rPr>
          <w:b/>
        </w:rPr>
        <w:t>Risk</w:t>
      </w:r>
    </w:p>
    <w:p w:rsidR="0085347D" w:rsidRDefault="0085347D" w:rsidP="00CB5ECE">
      <w:r>
        <w:t>The risk in respect of any damage to the property will not pass to the purchaser until the completion of the sale.</w:t>
      </w:r>
      <w:r w:rsidR="00307C61">
        <w:rPr>
          <w:rStyle w:val="FootnoteReference"/>
        </w:rPr>
        <w:footnoteReference w:id="12"/>
      </w:r>
      <w:r>
        <w:t xml:space="preserve"> </w:t>
      </w:r>
      <w:r w:rsidR="00307C61">
        <w:t xml:space="preserve">Once settlement has occurred and the property has been transferred to the purchaser, the purchaser assumes the risk for damage. </w:t>
      </w:r>
    </w:p>
    <w:p w:rsidR="000236D7" w:rsidRPr="00605727" w:rsidRDefault="000236D7" w:rsidP="00A27FA4">
      <w:pPr>
        <w:pStyle w:val="ListParagraph"/>
        <w:numPr>
          <w:ilvl w:val="2"/>
          <w:numId w:val="8"/>
        </w:numPr>
        <w:rPr>
          <w:b/>
        </w:rPr>
      </w:pPr>
      <w:r w:rsidRPr="00605727">
        <w:rPr>
          <w:b/>
        </w:rPr>
        <w:t>GST</w:t>
      </w:r>
    </w:p>
    <w:p w:rsidR="000236D7" w:rsidRPr="000236D7" w:rsidRDefault="00CB5ECE" w:rsidP="000236D7">
      <w:r>
        <w:t>Commercial properties will often attract the imposition of GST where the vendor is registered (or required to be registered) for GST and conducting an ‘enterprise’ with an annual turnover of $75,000 or more per annum.</w:t>
      </w:r>
      <w:r>
        <w:rPr>
          <w:rStyle w:val="FootnoteReference"/>
        </w:rPr>
        <w:footnoteReference w:id="13"/>
      </w:r>
    </w:p>
    <w:p w:rsidR="000236D7" w:rsidRDefault="00CB5ECE" w:rsidP="000236D7">
      <w:r>
        <w:t xml:space="preserve">If applicable, liability for GST will transfer to the purchaser. It is important to obtain specific advice as to whether GST will be payable, in case this affects payments and stamp duty at settlement. </w:t>
      </w:r>
    </w:p>
    <w:p w:rsidR="008E70E2" w:rsidRDefault="008E70E2" w:rsidP="000236D7"/>
    <w:p w:rsidR="008E70E2" w:rsidRPr="00605727" w:rsidRDefault="00A27FA4" w:rsidP="00A27FA4">
      <w:pPr>
        <w:pStyle w:val="ListParagraph"/>
        <w:numPr>
          <w:ilvl w:val="0"/>
          <w:numId w:val="8"/>
        </w:numPr>
        <w:rPr>
          <w:b/>
        </w:rPr>
      </w:pPr>
      <w:r w:rsidRPr="00605727">
        <w:rPr>
          <w:b/>
        </w:rPr>
        <w:t>Queensland</w:t>
      </w:r>
    </w:p>
    <w:p w:rsidR="00A27FA4" w:rsidRDefault="00A27FA4" w:rsidP="00A27FA4">
      <w:r w:rsidRPr="00A27FA4">
        <w:t xml:space="preserve">In Queensland, </w:t>
      </w:r>
      <w:r w:rsidR="009E7683">
        <w:t xml:space="preserve">the </w:t>
      </w:r>
      <w:r w:rsidR="003C53BF">
        <w:t xml:space="preserve">standard </w:t>
      </w:r>
      <w:r w:rsidR="009E7683">
        <w:t xml:space="preserve">contract for the sale of commercial property is the Commercial Land and Buildings Contract published by the Real Estate Institute of Queensland and the Queensland Law Society. </w:t>
      </w:r>
    </w:p>
    <w:p w:rsidR="00D40C2A" w:rsidRPr="00D40C2A" w:rsidRDefault="00D40C2A" w:rsidP="00D40C2A">
      <w:r>
        <w:t>Unlike in other States, i</w:t>
      </w:r>
      <w:r w:rsidR="00A27FA4" w:rsidRPr="009E7683">
        <w:t xml:space="preserve">n Queensland, </w:t>
      </w:r>
      <w:r>
        <w:t xml:space="preserve">the default position is that </w:t>
      </w:r>
      <w:r w:rsidR="00A27FA4" w:rsidRPr="009E7683">
        <w:t xml:space="preserve">time is </w:t>
      </w:r>
      <w:r w:rsidR="009E7683">
        <w:t>of the essence.</w:t>
      </w:r>
      <w:r w:rsidR="00F15B8C">
        <w:rPr>
          <w:rStyle w:val="FootnoteReference"/>
        </w:rPr>
        <w:footnoteReference w:id="14"/>
      </w:r>
      <w:r w:rsidR="009E7683">
        <w:t xml:space="preserve"> </w:t>
      </w:r>
      <w:r w:rsidR="00A27FA4" w:rsidRPr="009E7683">
        <w:t xml:space="preserve">This means that </w:t>
      </w:r>
      <w:r w:rsidR="00F15B8C">
        <w:t xml:space="preserve">if a party fails to settle on settlement date, </w:t>
      </w:r>
      <w:r>
        <w:t xml:space="preserve">there will </w:t>
      </w:r>
      <w:r w:rsidR="003C53BF">
        <w:t xml:space="preserve">automatically be </w:t>
      </w:r>
      <w:r>
        <w:t xml:space="preserve">a </w:t>
      </w:r>
      <w:r w:rsidR="00F15B8C">
        <w:t xml:space="preserve">fundamental </w:t>
      </w:r>
      <w:r>
        <w:t>breach of the contract</w:t>
      </w:r>
      <w:r w:rsidR="00F15B8C">
        <w:t xml:space="preserve">. </w:t>
      </w:r>
    </w:p>
    <w:p w:rsidR="009C7997" w:rsidRDefault="009C7997" w:rsidP="00D40C2A">
      <w:r>
        <w:t xml:space="preserve">Another key difference between Queensland and some of the other States is that there is no </w:t>
      </w:r>
      <w:r w:rsidR="008F279C">
        <w:t xml:space="preserve">right for the purchaser to make </w:t>
      </w:r>
      <w:r>
        <w:t>requisitions</w:t>
      </w:r>
      <w:r w:rsidR="008F279C">
        <w:t xml:space="preserve"> on title</w:t>
      </w:r>
      <w:r>
        <w:t xml:space="preserve">. Instead, the vendor makes a number of </w:t>
      </w:r>
      <w:r w:rsidR="008F279C">
        <w:t>warranties in respect of the property.</w:t>
      </w:r>
      <w:r w:rsidR="008F279C">
        <w:rPr>
          <w:rStyle w:val="FootnoteReference"/>
        </w:rPr>
        <w:footnoteReference w:id="15"/>
      </w:r>
    </w:p>
    <w:p w:rsidR="00D40C2A" w:rsidRPr="00D40C2A" w:rsidRDefault="00712904" w:rsidP="00D40C2A">
      <w:r>
        <w:lastRenderedPageBreak/>
        <w:t xml:space="preserve">The </w:t>
      </w:r>
      <w:r w:rsidR="003C53BF">
        <w:t xml:space="preserve">standard </w:t>
      </w:r>
      <w:r>
        <w:t xml:space="preserve">contract </w:t>
      </w:r>
      <w:r w:rsidR="003C53BF">
        <w:t xml:space="preserve">in Queensland </w:t>
      </w:r>
      <w:r>
        <w:t xml:space="preserve">has </w:t>
      </w:r>
      <w:r w:rsidR="009C7997">
        <w:t xml:space="preserve">allows for </w:t>
      </w:r>
      <w:r w:rsidR="003C53BF">
        <w:t>the contract</w:t>
      </w:r>
      <w:r w:rsidR="009C7997">
        <w:t xml:space="preserve"> to be conditional upon finance. </w:t>
      </w:r>
      <w:r w:rsidR="00D40C2A" w:rsidRPr="00D40C2A">
        <w:t xml:space="preserve">However, this </w:t>
      </w:r>
      <w:r w:rsidR="009C7997">
        <w:t xml:space="preserve">has to be nominated </w:t>
      </w:r>
      <w:r w:rsidR="00D40C2A" w:rsidRPr="00D40C2A">
        <w:t>prior to signing.</w:t>
      </w:r>
      <w:r w:rsidR="009C7997">
        <w:rPr>
          <w:rStyle w:val="FootnoteReference"/>
        </w:rPr>
        <w:footnoteReference w:id="16"/>
      </w:r>
      <w:r w:rsidR="00D40C2A" w:rsidRPr="00D40C2A">
        <w:t xml:space="preserve"> </w:t>
      </w:r>
      <w:r w:rsidR="009C7997">
        <w:t xml:space="preserve">If no finance condition is specified, then the contract becomes unconditional upon signing by both parties. </w:t>
      </w:r>
    </w:p>
    <w:p w:rsidR="009C7997" w:rsidRDefault="009C7997" w:rsidP="009E7683"/>
    <w:p w:rsidR="000236D7" w:rsidRPr="009E7683" w:rsidRDefault="00BC648F" w:rsidP="009E7683">
      <w:r>
        <w:t xml:space="preserve">In relation to insurance, it is important to note that unlike in NSW, the risk for the property in Queensland only remains with the vendor until 5pm on the first </w:t>
      </w:r>
      <w:r w:rsidR="00A27FA4" w:rsidRPr="009E7683">
        <w:t>busine</w:t>
      </w:r>
      <w:r>
        <w:t>ss day after the contract date.</w:t>
      </w:r>
      <w:r>
        <w:rPr>
          <w:rStyle w:val="FootnoteReference"/>
        </w:rPr>
        <w:footnoteReference w:id="17"/>
      </w:r>
      <w:r>
        <w:t xml:space="preserve"> This means that the purchaser should </w:t>
      </w:r>
      <w:r w:rsidR="00A27FA4" w:rsidRPr="009E7683">
        <w:t xml:space="preserve">arrange </w:t>
      </w:r>
      <w:r>
        <w:t xml:space="preserve">for </w:t>
      </w:r>
      <w:r w:rsidR="00A27FA4" w:rsidRPr="009E7683">
        <w:t xml:space="preserve">insurance immediately following </w:t>
      </w:r>
      <w:r>
        <w:t>the exchange of contracts.</w:t>
      </w:r>
      <w:r w:rsidR="00A27FA4" w:rsidRPr="009E7683">
        <w:br/>
      </w:r>
    </w:p>
    <w:p w:rsidR="00DD03E5" w:rsidRPr="00605727" w:rsidRDefault="00DD03E5" w:rsidP="00DD03E5">
      <w:pPr>
        <w:pStyle w:val="ListParagraph"/>
        <w:numPr>
          <w:ilvl w:val="0"/>
          <w:numId w:val="8"/>
        </w:numPr>
        <w:rPr>
          <w:b/>
        </w:rPr>
      </w:pPr>
      <w:r w:rsidRPr="00605727">
        <w:rPr>
          <w:b/>
        </w:rPr>
        <w:t>Victoria</w:t>
      </w:r>
    </w:p>
    <w:p w:rsidR="003C5C12" w:rsidRDefault="003C53BF" w:rsidP="000236D7">
      <w:r>
        <w:t>In Victoria, the standard form of contract is Form 2 Contract for Sale of Real Estate. Prior to signing the contract, the vendor’s solicitor or conveyancer is required to provide what is known as the “section 32 statement”.</w:t>
      </w:r>
      <w:r>
        <w:rPr>
          <w:rStyle w:val="FootnoteReference"/>
        </w:rPr>
        <w:footnoteReference w:id="18"/>
      </w:r>
      <w:r>
        <w:t xml:space="preserve"> This statement may include the following information (where applicable):</w:t>
      </w:r>
    </w:p>
    <w:p w:rsidR="003C53BF" w:rsidRDefault="003C53BF" w:rsidP="003C53BF">
      <w:pPr>
        <w:pStyle w:val="ListParagraph"/>
        <w:numPr>
          <w:ilvl w:val="0"/>
          <w:numId w:val="9"/>
        </w:numPr>
      </w:pPr>
      <w:r>
        <w:t>Rates,</w:t>
      </w:r>
      <w:r w:rsidR="004958FA">
        <w:t xml:space="preserve"> taxes and other charges;</w:t>
      </w:r>
    </w:p>
    <w:p w:rsidR="003C53BF" w:rsidRDefault="003C53BF" w:rsidP="003C53BF">
      <w:pPr>
        <w:pStyle w:val="ListParagraph"/>
        <w:numPr>
          <w:ilvl w:val="0"/>
          <w:numId w:val="9"/>
        </w:numPr>
      </w:pPr>
      <w:r>
        <w:t>Any charge or mortgage over the land;</w:t>
      </w:r>
    </w:p>
    <w:p w:rsidR="003C53BF" w:rsidRDefault="003C53BF" w:rsidP="003C53BF">
      <w:pPr>
        <w:pStyle w:val="ListParagraph"/>
        <w:numPr>
          <w:ilvl w:val="0"/>
          <w:numId w:val="9"/>
        </w:numPr>
      </w:pPr>
      <w:r>
        <w:t>Building approvals from the past seven years;</w:t>
      </w:r>
    </w:p>
    <w:p w:rsidR="003C53BF" w:rsidRDefault="004958FA" w:rsidP="003C53BF">
      <w:pPr>
        <w:pStyle w:val="ListParagraph"/>
        <w:numPr>
          <w:ilvl w:val="0"/>
          <w:numId w:val="9"/>
        </w:numPr>
      </w:pPr>
      <w:r>
        <w:t>Any order or notice affecting the land;</w:t>
      </w:r>
    </w:p>
    <w:p w:rsidR="004958FA" w:rsidRDefault="004958FA" w:rsidP="003C53BF">
      <w:pPr>
        <w:pStyle w:val="ListParagraph"/>
        <w:numPr>
          <w:ilvl w:val="0"/>
          <w:numId w:val="9"/>
        </w:numPr>
      </w:pPr>
      <w:r>
        <w:t xml:space="preserve">Body corporate notices, liabilities and maintenance fund payments, </w:t>
      </w:r>
    </w:p>
    <w:p w:rsidR="004958FA" w:rsidRDefault="004958FA" w:rsidP="003C53BF">
      <w:pPr>
        <w:pStyle w:val="ListParagraph"/>
        <w:numPr>
          <w:ilvl w:val="0"/>
          <w:numId w:val="9"/>
        </w:numPr>
      </w:pPr>
      <w:r>
        <w:t>Insurance details</w:t>
      </w:r>
    </w:p>
    <w:p w:rsidR="004958FA" w:rsidRDefault="004958FA" w:rsidP="003C53BF">
      <w:pPr>
        <w:pStyle w:val="ListParagraph"/>
        <w:numPr>
          <w:ilvl w:val="0"/>
          <w:numId w:val="9"/>
        </w:numPr>
      </w:pPr>
      <w:r>
        <w:t xml:space="preserve">Statutory charges on the land; </w:t>
      </w:r>
    </w:p>
    <w:p w:rsidR="004958FA" w:rsidRDefault="004958FA" w:rsidP="003C53BF">
      <w:pPr>
        <w:pStyle w:val="ListParagraph"/>
        <w:numPr>
          <w:ilvl w:val="0"/>
          <w:numId w:val="9"/>
        </w:numPr>
      </w:pPr>
      <w:r>
        <w:t xml:space="preserve">Covenants, easements and other restrictions on the land; </w:t>
      </w:r>
    </w:p>
    <w:p w:rsidR="004958FA" w:rsidRDefault="004958FA" w:rsidP="003C53BF">
      <w:pPr>
        <w:pStyle w:val="ListParagraph"/>
        <w:numPr>
          <w:ilvl w:val="0"/>
          <w:numId w:val="9"/>
        </w:numPr>
      </w:pPr>
      <w:r>
        <w:t xml:space="preserve">Title and plan of subdivision information; and </w:t>
      </w:r>
    </w:p>
    <w:p w:rsidR="004958FA" w:rsidRDefault="004958FA" w:rsidP="003C53BF">
      <w:pPr>
        <w:pStyle w:val="ListParagraph"/>
        <w:numPr>
          <w:ilvl w:val="0"/>
          <w:numId w:val="9"/>
        </w:numPr>
      </w:pPr>
      <w:r>
        <w:t>Copy of the Certificate of Title.</w:t>
      </w:r>
      <w:r>
        <w:rPr>
          <w:rStyle w:val="FootnoteReference"/>
        </w:rPr>
        <w:footnoteReference w:id="19"/>
      </w:r>
    </w:p>
    <w:p w:rsidR="00DD03E5" w:rsidRDefault="006740EA" w:rsidP="00DD03E5">
      <w:r>
        <w:t>The purchaser has the right to rescind the contract if this information is not provided</w:t>
      </w:r>
      <w:r w:rsidR="00404674">
        <w:t xml:space="preserve"> or if false information is provided.</w:t>
      </w:r>
      <w:r w:rsidR="00404674">
        <w:rPr>
          <w:rStyle w:val="FootnoteReference"/>
        </w:rPr>
        <w:footnoteReference w:id="20"/>
      </w:r>
      <w:r w:rsidR="00404674">
        <w:t xml:space="preserve"> Penalties may also apply.</w:t>
      </w:r>
      <w:r w:rsidR="00404674">
        <w:rPr>
          <w:rStyle w:val="FootnoteReference"/>
        </w:rPr>
        <w:footnoteReference w:id="21"/>
      </w:r>
    </w:p>
    <w:p w:rsidR="00DD03E5" w:rsidRDefault="00DD03E5" w:rsidP="00DD03E5">
      <w:r>
        <w:t xml:space="preserve">Other key differences in Victoria include: </w:t>
      </w:r>
    </w:p>
    <w:p w:rsidR="00DD03E5" w:rsidRDefault="00DD03E5" w:rsidP="00DD03E5">
      <w:pPr>
        <w:pStyle w:val="ListParagraph"/>
        <w:numPr>
          <w:ilvl w:val="1"/>
          <w:numId w:val="10"/>
        </w:numPr>
      </w:pPr>
      <w:r>
        <w:t>Like in Queensland, the right for purchasers to make requisitions is replaced by vendor warranties.</w:t>
      </w:r>
      <w:r>
        <w:rPr>
          <w:rStyle w:val="FootnoteReference"/>
        </w:rPr>
        <w:footnoteReference w:id="22"/>
      </w:r>
    </w:p>
    <w:p w:rsidR="00DD03E5" w:rsidRDefault="00DD03E5" w:rsidP="00DD03E5">
      <w:pPr>
        <w:pStyle w:val="ListParagraph"/>
        <w:numPr>
          <w:ilvl w:val="1"/>
          <w:numId w:val="10"/>
        </w:numPr>
      </w:pPr>
      <w:r>
        <w:t>Time is of the essence in the contract for sale of real estate.</w:t>
      </w:r>
      <w:r>
        <w:rPr>
          <w:rStyle w:val="FootnoteReference"/>
        </w:rPr>
        <w:footnoteReference w:id="23"/>
      </w:r>
      <w:r>
        <w:t xml:space="preserve"> </w:t>
      </w:r>
      <w:r w:rsidR="00E34562">
        <w:t xml:space="preserve">Settlement is typically completed between 30 to 90 days. </w:t>
      </w:r>
    </w:p>
    <w:p w:rsidR="00DD03E5" w:rsidRDefault="00DD03E5" w:rsidP="00DD03E5">
      <w:pPr>
        <w:pStyle w:val="ListParagraph"/>
        <w:numPr>
          <w:ilvl w:val="1"/>
          <w:numId w:val="10"/>
        </w:numPr>
      </w:pPr>
      <w:r>
        <w:lastRenderedPageBreak/>
        <w:t>T</w:t>
      </w:r>
      <w:r w:rsidR="00404674">
        <w:t>he purchaser has the right of inspection 7 days before settlement to ensure that all fixtures and chattels included in the sale ha</w:t>
      </w:r>
      <w:r>
        <w:t>ve not been damaged or removed.</w:t>
      </w:r>
      <w:r>
        <w:rPr>
          <w:rStyle w:val="FootnoteReference"/>
        </w:rPr>
        <w:footnoteReference w:id="24"/>
      </w:r>
    </w:p>
    <w:p w:rsidR="002430B5" w:rsidRDefault="002430B5">
      <w:r>
        <w:br w:type="page"/>
      </w:r>
    </w:p>
    <w:p w:rsidR="00DD03E5" w:rsidRDefault="00DD03E5" w:rsidP="00DD03E5"/>
    <w:p w:rsidR="00DD03E5" w:rsidRPr="00605727" w:rsidRDefault="00DD03E5" w:rsidP="00DD03E5">
      <w:pPr>
        <w:pStyle w:val="ListParagraph"/>
        <w:numPr>
          <w:ilvl w:val="0"/>
          <w:numId w:val="8"/>
        </w:numPr>
        <w:rPr>
          <w:b/>
        </w:rPr>
      </w:pPr>
      <w:r w:rsidRPr="00605727">
        <w:rPr>
          <w:b/>
        </w:rPr>
        <w:t>South Australia</w:t>
      </w:r>
    </w:p>
    <w:p w:rsidR="00DD03E5" w:rsidRDefault="00DD03E5" w:rsidP="00DD03E5">
      <w:r>
        <w:t>Contract for the Sale and Purchaser of Land, developed by the Law Society of South Australia, is the standard contract used in South Australia.</w:t>
      </w:r>
    </w:p>
    <w:p w:rsidR="00E34562" w:rsidRDefault="00AB6168" w:rsidP="00DD03E5">
      <w:r>
        <w:t xml:space="preserve">Settlement period is typically four to six weeks. </w:t>
      </w:r>
      <w:r w:rsidR="00E34562">
        <w:t xml:space="preserve">At least 10 days prior to settlement, the vendor must serve on the purchaser a statement setting out the rights of the purchaser, and the particulars of the sale, including all </w:t>
      </w:r>
      <w:proofErr w:type="spellStart"/>
      <w:r w:rsidR="00E34562">
        <w:t>mortages</w:t>
      </w:r>
      <w:proofErr w:type="spellEnd"/>
      <w:r w:rsidR="00E34562">
        <w:t>, charges and encumbrances on the land, and any other information such as the Certificate of Title, relevant water charges, Land Tax etc.</w:t>
      </w:r>
      <w:r w:rsidR="00E34562">
        <w:rPr>
          <w:rStyle w:val="FootnoteReference"/>
        </w:rPr>
        <w:footnoteReference w:id="25"/>
      </w:r>
      <w:r w:rsidR="00E34562">
        <w:t xml:space="preserve"> There are no requisitions in South Australia.  </w:t>
      </w:r>
    </w:p>
    <w:p w:rsidR="00DD03E5" w:rsidRPr="00605727" w:rsidRDefault="00DD03E5" w:rsidP="00DD03E5">
      <w:pPr>
        <w:pStyle w:val="ListParagraph"/>
        <w:numPr>
          <w:ilvl w:val="0"/>
          <w:numId w:val="8"/>
        </w:numPr>
        <w:rPr>
          <w:b/>
        </w:rPr>
      </w:pPr>
      <w:r w:rsidRPr="00605727">
        <w:rPr>
          <w:b/>
        </w:rPr>
        <w:t>Western Australia</w:t>
      </w:r>
    </w:p>
    <w:p w:rsidR="00E34562" w:rsidRDefault="00E34562" w:rsidP="00E34562">
      <w:r>
        <w:t xml:space="preserve">In Western Australia, the pro forma contract is the Contract for Sale of Land by Offer and Acceptance and the Joint Form of General Conditions for the Sale of Land. </w:t>
      </w:r>
    </w:p>
    <w:p w:rsidR="00724AC8" w:rsidRDefault="00E34562" w:rsidP="00E34562">
      <w:r>
        <w:t>Settlement period is typically 28 business days.</w:t>
      </w:r>
      <w:r>
        <w:rPr>
          <w:rStyle w:val="FootnoteReference"/>
        </w:rPr>
        <w:footnoteReference w:id="26"/>
      </w:r>
      <w:r w:rsidR="00724AC8">
        <w:t xml:space="preserve"> If settlement is not completed within three business days of the Settlement Date due to buyer delay, the buyer must pay interest to the vendor. If the delay is attributable to the vendor, the vendor must compensate the buyer by deducting the interest against the balance of the purchaser price.</w:t>
      </w:r>
      <w:r w:rsidR="00724AC8">
        <w:rPr>
          <w:rStyle w:val="FootnoteReference"/>
        </w:rPr>
        <w:footnoteReference w:id="27"/>
      </w:r>
    </w:p>
    <w:p w:rsidR="00724AC8" w:rsidRDefault="00724AC8" w:rsidP="00E34562">
      <w:r>
        <w:t>The buyer has a right of inspection 5 business days before settlement.</w:t>
      </w:r>
      <w:r>
        <w:rPr>
          <w:rStyle w:val="FootnoteReference"/>
        </w:rPr>
        <w:footnoteReference w:id="28"/>
      </w:r>
      <w:r>
        <w:t xml:space="preserve"> Requisitions are not used. </w:t>
      </w:r>
    </w:p>
    <w:p w:rsidR="00DD03E5" w:rsidRPr="00605727" w:rsidRDefault="00DD03E5" w:rsidP="00DD03E5">
      <w:pPr>
        <w:pStyle w:val="ListParagraph"/>
        <w:numPr>
          <w:ilvl w:val="0"/>
          <w:numId w:val="8"/>
        </w:numPr>
        <w:rPr>
          <w:b/>
        </w:rPr>
      </w:pPr>
      <w:r w:rsidRPr="00605727">
        <w:rPr>
          <w:b/>
        </w:rPr>
        <w:t>Tasmania</w:t>
      </w:r>
    </w:p>
    <w:p w:rsidR="00724AC8" w:rsidRDefault="00605727" w:rsidP="00724AC8">
      <w:r>
        <w:t>T</w:t>
      </w:r>
      <w:r w:rsidR="007E454D">
        <w:t>he Contract for the Sale of Real Estat</w:t>
      </w:r>
      <w:r>
        <w:t xml:space="preserve">e, prepared by the Law Society of Tasmania </w:t>
      </w:r>
      <w:r w:rsidR="007E454D">
        <w:t>is the standar</w:t>
      </w:r>
      <w:r>
        <w:t>d contract used in Tasmania.</w:t>
      </w:r>
    </w:p>
    <w:p w:rsidR="007E454D" w:rsidRDefault="007E454D" w:rsidP="00724AC8">
      <w:r>
        <w:t>After exchange of contracts, the purchaser lodges a priority notice, which reserves the priority to have the property transferred to them for a maximum of 60 days.</w:t>
      </w:r>
      <w:r w:rsidR="00605727">
        <w:rPr>
          <w:rStyle w:val="FootnoteReference"/>
        </w:rPr>
        <w:footnoteReference w:id="29"/>
      </w:r>
      <w:r>
        <w:t xml:space="preserve"> This prevents other dealings on the title prior to settlement. </w:t>
      </w:r>
    </w:p>
    <w:p w:rsidR="00605727" w:rsidRDefault="00AB6168" w:rsidP="00724AC8">
      <w:r>
        <w:t xml:space="preserve">Settlement period is typically 30 days. </w:t>
      </w:r>
      <w:r w:rsidR="00605727">
        <w:t>Parties have the discretion to make time essential under the Contract by giving 14 days’ notice to the other party.</w:t>
      </w:r>
      <w:r w:rsidR="00605727">
        <w:rPr>
          <w:rStyle w:val="FootnoteReference"/>
        </w:rPr>
        <w:footnoteReference w:id="30"/>
      </w:r>
      <w:r w:rsidR="00605727">
        <w:t xml:space="preserve"> If the purchaser fails to complete settlement, the vendor has the right to terminate the Contract. The deposit is forfeited to the vendor, and the vendor may claim any loss from the purchaser as liquidated damages. </w:t>
      </w:r>
    </w:p>
    <w:p w:rsidR="002430B5" w:rsidRDefault="002430B5" w:rsidP="00724AC8"/>
    <w:p w:rsidR="002430B5" w:rsidRDefault="002430B5" w:rsidP="00724AC8"/>
    <w:p w:rsidR="002430B5" w:rsidRDefault="002430B5" w:rsidP="00724AC8"/>
    <w:p w:rsidR="00DD03E5" w:rsidRPr="00605727" w:rsidRDefault="00724AC8" w:rsidP="00DD03E5">
      <w:pPr>
        <w:pStyle w:val="ListParagraph"/>
        <w:numPr>
          <w:ilvl w:val="0"/>
          <w:numId w:val="8"/>
        </w:numPr>
        <w:rPr>
          <w:b/>
        </w:rPr>
      </w:pPr>
      <w:r w:rsidRPr="00605727">
        <w:rPr>
          <w:b/>
        </w:rPr>
        <w:t>Australian Capital Territory (ACT)</w:t>
      </w:r>
    </w:p>
    <w:p w:rsidR="00486099" w:rsidRDefault="00724AC8" w:rsidP="00724AC8">
      <w:r>
        <w:t xml:space="preserve">The </w:t>
      </w:r>
      <w:r w:rsidR="00486099">
        <w:t xml:space="preserve">Contract for Sale, published by the Law Society of ACT, </w:t>
      </w:r>
      <w:r>
        <w:t xml:space="preserve">is the standard contract in the ACT. As the ACT operates under </w:t>
      </w:r>
      <w:r w:rsidR="007E454D">
        <w:t xml:space="preserve">a </w:t>
      </w:r>
      <w:r>
        <w:t>Crown Lease</w:t>
      </w:r>
      <w:r w:rsidR="007E454D">
        <w:t xml:space="preserve"> system</w:t>
      </w:r>
      <w:r>
        <w:t>, the Contract is in fact for the sale of a Lease, and must include details of compliance with the Crown Lease.</w:t>
      </w:r>
      <w:r w:rsidR="00486099">
        <w:rPr>
          <w:rStyle w:val="FootnoteReference"/>
        </w:rPr>
        <w:footnoteReference w:id="31"/>
      </w:r>
      <w:r w:rsidR="007E454D">
        <w:t xml:space="preserve"> </w:t>
      </w:r>
    </w:p>
    <w:p w:rsidR="007E454D" w:rsidRDefault="007E454D" w:rsidP="00724AC8">
      <w:r>
        <w:t xml:space="preserve">The typical settlement period is 30 days in the ACT. Requisitions are rarely used. </w:t>
      </w:r>
      <w:r w:rsidR="00486099">
        <w:t xml:space="preserve">If a party fails to complete settlement by the nominated date, the other party may serve a </w:t>
      </w:r>
      <w:r>
        <w:t>Notice to Complete, specifying a date for completion that is not less than 14 days after service of the Notice.</w:t>
      </w:r>
      <w:r>
        <w:rPr>
          <w:rStyle w:val="FootnoteReference"/>
        </w:rPr>
        <w:footnoteReference w:id="32"/>
      </w:r>
      <w:r>
        <w:t xml:space="preserve"> Similarly, if one party is in default under the contract, the other party may serve a Default Notice, giving the defaulting party at least 14 days to rectify the default. Failure to comply with any of the Notices will result in a right to termination.</w:t>
      </w:r>
      <w:r>
        <w:rPr>
          <w:rStyle w:val="FootnoteReference"/>
        </w:rPr>
        <w:footnoteReference w:id="33"/>
      </w:r>
    </w:p>
    <w:p w:rsidR="00DD03E5" w:rsidRPr="00605727" w:rsidRDefault="00DD03E5" w:rsidP="00DD03E5">
      <w:pPr>
        <w:pStyle w:val="ListParagraph"/>
        <w:numPr>
          <w:ilvl w:val="0"/>
          <w:numId w:val="8"/>
        </w:numPr>
        <w:rPr>
          <w:b/>
        </w:rPr>
      </w:pPr>
      <w:r w:rsidRPr="00605727">
        <w:rPr>
          <w:b/>
        </w:rPr>
        <w:t>Northern Territory</w:t>
      </w:r>
      <w:r w:rsidR="00486099" w:rsidRPr="00605727">
        <w:rPr>
          <w:b/>
        </w:rPr>
        <w:t xml:space="preserve"> (NT) </w:t>
      </w:r>
    </w:p>
    <w:p w:rsidR="002200C4" w:rsidRDefault="00486099" w:rsidP="00724AC8">
      <w:r>
        <w:t>The Contract for the Sale of Land, drafted by the Real Estate Institute of the Northern Territory is the standard contract used in the NT.</w:t>
      </w:r>
    </w:p>
    <w:p w:rsidR="00AB6168" w:rsidRDefault="00AB6168" w:rsidP="00724AC8">
      <w:r>
        <w:t>Settlement period is typically 30 days. Time is not of the essence, and penalty interest applies if the sale is not completed within 2 business days after settlement.</w:t>
      </w:r>
      <w:r>
        <w:rPr>
          <w:rStyle w:val="FootnoteReference"/>
        </w:rPr>
        <w:footnoteReference w:id="34"/>
      </w:r>
    </w:p>
    <w:p w:rsidR="007E454D" w:rsidRPr="007E454D" w:rsidRDefault="007E454D" w:rsidP="00724AC8">
      <w:pPr>
        <w:rPr>
          <w:b/>
        </w:rPr>
      </w:pPr>
      <w:r w:rsidRPr="007E454D">
        <w:rPr>
          <w:b/>
        </w:rPr>
        <w:t xml:space="preserve">Key takeaways </w:t>
      </w:r>
    </w:p>
    <w:p w:rsidR="007E454D" w:rsidRDefault="007E454D" w:rsidP="00724AC8">
      <w:r>
        <w:t>The overarching process for conveyancing in different Australian States and Territories are similar, but not identical. Each State and Territory uses its own standard contract for the sale of land, with the purchaser and vendor agreeing on what particulars and special conditions they require in addition to the standard contract terms.</w:t>
      </w:r>
    </w:p>
    <w:p w:rsidR="007E454D" w:rsidRDefault="007E454D" w:rsidP="00724AC8">
      <w:r>
        <w:t xml:space="preserve">This is resulted in a number of differences across Australia in relation to the </w:t>
      </w:r>
      <w:r w:rsidR="00605727">
        <w:t xml:space="preserve">expected completion time, </w:t>
      </w:r>
      <w:r>
        <w:t xml:space="preserve">conveyancing process, the use of requisitions or warranties, </w:t>
      </w:r>
      <w:r w:rsidR="00605727">
        <w:t xml:space="preserve">when the risk passes from vendor to purchaser, and whether time is of the essence. It is important to check with local conveyancers and lawyers as to the particular requirements of property transaction in each jurisdiction. </w:t>
      </w:r>
    </w:p>
    <w:sectPr w:rsidR="007E454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A4E28" w:rsidRDefault="00FA4E28" w:rsidP="00CB5ECE">
      <w:pPr>
        <w:spacing w:after="0" w:line="240" w:lineRule="auto"/>
      </w:pPr>
      <w:r>
        <w:separator/>
      </w:r>
    </w:p>
  </w:endnote>
  <w:endnote w:type="continuationSeparator" w:id="0">
    <w:p w:rsidR="00FA4E28" w:rsidRDefault="00FA4E28" w:rsidP="00CB5E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A4E28" w:rsidRDefault="00FA4E28" w:rsidP="00CB5ECE">
      <w:pPr>
        <w:spacing w:after="0" w:line="240" w:lineRule="auto"/>
      </w:pPr>
      <w:r>
        <w:separator/>
      </w:r>
    </w:p>
  </w:footnote>
  <w:footnote w:type="continuationSeparator" w:id="0">
    <w:p w:rsidR="00FA4E28" w:rsidRDefault="00FA4E28" w:rsidP="00CB5ECE">
      <w:pPr>
        <w:spacing w:after="0" w:line="240" w:lineRule="auto"/>
      </w:pPr>
      <w:r>
        <w:continuationSeparator/>
      </w:r>
    </w:p>
  </w:footnote>
  <w:footnote w:id="1">
    <w:p w:rsidR="005C6ECB" w:rsidRDefault="005C6ECB">
      <w:pPr>
        <w:pStyle w:val="FootnoteText"/>
      </w:pPr>
      <w:r>
        <w:rPr>
          <w:rStyle w:val="FootnoteReference"/>
        </w:rPr>
        <w:footnoteRef/>
      </w:r>
      <w:r>
        <w:t xml:space="preserve"> </w:t>
      </w:r>
      <w:r w:rsidRPr="00307C61">
        <w:rPr>
          <w:i/>
        </w:rPr>
        <w:t>Conveyancing Act 1919</w:t>
      </w:r>
      <w:r>
        <w:t xml:space="preserve"> (NSW) s 54A.</w:t>
      </w:r>
    </w:p>
  </w:footnote>
  <w:footnote w:id="2">
    <w:p w:rsidR="0027755E" w:rsidRDefault="0027755E">
      <w:pPr>
        <w:pStyle w:val="FootnoteText"/>
      </w:pPr>
      <w:r>
        <w:rPr>
          <w:rStyle w:val="FootnoteReference"/>
        </w:rPr>
        <w:footnoteRef/>
      </w:r>
      <w:r>
        <w:t xml:space="preserve"> A copy of the Contract for Sale</w:t>
      </w:r>
      <w:r w:rsidR="00E33B19">
        <w:t xml:space="preserve"> and Purchase</w:t>
      </w:r>
      <w:r>
        <w:t xml:space="preserve"> of Land can be found at &lt;</w:t>
      </w:r>
      <w:hyperlink r:id="rId1" w:history="1">
        <w:r w:rsidRPr="00D32814">
          <w:rPr>
            <w:rStyle w:val="Hyperlink"/>
          </w:rPr>
          <w:t>http://www.lawsociety.com.au/resources/areasoflaw/propertylaw/index.htm</w:t>
        </w:r>
      </w:hyperlink>
      <w:r>
        <w:t xml:space="preserve">&gt; </w:t>
      </w:r>
    </w:p>
  </w:footnote>
  <w:footnote w:id="3">
    <w:p w:rsidR="001779AE" w:rsidRDefault="001779AE">
      <w:pPr>
        <w:pStyle w:val="FootnoteText"/>
      </w:pPr>
      <w:r>
        <w:rPr>
          <w:rStyle w:val="FootnoteReference"/>
        </w:rPr>
        <w:footnoteRef/>
      </w:r>
      <w:r>
        <w:t xml:space="preserve"> </w:t>
      </w:r>
      <w:r w:rsidRPr="001779AE">
        <w:rPr>
          <w:i/>
        </w:rPr>
        <w:t>Conveyancing Act 1919</w:t>
      </w:r>
      <w:r>
        <w:t xml:space="preserve"> (NSW) s 66X; </w:t>
      </w:r>
      <w:r w:rsidRPr="001779AE">
        <w:rPr>
          <w:i/>
        </w:rPr>
        <w:t>Conveyancing (Sale of Land) Regulations 2010</w:t>
      </w:r>
      <w:r>
        <w:t xml:space="preserve"> </w:t>
      </w:r>
      <w:proofErr w:type="spellStart"/>
      <w:r>
        <w:t>cll</w:t>
      </w:r>
      <w:proofErr w:type="spellEnd"/>
      <w:r>
        <w:t xml:space="preserve"> 4 and 11. </w:t>
      </w:r>
    </w:p>
  </w:footnote>
  <w:footnote w:id="4">
    <w:p w:rsidR="00CA242D" w:rsidRDefault="00CA242D" w:rsidP="00CA242D">
      <w:pPr>
        <w:pStyle w:val="FootnoteText"/>
      </w:pPr>
      <w:r>
        <w:rPr>
          <w:rStyle w:val="FootnoteReference"/>
        </w:rPr>
        <w:footnoteRef/>
      </w:r>
      <w:r>
        <w:t xml:space="preserve"> </w:t>
      </w:r>
      <w:r w:rsidRPr="00307C61">
        <w:rPr>
          <w:i/>
        </w:rPr>
        <w:t>Conveyancing Act 1919</w:t>
      </w:r>
      <w:r>
        <w:t xml:space="preserve"> (NSW) s 66S.</w:t>
      </w:r>
    </w:p>
  </w:footnote>
  <w:footnote w:id="5">
    <w:p w:rsidR="00E33B19" w:rsidRDefault="00E33B19">
      <w:pPr>
        <w:pStyle w:val="FootnoteText"/>
      </w:pPr>
      <w:r>
        <w:rPr>
          <w:rStyle w:val="FootnoteReference"/>
        </w:rPr>
        <w:footnoteRef/>
      </w:r>
      <w:r>
        <w:t xml:space="preserve"> See pro forma Contract for Sale and Purchase of Land, cl 29.</w:t>
      </w:r>
    </w:p>
  </w:footnote>
  <w:footnote w:id="6">
    <w:p w:rsidR="000A794A" w:rsidRDefault="000A794A" w:rsidP="000A794A">
      <w:pPr>
        <w:pStyle w:val="FootnoteText"/>
      </w:pPr>
      <w:r>
        <w:rPr>
          <w:rStyle w:val="FootnoteReference"/>
        </w:rPr>
        <w:footnoteRef/>
      </w:r>
      <w:r>
        <w:t xml:space="preserve"> See pro forma Contract for Sale and Purchase of Land cl 2.</w:t>
      </w:r>
    </w:p>
  </w:footnote>
  <w:footnote w:id="7">
    <w:p w:rsidR="00FB3106" w:rsidRDefault="00FB3106">
      <w:pPr>
        <w:pStyle w:val="FootnoteText"/>
      </w:pPr>
      <w:r>
        <w:rPr>
          <w:rStyle w:val="FootnoteReference"/>
        </w:rPr>
        <w:footnoteRef/>
      </w:r>
      <w:r>
        <w:t xml:space="preserve"> Ibid cl 4. </w:t>
      </w:r>
    </w:p>
  </w:footnote>
  <w:footnote w:id="8">
    <w:p w:rsidR="00FB3106" w:rsidRDefault="00FB3106">
      <w:pPr>
        <w:pStyle w:val="FootnoteText"/>
      </w:pPr>
      <w:r>
        <w:rPr>
          <w:rStyle w:val="FootnoteReference"/>
        </w:rPr>
        <w:footnoteRef/>
      </w:r>
      <w:r>
        <w:t xml:space="preserve"> Ibid cl 5.</w:t>
      </w:r>
    </w:p>
  </w:footnote>
  <w:footnote w:id="9">
    <w:p w:rsidR="00FB3106" w:rsidRDefault="00FB3106">
      <w:pPr>
        <w:pStyle w:val="FootnoteText"/>
      </w:pPr>
      <w:r>
        <w:rPr>
          <w:rStyle w:val="FootnoteReference"/>
        </w:rPr>
        <w:footnoteRef/>
      </w:r>
      <w:r>
        <w:t xml:space="preserve"> Ibid cl 14.</w:t>
      </w:r>
    </w:p>
  </w:footnote>
  <w:footnote w:id="10">
    <w:p w:rsidR="002E38B3" w:rsidRDefault="002E38B3">
      <w:pPr>
        <w:pStyle w:val="FootnoteText"/>
      </w:pPr>
      <w:r>
        <w:rPr>
          <w:rStyle w:val="FootnoteReference"/>
        </w:rPr>
        <w:footnoteRef/>
      </w:r>
      <w:r>
        <w:t xml:space="preserve"> Ibid cl 16.</w:t>
      </w:r>
    </w:p>
  </w:footnote>
  <w:footnote w:id="11">
    <w:p w:rsidR="008E70E2" w:rsidRDefault="008E70E2">
      <w:pPr>
        <w:pStyle w:val="FootnoteText"/>
      </w:pPr>
      <w:r>
        <w:rPr>
          <w:rStyle w:val="FootnoteReference"/>
        </w:rPr>
        <w:footnoteRef/>
      </w:r>
      <w:r>
        <w:t xml:space="preserve"> Ibid cl 16.</w:t>
      </w:r>
    </w:p>
  </w:footnote>
  <w:footnote w:id="12">
    <w:p w:rsidR="00307C61" w:rsidRDefault="00307C61">
      <w:pPr>
        <w:pStyle w:val="FootnoteText"/>
      </w:pPr>
      <w:r>
        <w:rPr>
          <w:rStyle w:val="FootnoteReference"/>
        </w:rPr>
        <w:footnoteRef/>
      </w:r>
      <w:r>
        <w:t xml:space="preserve"> </w:t>
      </w:r>
      <w:r w:rsidRPr="00307C61">
        <w:rPr>
          <w:i/>
        </w:rPr>
        <w:t>Conveyancing Act 1919</w:t>
      </w:r>
      <w:r>
        <w:t xml:space="preserve"> (NSW) s 66K</w:t>
      </w:r>
      <w:r w:rsidR="005C6ECB">
        <w:t>.</w:t>
      </w:r>
    </w:p>
  </w:footnote>
  <w:footnote w:id="13">
    <w:p w:rsidR="00CB5ECE" w:rsidRDefault="00CB5ECE">
      <w:pPr>
        <w:pStyle w:val="FootnoteText"/>
      </w:pPr>
      <w:r>
        <w:rPr>
          <w:rStyle w:val="FootnoteReference"/>
        </w:rPr>
        <w:footnoteRef/>
      </w:r>
      <w:r>
        <w:t xml:space="preserve"> See the ATO website for more details, &lt;</w:t>
      </w:r>
      <w:r w:rsidRPr="00CB5ECE">
        <w:t xml:space="preserve"> </w:t>
      </w:r>
      <w:hyperlink r:id="rId2" w:history="1">
        <w:r w:rsidRPr="00D32814">
          <w:rPr>
            <w:rStyle w:val="Hyperlink"/>
          </w:rPr>
          <w:t>https://www.ato.gov.au/Business/GST/</w:t>
        </w:r>
      </w:hyperlink>
      <w:r>
        <w:t xml:space="preserve">&gt; </w:t>
      </w:r>
    </w:p>
  </w:footnote>
  <w:footnote w:id="14">
    <w:p w:rsidR="00F15B8C" w:rsidRDefault="00F15B8C">
      <w:pPr>
        <w:pStyle w:val="FootnoteText"/>
      </w:pPr>
      <w:r>
        <w:rPr>
          <w:rStyle w:val="FootnoteReference"/>
        </w:rPr>
        <w:footnoteRef/>
      </w:r>
      <w:r>
        <w:t xml:space="preserve"> See pro forma Commercial Land and Building Contract cl 26.</w:t>
      </w:r>
    </w:p>
  </w:footnote>
  <w:footnote w:id="15">
    <w:p w:rsidR="008F279C" w:rsidRDefault="008F279C">
      <w:pPr>
        <w:pStyle w:val="FootnoteText"/>
      </w:pPr>
      <w:r>
        <w:rPr>
          <w:rStyle w:val="FootnoteReference"/>
        </w:rPr>
        <w:footnoteRef/>
      </w:r>
      <w:r>
        <w:t xml:space="preserve"> See pro forma Commercial Land and Building Contract cl 7.</w:t>
      </w:r>
    </w:p>
  </w:footnote>
  <w:footnote w:id="16">
    <w:p w:rsidR="009C7997" w:rsidRDefault="009C7997">
      <w:pPr>
        <w:pStyle w:val="FootnoteText"/>
      </w:pPr>
      <w:r>
        <w:rPr>
          <w:rStyle w:val="FootnoteReference"/>
        </w:rPr>
        <w:footnoteRef/>
      </w:r>
      <w:r>
        <w:t xml:space="preserve"> See pro forma Commercial Land and Building Contract Items S, T and U. </w:t>
      </w:r>
    </w:p>
  </w:footnote>
  <w:footnote w:id="17">
    <w:p w:rsidR="00BC648F" w:rsidRDefault="00BC648F">
      <w:pPr>
        <w:pStyle w:val="FootnoteText"/>
      </w:pPr>
      <w:r>
        <w:rPr>
          <w:rStyle w:val="FootnoteReference"/>
        </w:rPr>
        <w:footnoteRef/>
      </w:r>
      <w:r>
        <w:t xml:space="preserve"> See pro forma Commercial Land and Building Contract cl 17.</w:t>
      </w:r>
    </w:p>
  </w:footnote>
  <w:footnote w:id="18">
    <w:p w:rsidR="003C53BF" w:rsidRDefault="003C53BF">
      <w:pPr>
        <w:pStyle w:val="FootnoteText"/>
      </w:pPr>
      <w:r>
        <w:rPr>
          <w:rStyle w:val="FootnoteReference"/>
        </w:rPr>
        <w:footnoteRef/>
      </w:r>
      <w:r>
        <w:t xml:space="preserve"> </w:t>
      </w:r>
      <w:r w:rsidRPr="003C53BF">
        <w:rPr>
          <w:i/>
        </w:rPr>
        <w:t>Sale of Land Act 1962</w:t>
      </w:r>
      <w:r>
        <w:t xml:space="preserve"> (Vic) s 32.</w:t>
      </w:r>
    </w:p>
  </w:footnote>
  <w:footnote w:id="19">
    <w:p w:rsidR="004958FA" w:rsidRDefault="004958FA">
      <w:pPr>
        <w:pStyle w:val="FootnoteText"/>
      </w:pPr>
      <w:r>
        <w:rPr>
          <w:rStyle w:val="FootnoteReference"/>
        </w:rPr>
        <w:footnoteRef/>
      </w:r>
      <w:r>
        <w:t xml:space="preserve"> </w:t>
      </w:r>
      <w:r w:rsidRPr="003C53BF">
        <w:rPr>
          <w:i/>
        </w:rPr>
        <w:t>Sale of Land Act 1962</w:t>
      </w:r>
      <w:r>
        <w:t xml:space="preserve"> (Vic) Part II. </w:t>
      </w:r>
    </w:p>
  </w:footnote>
  <w:footnote w:id="20">
    <w:p w:rsidR="00404674" w:rsidRDefault="00404674">
      <w:pPr>
        <w:pStyle w:val="FootnoteText"/>
      </w:pPr>
      <w:r>
        <w:rPr>
          <w:rStyle w:val="FootnoteReference"/>
        </w:rPr>
        <w:footnoteRef/>
      </w:r>
      <w:r>
        <w:t xml:space="preserve"> </w:t>
      </w:r>
      <w:r w:rsidRPr="003C53BF">
        <w:rPr>
          <w:i/>
        </w:rPr>
        <w:t>Sale of Land Act 1962</w:t>
      </w:r>
      <w:r>
        <w:t xml:space="preserve"> (Vic) s 32K. </w:t>
      </w:r>
    </w:p>
  </w:footnote>
  <w:footnote w:id="21">
    <w:p w:rsidR="00404674" w:rsidRDefault="00404674">
      <w:pPr>
        <w:pStyle w:val="FootnoteText"/>
      </w:pPr>
      <w:r>
        <w:rPr>
          <w:rStyle w:val="FootnoteReference"/>
        </w:rPr>
        <w:footnoteRef/>
      </w:r>
      <w:r>
        <w:t xml:space="preserve"> </w:t>
      </w:r>
      <w:r w:rsidRPr="003C53BF">
        <w:rPr>
          <w:i/>
        </w:rPr>
        <w:t>Sale of Land Act 1962</w:t>
      </w:r>
      <w:r>
        <w:t xml:space="preserve"> (Vic) s 32L.</w:t>
      </w:r>
    </w:p>
  </w:footnote>
  <w:footnote w:id="22">
    <w:p w:rsidR="00DD03E5" w:rsidRDefault="00DD03E5" w:rsidP="00DD03E5">
      <w:pPr>
        <w:pStyle w:val="FootnoteText"/>
      </w:pPr>
      <w:r>
        <w:rPr>
          <w:rStyle w:val="FootnoteReference"/>
        </w:rPr>
        <w:footnoteRef/>
      </w:r>
      <w:r>
        <w:t xml:space="preserve"> Contract for the Sale of Real Estate – General Conditions cl 2.</w:t>
      </w:r>
    </w:p>
  </w:footnote>
  <w:footnote w:id="23">
    <w:p w:rsidR="00DD03E5" w:rsidRDefault="00DD03E5">
      <w:pPr>
        <w:pStyle w:val="FootnoteText"/>
      </w:pPr>
      <w:r>
        <w:rPr>
          <w:rStyle w:val="FootnoteReference"/>
        </w:rPr>
        <w:footnoteRef/>
      </w:r>
      <w:r>
        <w:t xml:space="preserve"> Contract for the Sale of Real Estate – General Conditions cl 16.</w:t>
      </w:r>
    </w:p>
  </w:footnote>
  <w:footnote w:id="24">
    <w:p w:rsidR="00DD03E5" w:rsidRDefault="00DD03E5">
      <w:pPr>
        <w:pStyle w:val="FootnoteText"/>
      </w:pPr>
      <w:r>
        <w:rPr>
          <w:rStyle w:val="FootnoteReference"/>
        </w:rPr>
        <w:footnoteRef/>
      </w:r>
      <w:r>
        <w:t xml:space="preserve"> Contract for the Sale of Real Estate – General Conditions cl 22.</w:t>
      </w:r>
    </w:p>
  </w:footnote>
  <w:footnote w:id="25">
    <w:p w:rsidR="00E34562" w:rsidRDefault="00E34562">
      <w:pPr>
        <w:pStyle w:val="FootnoteText"/>
      </w:pPr>
      <w:r>
        <w:rPr>
          <w:rStyle w:val="FootnoteReference"/>
        </w:rPr>
        <w:footnoteRef/>
      </w:r>
      <w:r>
        <w:t xml:space="preserve"> </w:t>
      </w:r>
      <w:r w:rsidRPr="00E34562">
        <w:rPr>
          <w:i/>
        </w:rPr>
        <w:t xml:space="preserve">Land and Business (Sale and Conveyancing) Act 1994 </w:t>
      </w:r>
      <w:r>
        <w:t>s 7.</w:t>
      </w:r>
    </w:p>
  </w:footnote>
  <w:footnote w:id="26">
    <w:p w:rsidR="00724AC8" w:rsidRDefault="00E34562">
      <w:pPr>
        <w:pStyle w:val="FootnoteText"/>
      </w:pPr>
      <w:r>
        <w:rPr>
          <w:rStyle w:val="FootnoteReference"/>
        </w:rPr>
        <w:footnoteRef/>
      </w:r>
      <w:r>
        <w:t xml:space="preserve"> </w:t>
      </w:r>
      <w:r w:rsidR="00724AC8">
        <w:t>Joint Form of General Conditions for the Sale of Land cl 3.5.</w:t>
      </w:r>
    </w:p>
  </w:footnote>
  <w:footnote w:id="27">
    <w:p w:rsidR="00724AC8" w:rsidRDefault="00724AC8">
      <w:pPr>
        <w:pStyle w:val="FootnoteText"/>
      </w:pPr>
      <w:r>
        <w:rPr>
          <w:rStyle w:val="FootnoteReference"/>
        </w:rPr>
        <w:footnoteRef/>
      </w:r>
      <w:r>
        <w:t xml:space="preserve"> Joint Form of General Conditions for the Sale of Land </w:t>
      </w:r>
      <w:proofErr w:type="spellStart"/>
      <w:r>
        <w:t>cls</w:t>
      </w:r>
      <w:proofErr w:type="spellEnd"/>
      <w:r>
        <w:t xml:space="preserve"> 4.1 and 4.2.</w:t>
      </w:r>
    </w:p>
  </w:footnote>
  <w:footnote w:id="28">
    <w:p w:rsidR="00724AC8" w:rsidRDefault="00724AC8">
      <w:pPr>
        <w:pStyle w:val="FootnoteText"/>
      </w:pPr>
      <w:r>
        <w:rPr>
          <w:rStyle w:val="FootnoteReference"/>
        </w:rPr>
        <w:footnoteRef/>
      </w:r>
      <w:r>
        <w:t xml:space="preserve"> Joint Form of General Conditions for the Sale of Land cl 5.1.</w:t>
      </w:r>
    </w:p>
  </w:footnote>
  <w:footnote w:id="29">
    <w:p w:rsidR="00605727" w:rsidRDefault="00605727">
      <w:pPr>
        <w:pStyle w:val="FootnoteText"/>
      </w:pPr>
      <w:r>
        <w:rPr>
          <w:rStyle w:val="FootnoteReference"/>
        </w:rPr>
        <w:footnoteRef/>
      </w:r>
      <w:r>
        <w:t xml:space="preserve"> </w:t>
      </w:r>
      <w:r w:rsidRPr="00605727">
        <w:rPr>
          <w:i/>
        </w:rPr>
        <w:t>Land Titles Act 1980</w:t>
      </w:r>
      <w:r>
        <w:t xml:space="preserve"> (</w:t>
      </w:r>
      <w:proofErr w:type="spellStart"/>
      <w:r>
        <w:t>Tas</w:t>
      </w:r>
      <w:proofErr w:type="spellEnd"/>
      <w:r>
        <w:t>).</w:t>
      </w:r>
    </w:p>
  </w:footnote>
  <w:footnote w:id="30">
    <w:p w:rsidR="00605727" w:rsidRDefault="00605727">
      <w:pPr>
        <w:pStyle w:val="FootnoteText"/>
      </w:pPr>
      <w:r>
        <w:rPr>
          <w:rStyle w:val="FootnoteReference"/>
        </w:rPr>
        <w:footnoteRef/>
      </w:r>
      <w:r>
        <w:t xml:space="preserve"> Contract for the Sale of Real Estate cl 17.1.</w:t>
      </w:r>
    </w:p>
  </w:footnote>
  <w:footnote w:id="31">
    <w:p w:rsidR="00486099" w:rsidRDefault="00486099">
      <w:pPr>
        <w:pStyle w:val="FootnoteText"/>
      </w:pPr>
      <w:r>
        <w:rPr>
          <w:rStyle w:val="FootnoteReference"/>
        </w:rPr>
        <w:footnoteRef/>
      </w:r>
      <w:r>
        <w:t xml:space="preserve"> Contract for Sale cl 13.</w:t>
      </w:r>
    </w:p>
  </w:footnote>
  <w:footnote w:id="32">
    <w:p w:rsidR="007E454D" w:rsidRDefault="007E454D">
      <w:pPr>
        <w:pStyle w:val="FootnoteText"/>
      </w:pPr>
      <w:r>
        <w:rPr>
          <w:rStyle w:val="FootnoteReference"/>
        </w:rPr>
        <w:footnoteRef/>
      </w:r>
      <w:r>
        <w:t xml:space="preserve"> Contract for Sale cl 18.</w:t>
      </w:r>
    </w:p>
  </w:footnote>
  <w:footnote w:id="33">
    <w:p w:rsidR="007E454D" w:rsidRDefault="007E454D">
      <w:pPr>
        <w:pStyle w:val="FootnoteText"/>
      </w:pPr>
      <w:r>
        <w:rPr>
          <w:rStyle w:val="FootnoteReference"/>
        </w:rPr>
        <w:footnoteRef/>
      </w:r>
      <w:r>
        <w:t xml:space="preserve"> Contract for Sale </w:t>
      </w:r>
      <w:proofErr w:type="spellStart"/>
      <w:r>
        <w:t>cls</w:t>
      </w:r>
      <w:proofErr w:type="spellEnd"/>
      <w:r>
        <w:t xml:space="preserve"> 19 and 20.</w:t>
      </w:r>
    </w:p>
  </w:footnote>
  <w:footnote w:id="34">
    <w:p w:rsidR="00AB6168" w:rsidRDefault="00AB6168">
      <w:pPr>
        <w:pStyle w:val="FootnoteText"/>
      </w:pPr>
      <w:r>
        <w:rPr>
          <w:rStyle w:val="FootnoteReference"/>
        </w:rPr>
        <w:footnoteRef/>
      </w:r>
      <w:r>
        <w:t xml:space="preserve"> Contract for Sale of Land cl 17.</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17B48"/>
    <w:multiLevelType w:val="multilevel"/>
    <w:tmpl w:val="7A883E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230671F"/>
    <w:multiLevelType w:val="multilevel"/>
    <w:tmpl w:val="A426BB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266614B"/>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33754C9B"/>
    <w:multiLevelType w:val="multilevel"/>
    <w:tmpl w:val="561CC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4BA7B7F"/>
    <w:multiLevelType w:val="hybridMultilevel"/>
    <w:tmpl w:val="0944E81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39385C90"/>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3DA10361"/>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CEA74B2"/>
    <w:multiLevelType w:val="multilevel"/>
    <w:tmpl w:val="2C1E0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E647667"/>
    <w:multiLevelType w:val="hybridMultilevel"/>
    <w:tmpl w:val="236413E2"/>
    <w:lvl w:ilvl="0" w:tplc="0C090001">
      <w:start w:val="1"/>
      <w:numFmt w:val="bullet"/>
      <w:lvlText w:val=""/>
      <w:lvlJc w:val="left"/>
      <w:pPr>
        <w:ind w:left="768" w:hanging="360"/>
      </w:pPr>
      <w:rPr>
        <w:rFonts w:ascii="Symbol" w:hAnsi="Symbol" w:hint="default"/>
      </w:rPr>
    </w:lvl>
    <w:lvl w:ilvl="1" w:tplc="0C090003" w:tentative="1">
      <w:start w:val="1"/>
      <w:numFmt w:val="bullet"/>
      <w:lvlText w:val="o"/>
      <w:lvlJc w:val="left"/>
      <w:pPr>
        <w:ind w:left="1488" w:hanging="360"/>
      </w:pPr>
      <w:rPr>
        <w:rFonts w:ascii="Courier New" w:hAnsi="Courier New" w:cs="Courier New" w:hint="default"/>
      </w:rPr>
    </w:lvl>
    <w:lvl w:ilvl="2" w:tplc="0C090005" w:tentative="1">
      <w:start w:val="1"/>
      <w:numFmt w:val="bullet"/>
      <w:lvlText w:val=""/>
      <w:lvlJc w:val="left"/>
      <w:pPr>
        <w:ind w:left="2208" w:hanging="360"/>
      </w:pPr>
      <w:rPr>
        <w:rFonts w:ascii="Wingdings" w:hAnsi="Wingdings" w:hint="default"/>
      </w:rPr>
    </w:lvl>
    <w:lvl w:ilvl="3" w:tplc="0C090001" w:tentative="1">
      <w:start w:val="1"/>
      <w:numFmt w:val="bullet"/>
      <w:lvlText w:val=""/>
      <w:lvlJc w:val="left"/>
      <w:pPr>
        <w:ind w:left="2928" w:hanging="360"/>
      </w:pPr>
      <w:rPr>
        <w:rFonts w:ascii="Symbol" w:hAnsi="Symbol" w:hint="default"/>
      </w:rPr>
    </w:lvl>
    <w:lvl w:ilvl="4" w:tplc="0C090003" w:tentative="1">
      <w:start w:val="1"/>
      <w:numFmt w:val="bullet"/>
      <w:lvlText w:val="o"/>
      <w:lvlJc w:val="left"/>
      <w:pPr>
        <w:ind w:left="3648" w:hanging="360"/>
      </w:pPr>
      <w:rPr>
        <w:rFonts w:ascii="Courier New" w:hAnsi="Courier New" w:cs="Courier New" w:hint="default"/>
      </w:rPr>
    </w:lvl>
    <w:lvl w:ilvl="5" w:tplc="0C090005" w:tentative="1">
      <w:start w:val="1"/>
      <w:numFmt w:val="bullet"/>
      <w:lvlText w:val=""/>
      <w:lvlJc w:val="left"/>
      <w:pPr>
        <w:ind w:left="4368" w:hanging="360"/>
      </w:pPr>
      <w:rPr>
        <w:rFonts w:ascii="Wingdings" w:hAnsi="Wingdings" w:hint="default"/>
      </w:rPr>
    </w:lvl>
    <w:lvl w:ilvl="6" w:tplc="0C090001" w:tentative="1">
      <w:start w:val="1"/>
      <w:numFmt w:val="bullet"/>
      <w:lvlText w:val=""/>
      <w:lvlJc w:val="left"/>
      <w:pPr>
        <w:ind w:left="5088" w:hanging="360"/>
      </w:pPr>
      <w:rPr>
        <w:rFonts w:ascii="Symbol" w:hAnsi="Symbol" w:hint="default"/>
      </w:rPr>
    </w:lvl>
    <w:lvl w:ilvl="7" w:tplc="0C090003" w:tentative="1">
      <w:start w:val="1"/>
      <w:numFmt w:val="bullet"/>
      <w:lvlText w:val="o"/>
      <w:lvlJc w:val="left"/>
      <w:pPr>
        <w:ind w:left="5808" w:hanging="360"/>
      </w:pPr>
      <w:rPr>
        <w:rFonts w:ascii="Courier New" w:hAnsi="Courier New" w:cs="Courier New" w:hint="default"/>
      </w:rPr>
    </w:lvl>
    <w:lvl w:ilvl="8" w:tplc="0C090005" w:tentative="1">
      <w:start w:val="1"/>
      <w:numFmt w:val="bullet"/>
      <w:lvlText w:val=""/>
      <w:lvlJc w:val="left"/>
      <w:pPr>
        <w:ind w:left="6528" w:hanging="360"/>
      </w:pPr>
      <w:rPr>
        <w:rFonts w:ascii="Wingdings" w:hAnsi="Wingdings" w:hint="default"/>
      </w:rPr>
    </w:lvl>
  </w:abstractNum>
  <w:abstractNum w:abstractNumId="9" w15:restartNumberingAfterBreak="0">
    <w:nsid w:val="77891E9D"/>
    <w:multiLevelType w:val="multilevel"/>
    <w:tmpl w:val="6C86CFC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3"/>
  </w:num>
  <w:num w:numId="2">
    <w:abstractNumId w:val="7"/>
  </w:num>
  <w:num w:numId="3">
    <w:abstractNumId w:val="0"/>
  </w:num>
  <w:num w:numId="4">
    <w:abstractNumId w:val="1"/>
  </w:num>
  <w:num w:numId="5">
    <w:abstractNumId w:val="2"/>
  </w:num>
  <w:num w:numId="6">
    <w:abstractNumId w:val="8"/>
  </w:num>
  <w:num w:numId="7">
    <w:abstractNumId w:val="5"/>
  </w:num>
  <w:num w:numId="8">
    <w:abstractNumId w:val="6"/>
  </w:num>
  <w:num w:numId="9">
    <w:abstractNumId w:val="4"/>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025D"/>
    <w:rsid w:val="000236D7"/>
    <w:rsid w:val="000A794A"/>
    <w:rsid w:val="001779AE"/>
    <w:rsid w:val="002200C4"/>
    <w:rsid w:val="002430B5"/>
    <w:rsid w:val="0027755E"/>
    <w:rsid w:val="002E38B3"/>
    <w:rsid w:val="00307C61"/>
    <w:rsid w:val="003C53BF"/>
    <w:rsid w:val="003C5C12"/>
    <w:rsid w:val="00404674"/>
    <w:rsid w:val="00486099"/>
    <w:rsid w:val="004958FA"/>
    <w:rsid w:val="005C6ECB"/>
    <w:rsid w:val="00605727"/>
    <w:rsid w:val="006740EA"/>
    <w:rsid w:val="006F0D43"/>
    <w:rsid w:val="00712904"/>
    <w:rsid w:val="00724AC8"/>
    <w:rsid w:val="00750C6A"/>
    <w:rsid w:val="007E454D"/>
    <w:rsid w:val="0085347D"/>
    <w:rsid w:val="008E70E2"/>
    <w:rsid w:val="008F279C"/>
    <w:rsid w:val="00945E9F"/>
    <w:rsid w:val="0098025D"/>
    <w:rsid w:val="009C7997"/>
    <w:rsid w:val="009E7683"/>
    <w:rsid w:val="00A27FA4"/>
    <w:rsid w:val="00A36123"/>
    <w:rsid w:val="00A83B28"/>
    <w:rsid w:val="00AB6168"/>
    <w:rsid w:val="00AD41F8"/>
    <w:rsid w:val="00AE3697"/>
    <w:rsid w:val="00BC648F"/>
    <w:rsid w:val="00CA242D"/>
    <w:rsid w:val="00CB5ECE"/>
    <w:rsid w:val="00D0138D"/>
    <w:rsid w:val="00D40C2A"/>
    <w:rsid w:val="00DD03E5"/>
    <w:rsid w:val="00E33B19"/>
    <w:rsid w:val="00E34562"/>
    <w:rsid w:val="00E91114"/>
    <w:rsid w:val="00F15B8C"/>
    <w:rsid w:val="00FA4E28"/>
    <w:rsid w:val="00FB310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2B6E024-F7E5-4FA3-9E92-1265C89DE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4">
    <w:name w:val="heading 4"/>
    <w:basedOn w:val="Normal"/>
    <w:link w:val="Heading4Char"/>
    <w:uiPriority w:val="9"/>
    <w:qFormat/>
    <w:rsid w:val="0085347D"/>
    <w:pPr>
      <w:spacing w:before="100" w:beforeAutospacing="1" w:after="100" w:afterAutospacing="1" w:line="240" w:lineRule="auto"/>
      <w:outlineLvl w:val="3"/>
    </w:pPr>
    <w:rPr>
      <w:rFonts w:ascii="Times New Roman" w:eastAsia="Times New Roman" w:hAnsi="Times New Roman" w:cs="Times New Roman"/>
      <w:b/>
      <w:bCs/>
      <w:sz w:val="24"/>
      <w:szCs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C5C12"/>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Strong">
    <w:name w:val="Strong"/>
    <w:basedOn w:val="DefaultParagraphFont"/>
    <w:uiPriority w:val="22"/>
    <w:qFormat/>
    <w:rsid w:val="003C5C12"/>
    <w:rPr>
      <w:b/>
      <w:bCs/>
    </w:rPr>
  </w:style>
  <w:style w:type="character" w:customStyle="1" w:styleId="apple-converted-space">
    <w:name w:val="apple-converted-space"/>
    <w:basedOn w:val="DefaultParagraphFont"/>
    <w:rsid w:val="003C5C12"/>
  </w:style>
  <w:style w:type="character" w:styleId="Emphasis">
    <w:name w:val="Emphasis"/>
    <w:basedOn w:val="DefaultParagraphFont"/>
    <w:uiPriority w:val="20"/>
    <w:qFormat/>
    <w:rsid w:val="003C5C12"/>
    <w:rPr>
      <w:i/>
      <w:iCs/>
    </w:rPr>
  </w:style>
  <w:style w:type="character" w:styleId="Hyperlink">
    <w:name w:val="Hyperlink"/>
    <w:basedOn w:val="DefaultParagraphFont"/>
    <w:uiPriority w:val="99"/>
    <w:unhideWhenUsed/>
    <w:rsid w:val="003C5C12"/>
    <w:rPr>
      <w:color w:val="0000FF"/>
      <w:u w:val="single"/>
    </w:rPr>
  </w:style>
  <w:style w:type="paragraph" w:styleId="ListParagraph">
    <w:name w:val="List Paragraph"/>
    <w:basedOn w:val="Normal"/>
    <w:uiPriority w:val="34"/>
    <w:qFormat/>
    <w:rsid w:val="00CB5ECE"/>
    <w:pPr>
      <w:ind w:left="720"/>
      <w:contextualSpacing/>
    </w:pPr>
  </w:style>
  <w:style w:type="paragraph" w:styleId="FootnoteText">
    <w:name w:val="footnote text"/>
    <w:basedOn w:val="Normal"/>
    <w:link w:val="FootnoteTextChar"/>
    <w:uiPriority w:val="99"/>
    <w:semiHidden/>
    <w:unhideWhenUsed/>
    <w:rsid w:val="00CB5EC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B5ECE"/>
    <w:rPr>
      <w:sz w:val="20"/>
      <w:szCs w:val="20"/>
    </w:rPr>
  </w:style>
  <w:style w:type="character" w:styleId="FootnoteReference">
    <w:name w:val="footnote reference"/>
    <w:basedOn w:val="DefaultParagraphFont"/>
    <w:uiPriority w:val="99"/>
    <w:semiHidden/>
    <w:unhideWhenUsed/>
    <w:rsid w:val="00CB5ECE"/>
    <w:rPr>
      <w:vertAlign w:val="superscript"/>
    </w:rPr>
  </w:style>
  <w:style w:type="character" w:customStyle="1" w:styleId="Heading4Char">
    <w:name w:val="Heading 4 Char"/>
    <w:basedOn w:val="DefaultParagraphFont"/>
    <w:link w:val="Heading4"/>
    <w:uiPriority w:val="9"/>
    <w:rsid w:val="0085347D"/>
    <w:rPr>
      <w:rFonts w:ascii="Times New Roman" w:eastAsia="Times New Roman" w:hAnsi="Times New Roman" w:cs="Times New Roman"/>
      <w:b/>
      <w:bCs/>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52275">
      <w:bodyDiv w:val="1"/>
      <w:marLeft w:val="0"/>
      <w:marRight w:val="0"/>
      <w:marTop w:val="0"/>
      <w:marBottom w:val="0"/>
      <w:divBdr>
        <w:top w:val="none" w:sz="0" w:space="0" w:color="auto"/>
        <w:left w:val="none" w:sz="0" w:space="0" w:color="auto"/>
        <w:bottom w:val="none" w:sz="0" w:space="0" w:color="auto"/>
        <w:right w:val="none" w:sz="0" w:space="0" w:color="auto"/>
      </w:divBdr>
    </w:div>
    <w:div w:id="1671446684">
      <w:bodyDiv w:val="1"/>
      <w:marLeft w:val="0"/>
      <w:marRight w:val="0"/>
      <w:marTop w:val="0"/>
      <w:marBottom w:val="0"/>
      <w:divBdr>
        <w:top w:val="none" w:sz="0" w:space="0" w:color="auto"/>
        <w:left w:val="none" w:sz="0" w:space="0" w:color="auto"/>
        <w:bottom w:val="none" w:sz="0" w:space="0" w:color="auto"/>
        <w:right w:val="none" w:sz="0" w:space="0" w:color="auto"/>
      </w:divBdr>
      <w:divsChild>
        <w:div w:id="21093020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56182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0568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63338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5586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www.ato.gov.au/Business/GST/" TargetMode="External"/><Relationship Id="rId1" Type="http://schemas.openxmlformats.org/officeDocument/2006/relationships/hyperlink" Target="http://www.lawsociety.com.au/resources/areasoflaw/propertylaw/index.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AFA542-365A-4F65-A1FF-E3E0F5AC7E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1815</Words>
  <Characters>10349</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Tarrant</dc:creator>
  <cp:lastModifiedBy>Helen</cp:lastModifiedBy>
  <cp:revision>2</cp:revision>
  <dcterms:created xsi:type="dcterms:W3CDTF">2016-10-18T22:07:00Z</dcterms:created>
  <dcterms:modified xsi:type="dcterms:W3CDTF">2016-10-18T22:07:00Z</dcterms:modified>
</cp:coreProperties>
</file>